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F42" w:rsidRDefault="00B97652">
      <w:r>
        <w:rPr>
          <w:noProof/>
          <w:lang w:val="en-US"/>
        </w:rPr>
        <w:pict>
          <v:shapetype id="_x0000_t202" coordsize="21600,21600" o:spt="202" path="m,l,21600r21600,l21600,xe">
            <v:stroke joinstyle="miter"/>
            <v:path gradientshapeok="t" o:connecttype="rect"/>
          </v:shapetype>
          <v:shape id="Text Box 152" o:spid="_x0000_s1029" type="#_x0000_t202" style="position:absolute;margin-left:18.05pt;margin-top:647.85pt;width:575.85pt;height:72.85pt;z-index:2;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" filled="f" stroked="f" strokeweight=".5pt">
            <v:textbox style="mso-next-textbox:#Text Box 152" inset="126pt,0,54pt,0">
              <w:txbxContent>
                <w:p w:rsidR="00A85A8D" w:rsidRDefault="00A85A8D">
                  <w:pPr>
                    <w:pStyle w:val="NoSpacing"/>
                    <w:jc w:val="right"/>
                    <w:rPr>
                      <w:sz w:val="24"/>
                      <w:szCs w:val="28"/>
                    </w:rPr>
                  </w:pPr>
                  <w:r>
                    <w:rPr>
                      <w:sz w:val="24"/>
                      <w:szCs w:val="28"/>
                    </w:rPr>
                    <w:t>3</w:t>
                  </w:r>
                  <w:r w:rsidRPr="00D63EDF">
                    <w:rPr>
                      <w:sz w:val="24"/>
                      <w:szCs w:val="28"/>
                      <w:vertAlign w:val="superscript"/>
                    </w:rPr>
                    <w:t>rd</w:t>
                  </w:r>
                  <w:r>
                    <w:rPr>
                      <w:sz w:val="24"/>
                      <w:szCs w:val="28"/>
                    </w:rPr>
                    <w:t xml:space="preserve"> Floor, </w:t>
                  </w:r>
                  <w:smartTag w:uri="urn:schemas-microsoft-com:office:smarttags" w:element="City">
                    <w:smartTag w:uri="urn:schemas-microsoft-com:office:smarttags" w:element="Street">
                      <w:r>
                        <w:rPr>
                          <w:sz w:val="24"/>
                          <w:szCs w:val="28"/>
                        </w:rPr>
                        <w:t>Anglo Mauritius House Intendance Street</w:t>
                      </w:r>
                    </w:smartTag>
                    <w:r>
                      <w:rPr>
                        <w:sz w:val="24"/>
                        <w:szCs w:val="28"/>
                      </w:rPr>
                      <w:t xml:space="preserve"> </w:t>
                    </w:r>
                    <w:smartTag w:uri="urn:schemas-microsoft-com:office:smarttags" w:element="City">
                      <w:r>
                        <w:rPr>
                          <w:sz w:val="24"/>
                          <w:szCs w:val="28"/>
                        </w:rPr>
                        <w:t>Port Louis</w:t>
                      </w:r>
                    </w:smartTag>
                  </w:smartTag>
                </w:p>
                <w:p w:rsidR="00A85A8D" w:rsidRPr="000D4624" w:rsidRDefault="00A85A8D">
                  <w:pPr>
                    <w:pStyle w:val="NoSpacing"/>
                    <w:jc w:val="right"/>
                    <w:rPr>
                      <w:color w:val="595959"/>
                      <w:sz w:val="24"/>
                      <w:szCs w:val="28"/>
                    </w:rPr>
                  </w:pPr>
                  <w:r w:rsidRPr="000D4624">
                    <w:rPr>
                      <w:sz w:val="24"/>
                      <w:szCs w:val="28"/>
                    </w:rPr>
                    <w:t>http://frc.govmu.org</w:t>
                  </w:r>
                </w:p>
                <w:p w:rsidR="00A85A8D" w:rsidRPr="000D4624" w:rsidRDefault="00A85A8D">
                  <w:pPr>
                    <w:pStyle w:val="NoSpacing"/>
                    <w:jc w:val="right"/>
                    <w:rPr>
                      <w:color w:val="595959"/>
                      <w:sz w:val="18"/>
                      <w:szCs w:val="18"/>
                    </w:rPr>
                  </w:pPr>
                  <w:r>
                    <w:rPr>
                      <w:sz w:val="18"/>
                      <w:szCs w:val="18"/>
                    </w:rPr>
                    <w:t>Email: frc.mauritius@intnet.mu</w:t>
                  </w:r>
                </w:p>
              </w:txbxContent>
            </v:textbox>
            <w10:wrap type="square" anchorx="page" anchory="page"/>
          </v:shape>
        </w:pict>
      </w:r>
      <w:r>
        <w:rPr>
          <w:noProof/>
          <w:lang w:val="en-US"/>
        </w:rPr>
        <w:pict>
          <v:shape id="Text Box 153" o:spid="_x0000_s1030" type="#_x0000_t202" style="position:absolute;margin-left:18.05pt;margin-top:554.4pt;width:575.85pt;height:79.2pt;z-index:3;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" filled="f" stroked="f" strokeweight=".5pt">
            <v:textbox style="mso-next-textbox:#Text Box 153;mso-fit-shape-to-text:t" inset="126pt,0,54pt,0">
              <w:txbxContent>
                <w:p w:rsidR="00A85A8D" w:rsidRPr="000D4624" w:rsidRDefault="00A85A8D">
                  <w:pPr>
                    <w:pStyle w:val="NoSpacing"/>
                    <w:jc w:val="right"/>
                    <w:rPr>
                      <w:color w:val="595959"/>
                    </w:rPr>
                  </w:pPr>
                </w:p>
              </w:txbxContent>
            </v:textbox>
            <w10:wrap type="square" anchorx="page" anchory="page"/>
          </v:shape>
        </w:pict>
      </w:r>
      <w:r>
        <w:rPr>
          <w:noProof/>
          <w:lang w:val="en-US"/>
        </w:rPr>
        <w:pict>
          <v:shape id="Text Box 154" o:spid="_x0000_s1031" type="#_x0000_t202" style="position:absolute;margin-left:18.05pt;margin-top:237.6pt;width:575.85pt;height:287.45pt;z-index:1;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" filled="f" stroked="f" strokeweight=".5pt">
            <v:textbox style="mso-next-textbox:#Text Box 154" inset="126pt,0,54pt,0">
              <w:txbxContent>
                <w:p w:rsidR="00A85A8D" w:rsidRPr="004A0958" w:rsidRDefault="00A85A8D" w:rsidP="00D63EDF">
                  <w:pPr>
                    <w:tabs>
                      <w:tab w:val="left" w:pos="540"/>
                      <w:tab w:val="left" w:pos="990"/>
                    </w:tabs>
                    <w:ind w:hanging="810"/>
                    <w:jc w:val="right"/>
                    <w:rPr>
                      <w:rFonts w:ascii="Calibri" w:hAnsi="Calibri"/>
                      <w:color w:val="4F81BD"/>
                      <w:sz w:val="64"/>
                      <w:szCs w:val="64"/>
                    </w:rPr>
                  </w:pPr>
                  <w:r w:rsidRPr="004A0958">
                    <w:rPr>
                      <w:rFonts w:ascii="Calibri" w:hAnsi="Calibri"/>
                      <w:caps/>
                      <w:sz w:val="64"/>
                      <w:szCs w:val="64"/>
                      <w:lang w:val="en-US"/>
                    </w:rPr>
                    <w:t>Financial Reporting Council</w:t>
                  </w:r>
                </w:p>
                <w:p w:rsidR="00A85A8D" w:rsidRPr="004A0958" w:rsidRDefault="00A85A8D">
                  <w:pPr>
                    <w:jc w:val="right"/>
                    <w:rPr>
                      <w:rFonts w:ascii="Calibri" w:hAnsi="Calibri"/>
                      <w:smallCaps/>
                      <w:color w:val="404040"/>
                      <w:sz w:val="36"/>
                      <w:szCs w:val="36"/>
                    </w:rPr>
                  </w:pPr>
                  <w:r w:rsidRPr="004A0958">
                    <w:rPr>
                      <w:rFonts w:ascii="Calibri" w:hAnsi="Calibri" w:cs="Arial"/>
                      <w:b/>
                      <w:bCs/>
                      <w:sz w:val="36"/>
                      <w:szCs w:val="32"/>
                    </w:rPr>
                    <w:t>Bulletin on Review of Annual Reports for the six months ended 30 June 2016</w:t>
                  </w:r>
                </w:p>
              </w:txbxContent>
            </v:textbox>
            <w10:wrap type="square" anchorx="page" anchory="page"/>
          </v:shape>
        </w:pict>
      </w:r>
    </w:p>
    <w:p w:rsidR="00D31F42" w:rsidRPr="004A0958" w:rsidRDefault="00D31F42" w:rsidP="00D63EDF">
      <w:pPr>
        <w:jc w:val="center"/>
        <w:rPr>
          <w:rFonts w:ascii="Calibri" w:hAnsi="Calibri" w:cs="Arial"/>
          <w:b/>
          <w:color w:val="FF0000"/>
        </w:rPr>
      </w:pPr>
      <w:r>
        <w:rPr>
          <w:rFonts w:ascii="Calibri" w:hAnsi="Calibri" w:cs="Arial"/>
          <w:b/>
          <w:sz w:val="36"/>
          <w:szCs w:val="32"/>
        </w:rPr>
        <w:br w:type="page"/>
      </w:r>
      <w:r w:rsidRPr="004A0958">
        <w:rPr>
          <w:rFonts w:ascii="Calibri" w:hAnsi="Calibri" w:cs="Arial"/>
          <w:b/>
          <w:color w:val="FF0000"/>
        </w:rPr>
        <w:lastRenderedPageBreak/>
        <w:tab/>
      </w:r>
    </w:p>
    <w:p w:rsidR="00D31F42" w:rsidRPr="004A0958" w:rsidRDefault="00D31F42" w:rsidP="004B2BF5">
      <w:pPr>
        <w:tabs>
          <w:tab w:val="left" w:pos="540"/>
        </w:tabs>
        <w:jc w:val="both"/>
        <w:rPr>
          <w:rFonts w:ascii="Calibri" w:hAnsi="Calibri" w:cs="Arial"/>
          <w:b/>
          <w:color w:val="B2A606"/>
          <w:sz w:val="28"/>
          <w:szCs w:val="28"/>
        </w:rPr>
      </w:pPr>
      <w:r w:rsidRPr="004A0958">
        <w:rPr>
          <w:rFonts w:ascii="Calibri" w:hAnsi="Calibri" w:cs="Arial"/>
          <w:b/>
          <w:color w:val="B2A606"/>
          <w:sz w:val="28"/>
          <w:szCs w:val="28"/>
        </w:rPr>
        <w:t>I</w:t>
      </w:r>
      <w:r w:rsidRPr="004A0958">
        <w:rPr>
          <w:rFonts w:ascii="Calibri" w:hAnsi="Calibri" w:cs="Arial"/>
          <w:b/>
          <w:color w:val="B2A606"/>
          <w:sz w:val="28"/>
          <w:szCs w:val="28"/>
        </w:rPr>
        <w:tab/>
        <w:t>Introduction</w:t>
      </w:r>
    </w:p>
    <w:p w:rsidR="00D31F42" w:rsidRPr="004A0958" w:rsidRDefault="00D31F42" w:rsidP="00D63EDF">
      <w:pPr>
        <w:ind w:right="3" w:firstLine="540"/>
        <w:jc w:val="both"/>
        <w:rPr>
          <w:rFonts w:ascii="Calibri" w:hAnsi="Calibri" w:cs="Arial"/>
          <w:b/>
          <w:bCs/>
          <w:color w:val="AEA206"/>
        </w:rPr>
      </w:pPr>
      <w:r w:rsidRPr="004A0958">
        <w:rPr>
          <w:rFonts w:ascii="Calibri" w:hAnsi="Calibri" w:cs="Arial"/>
          <w:b/>
          <w:bCs/>
          <w:color w:val="AEA206"/>
        </w:rPr>
        <w:t>________________________________________________________________</w:t>
      </w:r>
    </w:p>
    <w:p w:rsidR="00D31F42" w:rsidRPr="004A0958" w:rsidRDefault="00D31F42" w:rsidP="004B2BF5">
      <w:pPr>
        <w:tabs>
          <w:tab w:val="left" w:pos="540"/>
        </w:tabs>
        <w:jc w:val="both"/>
        <w:rPr>
          <w:rFonts w:ascii="Calibri" w:hAnsi="Calibri" w:cs="Arial"/>
          <w:bCs/>
        </w:rPr>
      </w:pPr>
    </w:p>
    <w:p w:rsidR="00D31F42" w:rsidRPr="004A0958" w:rsidRDefault="00D31F42" w:rsidP="004B2BF5">
      <w:pPr>
        <w:tabs>
          <w:tab w:val="left" w:pos="540"/>
        </w:tabs>
        <w:autoSpaceDE w:val="0"/>
        <w:autoSpaceDN w:val="0"/>
        <w:adjustRightInd w:val="0"/>
        <w:ind w:left="540"/>
        <w:jc w:val="both"/>
        <w:rPr>
          <w:rFonts w:ascii="Calibri" w:hAnsi="Calibri" w:cs="Arial"/>
          <w:bCs/>
        </w:rPr>
      </w:pPr>
      <w:r w:rsidRPr="004A0958">
        <w:rPr>
          <w:rFonts w:ascii="Calibri" w:hAnsi="Calibri" w:cs="Arial"/>
          <w:bCs/>
        </w:rPr>
        <w:t>In view of promoting high quality reporting, FRC reviews the annual reports of Public Interest Entities (PIEs) to ensure that they comply with IFRS and the requirements of the Code of Corporate Governance (Code).</w:t>
      </w:r>
    </w:p>
    <w:p w:rsidR="00D31F42" w:rsidRPr="004A0958" w:rsidRDefault="00D31F42" w:rsidP="004B2BF5">
      <w:pPr>
        <w:tabs>
          <w:tab w:val="left" w:pos="540"/>
        </w:tabs>
        <w:ind w:hanging="90"/>
        <w:jc w:val="both"/>
        <w:rPr>
          <w:rFonts w:ascii="Calibri" w:hAnsi="Calibri" w:cs="Arial"/>
          <w:bCs/>
          <w:highlight w:val="yellow"/>
        </w:rPr>
      </w:pPr>
    </w:p>
    <w:p w:rsidR="00D31F42" w:rsidRPr="004A0958" w:rsidRDefault="00D31F42" w:rsidP="004B2BF5">
      <w:pPr>
        <w:tabs>
          <w:tab w:val="left" w:pos="540"/>
        </w:tabs>
        <w:spacing w:line="259" w:lineRule="auto"/>
        <w:ind w:left="540"/>
        <w:contextualSpacing/>
        <w:jc w:val="both"/>
        <w:rPr>
          <w:rFonts w:ascii="Calibri" w:hAnsi="Calibri"/>
        </w:rPr>
      </w:pPr>
      <w:r w:rsidRPr="004A0958">
        <w:rPr>
          <w:rFonts w:ascii="Calibri" w:hAnsi="Calibri"/>
        </w:rPr>
        <w:t>For the year 2016, subsequent to the BAI Scandal, FRC modified the way of conducting the review of the annual reports of PIEs.  In this regard, FRC carried out the reviews as follows:</w:t>
      </w:r>
    </w:p>
    <w:p w:rsidR="00D31F42" w:rsidRPr="004A0958" w:rsidRDefault="00D31F42" w:rsidP="0044362D">
      <w:pPr>
        <w:spacing w:line="259" w:lineRule="auto"/>
        <w:ind w:right="-87"/>
        <w:contextualSpacing/>
        <w:rPr>
          <w:rFonts w:ascii="Calibri" w:hAnsi="Calibri"/>
        </w:rPr>
      </w:pPr>
    </w:p>
    <w:p w:rsidR="00D31F42" w:rsidRPr="004A0958" w:rsidRDefault="00D31F42" w:rsidP="00074FC0">
      <w:pPr>
        <w:tabs>
          <w:tab w:val="left" w:pos="900"/>
          <w:tab w:val="left" w:pos="1080"/>
        </w:tabs>
        <w:spacing w:line="259" w:lineRule="auto"/>
        <w:ind w:left="720" w:hanging="180"/>
        <w:contextualSpacing/>
        <w:rPr>
          <w:rFonts w:ascii="Calibri" w:hAnsi="Calibri"/>
          <w:b/>
        </w:rPr>
      </w:pPr>
      <w:r w:rsidRPr="004A0958">
        <w:rPr>
          <w:rFonts w:ascii="Calibri" w:hAnsi="Calibri"/>
          <w:b/>
        </w:rPr>
        <w:t>(a)    Group Reviews</w:t>
      </w:r>
    </w:p>
    <w:p w:rsidR="00D31F42" w:rsidRPr="004A0958" w:rsidRDefault="00D31F42" w:rsidP="00C07538">
      <w:pPr>
        <w:spacing w:line="259" w:lineRule="auto"/>
        <w:ind w:left="720"/>
        <w:contextualSpacing/>
        <w:rPr>
          <w:rFonts w:ascii="Calibri" w:hAnsi="Calibri"/>
        </w:rPr>
      </w:pPr>
    </w:p>
    <w:p w:rsidR="00D31F42" w:rsidRPr="004A0958" w:rsidRDefault="00D31F42" w:rsidP="00074FC0">
      <w:pPr>
        <w:ind w:left="990"/>
        <w:jc w:val="both"/>
        <w:rPr>
          <w:rFonts w:ascii="Calibri" w:hAnsi="Calibri"/>
          <w:lang w:val="en-US"/>
        </w:rPr>
      </w:pPr>
      <w:r w:rsidRPr="004A0958">
        <w:rPr>
          <w:rFonts w:ascii="Calibri" w:hAnsi="Calibri"/>
          <w:lang w:val="en-US"/>
        </w:rPr>
        <w:t>Group reviews were mainly based on focus areas of IFRSs significant to the business of the respective PIEs and liquidity risks within a group of companies. The objectives of the Group reviews are:</w:t>
      </w:r>
    </w:p>
    <w:p w:rsidR="00D31F42" w:rsidRPr="004A0958" w:rsidRDefault="00D31F42" w:rsidP="00506ADE">
      <w:pPr>
        <w:ind w:left="1080"/>
        <w:jc w:val="both"/>
        <w:rPr>
          <w:rFonts w:ascii="Calibri" w:hAnsi="Calibri"/>
          <w:lang w:val="en-US"/>
        </w:rPr>
      </w:pPr>
    </w:p>
    <w:p w:rsidR="00D31F42" w:rsidRPr="004A0958" w:rsidRDefault="00D31F42" w:rsidP="00F7611C">
      <w:pPr>
        <w:numPr>
          <w:ilvl w:val="0"/>
          <w:numId w:val="18"/>
        </w:numPr>
        <w:tabs>
          <w:tab w:val="left" w:pos="1440"/>
        </w:tabs>
        <w:spacing w:after="160" w:line="259" w:lineRule="auto"/>
        <w:ind w:hanging="360"/>
        <w:contextualSpacing/>
        <w:jc w:val="both"/>
        <w:rPr>
          <w:rFonts w:ascii="Calibri" w:hAnsi="Calibri"/>
          <w:lang w:val="en-US"/>
        </w:rPr>
      </w:pPr>
      <w:r w:rsidRPr="004A0958">
        <w:rPr>
          <w:rFonts w:ascii="Calibri" w:hAnsi="Calibri"/>
          <w:lang w:val="en-US"/>
        </w:rPr>
        <w:t>To assess the financial situation of the group and its subsidiaries (liquidity and financial performance of the group and its subsidiaries);</w:t>
      </w:r>
    </w:p>
    <w:p w:rsidR="00D31F42" w:rsidRPr="004A0958" w:rsidRDefault="00D31F42" w:rsidP="00F7611C">
      <w:pPr>
        <w:numPr>
          <w:ilvl w:val="0"/>
          <w:numId w:val="18"/>
        </w:numPr>
        <w:tabs>
          <w:tab w:val="left" w:pos="1440"/>
        </w:tabs>
        <w:spacing w:after="160" w:line="259" w:lineRule="auto"/>
        <w:ind w:hanging="360"/>
        <w:contextualSpacing/>
        <w:jc w:val="both"/>
        <w:rPr>
          <w:rFonts w:ascii="Calibri" w:hAnsi="Calibri"/>
          <w:lang w:val="en-US"/>
        </w:rPr>
      </w:pPr>
      <w:r w:rsidRPr="004A0958">
        <w:rPr>
          <w:rFonts w:ascii="Calibri" w:hAnsi="Calibri"/>
          <w:lang w:val="en-US"/>
        </w:rPr>
        <w:t>To evaluate the accounting policies adopted by the group and its subsidiaries (eg, exemption for consolidation (IFRS 10), Fair value (IFRS 13), Revenue Recognition (IAS 18),  etc);</w:t>
      </w:r>
    </w:p>
    <w:p w:rsidR="00D31F42" w:rsidRPr="004A0958" w:rsidRDefault="00D31F42" w:rsidP="00F7611C">
      <w:pPr>
        <w:numPr>
          <w:ilvl w:val="0"/>
          <w:numId w:val="18"/>
        </w:numPr>
        <w:tabs>
          <w:tab w:val="left" w:pos="1440"/>
        </w:tabs>
        <w:spacing w:after="160" w:line="259" w:lineRule="auto"/>
        <w:ind w:hanging="360"/>
        <w:contextualSpacing/>
        <w:jc w:val="both"/>
        <w:rPr>
          <w:rFonts w:ascii="Calibri" w:hAnsi="Calibri"/>
          <w:lang w:val="en-US"/>
        </w:rPr>
      </w:pPr>
      <w:r w:rsidRPr="004A0958">
        <w:rPr>
          <w:rFonts w:ascii="Calibri" w:hAnsi="Calibri"/>
          <w:lang w:val="en-US"/>
        </w:rPr>
        <w:t>To focus on risky sectors such as construction, leisure and hotels, textile, insurance, and banking within the group; and</w:t>
      </w:r>
    </w:p>
    <w:p w:rsidR="00D31F42" w:rsidRPr="004A0958" w:rsidRDefault="00D31F42" w:rsidP="00F7611C">
      <w:pPr>
        <w:numPr>
          <w:ilvl w:val="0"/>
          <w:numId w:val="18"/>
        </w:numPr>
        <w:tabs>
          <w:tab w:val="left" w:pos="1440"/>
        </w:tabs>
        <w:spacing w:after="160" w:line="259" w:lineRule="auto"/>
        <w:ind w:hanging="360"/>
        <w:contextualSpacing/>
        <w:jc w:val="both"/>
        <w:rPr>
          <w:rFonts w:ascii="Calibri" w:hAnsi="Calibri"/>
          <w:lang w:val="en-US"/>
        </w:rPr>
      </w:pPr>
      <w:r w:rsidRPr="004A0958">
        <w:rPr>
          <w:rFonts w:ascii="Calibri" w:hAnsi="Calibri"/>
          <w:lang w:val="en-US"/>
        </w:rPr>
        <w:t>To assess key IFRSs relevant to the activities of the Group.</w:t>
      </w:r>
    </w:p>
    <w:p w:rsidR="00D31F42" w:rsidRPr="004A0958" w:rsidRDefault="00D31F42" w:rsidP="004B2BF5">
      <w:pPr>
        <w:jc w:val="both"/>
        <w:rPr>
          <w:rFonts w:ascii="Calibri" w:hAnsi="Calibri" w:cs="Arial"/>
          <w:bCs/>
        </w:rPr>
      </w:pPr>
    </w:p>
    <w:p w:rsidR="00D31F42" w:rsidRPr="004A0958" w:rsidRDefault="00D31F42" w:rsidP="00074FC0">
      <w:pPr>
        <w:tabs>
          <w:tab w:val="left" w:pos="900"/>
          <w:tab w:val="left" w:pos="1080"/>
        </w:tabs>
        <w:spacing w:line="259" w:lineRule="auto"/>
        <w:ind w:left="720" w:hanging="180"/>
        <w:contextualSpacing/>
        <w:rPr>
          <w:rFonts w:ascii="Calibri" w:hAnsi="Calibri"/>
          <w:b/>
        </w:rPr>
      </w:pPr>
      <w:r w:rsidRPr="004A0958">
        <w:rPr>
          <w:rFonts w:ascii="Calibri" w:hAnsi="Calibri"/>
          <w:b/>
        </w:rPr>
        <w:t xml:space="preserve">(b)   Review of other entities </w:t>
      </w:r>
    </w:p>
    <w:p w:rsidR="00D31F42" w:rsidRPr="004A0958" w:rsidRDefault="00D31F42" w:rsidP="00C07538">
      <w:pPr>
        <w:spacing w:line="259" w:lineRule="auto"/>
        <w:ind w:left="720"/>
        <w:contextualSpacing/>
        <w:rPr>
          <w:rFonts w:ascii="Calibri" w:hAnsi="Calibri"/>
          <w:b/>
        </w:rPr>
      </w:pPr>
    </w:p>
    <w:p w:rsidR="00D31F42" w:rsidRPr="004A0958" w:rsidRDefault="00D31F42" w:rsidP="00074FC0">
      <w:pPr>
        <w:ind w:left="990"/>
        <w:jc w:val="both"/>
        <w:rPr>
          <w:rFonts w:ascii="Calibri" w:hAnsi="Calibri"/>
          <w:lang w:val="en-US"/>
        </w:rPr>
      </w:pPr>
      <w:r w:rsidRPr="004A0958">
        <w:rPr>
          <w:rFonts w:ascii="Calibri" w:hAnsi="Calibri"/>
          <w:lang w:val="en-US"/>
        </w:rPr>
        <w:t>Apart from the PIEs reviewed as per (a) above, FRC also selected for review the following PIEs:</w:t>
      </w:r>
    </w:p>
    <w:p w:rsidR="00D31F42" w:rsidRPr="004A0958" w:rsidRDefault="00D31F42" w:rsidP="00074FC0">
      <w:pPr>
        <w:ind w:left="990"/>
        <w:jc w:val="both"/>
        <w:rPr>
          <w:rFonts w:ascii="Calibri" w:hAnsi="Calibri"/>
          <w:lang w:val="en-US"/>
        </w:rPr>
      </w:pPr>
    </w:p>
    <w:p w:rsidR="00D31F42" w:rsidRPr="004A0958" w:rsidRDefault="00D31F42" w:rsidP="00F7611C">
      <w:pPr>
        <w:numPr>
          <w:ilvl w:val="0"/>
          <w:numId w:val="21"/>
        </w:numPr>
        <w:ind w:left="1440"/>
        <w:jc w:val="both"/>
        <w:rPr>
          <w:rFonts w:ascii="Calibri" w:hAnsi="Calibri"/>
          <w:lang w:val="en-US"/>
        </w:rPr>
      </w:pPr>
      <w:r w:rsidRPr="004A0958">
        <w:rPr>
          <w:rFonts w:ascii="Calibri" w:hAnsi="Calibri"/>
          <w:lang w:val="en-US"/>
        </w:rPr>
        <w:t>entities listed on the Stock Exchange of Mauritius;</w:t>
      </w:r>
    </w:p>
    <w:p w:rsidR="00D31F42" w:rsidRPr="004A0958" w:rsidRDefault="00D31F42" w:rsidP="00F7611C">
      <w:pPr>
        <w:numPr>
          <w:ilvl w:val="0"/>
          <w:numId w:val="21"/>
        </w:numPr>
        <w:ind w:left="1440"/>
        <w:jc w:val="both"/>
        <w:rPr>
          <w:rFonts w:ascii="Calibri" w:hAnsi="Calibri"/>
          <w:lang w:val="en-US"/>
        </w:rPr>
      </w:pPr>
      <w:r w:rsidRPr="004A0958">
        <w:rPr>
          <w:rFonts w:ascii="Calibri" w:hAnsi="Calibri"/>
          <w:lang w:val="en-US"/>
        </w:rPr>
        <w:t xml:space="preserve">entities that scored a grade 3 in its previous review; </w:t>
      </w:r>
    </w:p>
    <w:p w:rsidR="00D31F42" w:rsidRPr="004A0958" w:rsidRDefault="00D31F42" w:rsidP="00F7611C">
      <w:pPr>
        <w:numPr>
          <w:ilvl w:val="0"/>
          <w:numId w:val="21"/>
        </w:numPr>
        <w:ind w:left="1440"/>
        <w:jc w:val="both"/>
        <w:rPr>
          <w:rFonts w:ascii="Calibri" w:hAnsi="Calibri"/>
          <w:lang w:val="en-US"/>
        </w:rPr>
      </w:pPr>
      <w:r w:rsidRPr="004A0958">
        <w:rPr>
          <w:rFonts w:ascii="Calibri" w:hAnsi="Calibri"/>
          <w:lang w:val="en-US"/>
        </w:rPr>
        <w:t xml:space="preserve">PIEs for which complaints were received; and </w:t>
      </w:r>
    </w:p>
    <w:p w:rsidR="00D31F42" w:rsidRPr="004A0958" w:rsidRDefault="00D31F42" w:rsidP="00F7611C">
      <w:pPr>
        <w:numPr>
          <w:ilvl w:val="0"/>
          <w:numId w:val="21"/>
        </w:numPr>
        <w:ind w:left="1440"/>
        <w:jc w:val="both"/>
        <w:rPr>
          <w:rFonts w:ascii="Calibri" w:hAnsi="Calibri"/>
          <w:lang w:val="en-US"/>
        </w:rPr>
      </w:pPr>
      <w:r w:rsidRPr="004A0958">
        <w:rPr>
          <w:rFonts w:ascii="Calibri" w:hAnsi="Calibri"/>
        </w:rPr>
        <w:t>S</w:t>
      </w:r>
      <w:r w:rsidR="004F5E3B">
        <w:rPr>
          <w:rFonts w:ascii="Calibri" w:hAnsi="Calibri"/>
        </w:rPr>
        <w:t>tate Owned Enterprises (S</w:t>
      </w:r>
      <w:r w:rsidRPr="004A0958">
        <w:rPr>
          <w:rFonts w:ascii="Calibri" w:hAnsi="Calibri"/>
        </w:rPr>
        <w:t>OEs</w:t>
      </w:r>
      <w:r w:rsidR="004F5E3B">
        <w:rPr>
          <w:rFonts w:ascii="Calibri" w:hAnsi="Calibri"/>
        </w:rPr>
        <w:t>)</w:t>
      </w:r>
      <w:r w:rsidRPr="004A0958">
        <w:rPr>
          <w:rFonts w:ascii="Calibri" w:hAnsi="Calibri"/>
        </w:rPr>
        <w:t xml:space="preserve"> listed in the First Schedule of the Financial Reporting Act 2004</w:t>
      </w:r>
      <w:r w:rsidRPr="004A0958">
        <w:rPr>
          <w:rFonts w:ascii="Calibri" w:hAnsi="Calibri"/>
          <w:lang w:val="en-US"/>
        </w:rPr>
        <w:t>.</w:t>
      </w:r>
    </w:p>
    <w:p w:rsidR="00D31F42" w:rsidRPr="004A0958" w:rsidRDefault="00D31F42" w:rsidP="00FA44A9">
      <w:pPr>
        <w:ind w:left="720"/>
        <w:rPr>
          <w:rFonts w:ascii="Calibri" w:hAnsi="Calibri"/>
          <w:lang w:val="en-US"/>
        </w:rPr>
      </w:pPr>
    </w:p>
    <w:p w:rsidR="00D31F42" w:rsidRPr="004A0958" w:rsidRDefault="00D31F42" w:rsidP="00074FC0">
      <w:pPr>
        <w:ind w:left="990"/>
        <w:jc w:val="both"/>
        <w:rPr>
          <w:rFonts w:ascii="Calibri" w:hAnsi="Calibri" w:cs="Arial"/>
          <w:bCs/>
        </w:rPr>
      </w:pPr>
      <w:r w:rsidRPr="004A0958">
        <w:rPr>
          <w:rFonts w:ascii="Calibri" w:hAnsi="Calibri" w:cs="Arial"/>
          <w:bCs/>
        </w:rPr>
        <w:t xml:space="preserve">For the six months ended 30 June 2016, FRC carried out the review of a group which has 14 PIEs. Also, FRC reviewed the annual reports of 13 other PIEs. </w:t>
      </w:r>
    </w:p>
    <w:p w:rsidR="00D31F42" w:rsidRPr="004A0958" w:rsidRDefault="00D31F42" w:rsidP="00074FC0">
      <w:pPr>
        <w:ind w:left="990"/>
        <w:jc w:val="both"/>
        <w:rPr>
          <w:rFonts w:ascii="Calibri" w:hAnsi="Calibri" w:cs="Arial"/>
          <w:bCs/>
        </w:rPr>
      </w:pPr>
      <w:r w:rsidRPr="004A0958">
        <w:rPr>
          <w:rFonts w:ascii="Calibri" w:hAnsi="Calibri" w:cs="Arial"/>
          <w:bCs/>
        </w:rPr>
        <w:lastRenderedPageBreak/>
        <w:t>The annual reports reviewed had year ends December 2014 (4), March 2015 (1), June 2015 (21) and December 2015 (1).</w:t>
      </w:r>
    </w:p>
    <w:p w:rsidR="00D31F42" w:rsidRPr="004A0958" w:rsidRDefault="00D31F42" w:rsidP="00074FC0">
      <w:pPr>
        <w:ind w:left="990"/>
        <w:jc w:val="both"/>
        <w:rPr>
          <w:rFonts w:ascii="Calibri" w:hAnsi="Calibri" w:cs="Arial"/>
          <w:bCs/>
        </w:rPr>
      </w:pPr>
    </w:p>
    <w:p w:rsidR="00D31F42" w:rsidRPr="004A0958" w:rsidRDefault="00D31F42" w:rsidP="00074FC0">
      <w:pPr>
        <w:ind w:left="990"/>
        <w:jc w:val="both"/>
        <w:rPr>
          <w:rFonts w:ascii="Calibri" w:hAnsi="Calibri" w:cs="Arial"/>
          <w:bCs/>
          <w:color w:val="0070C0"/>
        </w:rPr>
      </w:pPr>
      <w:r w:rsidRPr="004A0958">
        <w:rPr>
          <w:rFonts w:ascii="Calibri" w:hAnsi="Calibri" w:cs="Arial"/>
          <w:bCs/>
        </w:rPr>
        <w:t>The table below indicates the categories of PIEs and their corresponding sectors for full annual report reviews:</w:t>
      </w:r>
    </w:p>
    <w:tbl>
      <w:tblPr>
        <w:tblpPr w:leftFromText="180" w:rightFromText="180" w:vertAnchor="text" w:horzAnchor="margin" w:tblpXSpec="right" w:tblpY="244"/>
        <w:tblOverlap w:val="never"/>
        <w:tblW w:w="7218" w:type="dxa"/>
        <w:tblLayout w:type="fixed"/>
        <w:tblLook w:val="00A0" w:firstRow="1" w:lastRow="0" w:firstColumn="1" w:lastColumn="0" w:noHBand="0" w:noVBand="0"/>
      </w:tblPr>
      <w:tblGrid>
        <w:gridCol w:w="1242"/>
        <w:gridCol w:w="720"/>
        <w:gridCol w:w="990"/>
        <w:gridCol w:w="810"/>
        <w:gridCol w:w="990"/>
        <w:gridCol w:w="792"/>
        <w:gridCol w:w="828"/>
        <w:gridCol w:w="846"/>
      </w:tblGrid>
      <w:tr w:rsidR="00D31F42" w:rsidRPr="004A0958" w:rsidTr="00B32F23">
        <w:trPr>
          <w:trHeight w:val="270"/>
        </w:trPr>
        <w:tc>
          <w:tcPr>
            <w:tcW w:w="1242" w:type="dxa"/>
            <w:vMerge w:val="restart"/>
            <w:tcBorders>
              <w:top w:val="single" w:sz="8" w:space="0" w:color="auto"/>
              <w:left w:val="single" w:sz="8" w:space="0" w:color="auto"/>
              <w:bottom w:val="single" w:sz="8" w:space="0" w:color="000000"/>
              <w:right w:val="single" w:sz="8" w:space="0" w:color="000000"/>
            </w:tcBorders>
            <w:shd w:val="clear" w:color="auto" w:fill="EAF1DD"/>
            <w:vAlign w:val="bottom"/>
          </w:tcPr>
          <w:p w:rsidR="00D31F42" w:rsidRPr="004A0958" w:rsidRDefault="00D31F42" w:rsidP="004A0958">
            <w:pPr>
              <w:jc w:val="center"/>
              <w:rPr>
                <w:rFonts w:ascii="Calibri" w:hAnsi="Calibri" w:cs="Arial"/>
                <w:b/>
                <w:bCs/>
                <w:sz w:val="16"/>
                <w:szCs w:val="16"/>
              </w:rPr>
            </w:pPr>
            <w:r w:rsidRPr="004A0958">
              <w:rPr>
                <w:rFonts w:ascii="Calibri" w:hAnsi="Calibri" w:cs="Arial"/>
                <w:b/>
                <w:bCs/>
                <w:sz w:val="16"/>
                <w:szCs w:val="16"/>
              </w:rPr>
              <w:t>Types of PIEs</w:t>
            </w:r>
          </w:p>
        </w:tc>
        <w:tc>
          <w:tcPr>
            <w:tcW w:w="5976" w:type="dxa"/>
            <w:gridSpan w:val="7"/>
            <w:tcBorders>
              <w:top w:val="single" w:sz="8" w:space="0" w:color="auto"/>
              <w:left w:val="single" w:sz="8" w:space="0" w:color="auto"/>
              <w:bottom w:val="single" w:sz="8" w:space="0" w:color="000000"/>
              <w:right w:val="single" w:sz="8" w:space="0" w:color="000000"/>
            </w:tcBorders>
            <w:shd w:val="clear" w:color="auto" w:fill="EAF1DD"/>
          </w:tcPr>
          <w:p w:rsidR="00D31F42" w:rsidRPr="004A0958" w:rsidRDefault="00D31F42" w:rsidP="004A0958">
            <w:pPr>
              <w:jc w:val="center"/>
              <w:rPr>
                <w:rFonts w:ascii="Calibri" w:hAnsi="Calibri" w:cs="Arial"/>
                <w:b/>
                <w:bCs/>
                <w:sz w:val="19"/>
                <w:szCs w:val="19"/>
              </w:rPr>
            </w:pPr>
            <w:r w:rsidRPr="004A0958">
              <w:rPr>
                <w:rFonts w:ascii="Calibri" w:hAnsi="Calibri" w:cs="Arial"/>
                <w:b/>
                <w:bCs/>
                <w:sz w:val="19"/>
                <w:szCs w:val="19"/>
              </w:rPr>
              <w:t>Sectors</w:t>
            </w:r>
          </w:p>
        </w:tc>
      </w:tr>
      <w:tr w:rsidR="00D31F42" w:rsidRPr="004A0958" w:rsidTr="00B32F23">
        <w:trPr>
          <w:trHeight w:val="735"/>
        </w:trPr>
        <w:tc>
          <w:tcPr>
            <w:tcW w:w="1242" w:type="dxa"/>
            <w:vMerge/>
            <w:tcBorders>
              <w:top w:val="single" w:sz="8" w:space="0" w:color="auto"/>
              <w:left w:val="single" w:sz="8" w:space="0" w:color="auto"/>
              <w:bottom w:val="single" w:sz="8" w:space="0" w:color="000000"/>
              <w:right w:val="single" w:sz="8" w:space="0" w:color="000000"/>
            </w:tcBorders>
            <w:shd w:val="clear" w:color="auto" w:fill="EAF1DD"/>
            <w:vAlign w:val="center"/>
          </w:tcPr>
          <w:p w:rsidR="00D31F42" w:rsidRPr="004A0958" w:rsidRDefault="00D31F42" w:rsidP="004A0958">
            <w:pPr>
              <w:jc w:val="center"/>
              <w:rPr>
                <w:rFonts w:ascii="Calibri" w:hAnsi="Calibri" w:cs="Arial"/>
                <w:b/>
                <w:bCs/>
                <w:sz w:val="16"/>
                <w:szCs w:val="16"/>
              </w:rPr>
            </w:pPr>
          </w:p>
        </w:tc>
        <w:tc>
          <w:tcPr>
            <w:tcW w:w="720" w:type="dxa"/>
            <w:tcBorders>
              <w:top w:val="nil"/>
              <w:left w:val="nil"/>
              <w:bottom w:val="single" w:sz="8" w:space="0" w:color="auto"/>
              <w:right w:val="single" w:sz="8" w:space="0" w:color="auto"/>
            </w:tcBorders>
            <w:shd w:val="clear" w:color="auto" w:fill="EAF1DD"/>
            <w:vAlign w:val="bottom"/>
          </w:tcPr>
          <w:p w:rsidR="00D31F42" w:rsidRPr="004A0958" w:rsidRDefault="00D31F42" w:rsidP="004A0958">
            <w:pPr>
              <w:jc w:val="center"/>
              <w:rPr>
                <w:rFonts w:ascii="Calibri" w:hAnsi="Calibri" w:cs="Arial"/>
                <w:b/>
                <w:bCs/>
                <w:sz w:val="16"/>
                <w:szCs w:val="16"/>
              </w:rPr>
            </w:pPr>
            <w:r w:rsidRPr="004A0958">
              <w:rPr>
                <w:rFonts w:ascii="Calibri" w:hAnsi="Calibri" w:cs="Arial"/>
                <w:b/>
                <w:bCs/>
                <w:sz w:val="16"/>
                <w:szCs w:val="16"/>
              </w:rPr>
              <w:t>BIF</w:t>
            </w:r>
          </w:p>
        </w:tc>
        <w:tc>
          <w:tcPr>
            <w:tcW w:w="990" w:type="dxa"/>
            <w:tcBorders>
              <w:top w:val="nil"/>
              <w:left w:val="nil"/>
              <w:bottom w:val="single" w:sz="8" w:space="0" w:color="auto"/>
              <w:right w:val="single" w:sz="8" w:space="0" w:color="auto"/>
            </w:tcBorders>
            <w:shd w:val="clear" w:color="auto" w:fill="EAF1DD"/>
            <w:vAlign w:val="bottom"/>
          </w:tcPr>
          <w:p w:rsidR="00D31F42" w:rsidRPr="004A0958" w:rsidRDefault="00D31F42" w:rsidP="004A0958">
            <w:pPr>
              <w:jc w:val="center"/>
              <w:rPr>
                <w:rFonts w:ascii="Calibri" w:hAnsi="Calibri" w:cs="Arial"/>
                <w:b/>
                <w:bCs/>
                <w:sz w:val="16"/>
                <w:szCs w:val="16"/>
              </w:rPr>
            </w:pPr>
            <w:r w:rsidRPr="004A0958">
              <w:rPr>
                <w:rFonts w:ascii="Calibri" w:hAnsi="Calibri" w:cs="Arial"/>
                <w:b/>
                <w:bCs/>
                <w:sz w:val="16"/>
                <w:szCs w:val="16"/>
              </w:rPr>
              <w:t>Commerce</w:t>
            </w:r>
          </w:p>
        </w:tc>
        <w:tc>
          <w:tcPr>
            <w:tcW w:w="810" w:type="dxa"/>
            <w:tcBorders>
              <w:top w:val="nil"/>
              <w:left w:val="nil"/>
              <w:bottom w:val="single" w:sz="8" w:space="0" w:color="auto"/>
              <w:right w:val="single" w:sz="8" w:space="0" w:color="auto"/>
            </w:tcBorders>
            <w:shd w:val="clear" w:color="auto" w:fill="EAF1DD"/>
            <w:vAlign w:val="bottom"/>
          </w:tcPr>
          <w:p w:rsidR="00D31F42" w:rsidRPr="004A0958" w:rsidRDefault="00D31F42" w:rsidP="004A0958">
            <w:pPr>
              <w:jc w:val="center"/>
              <w:rPr>
                <w:rFonts w:ascii="Calibri" w:hAnsi="Calibri" w:cs="Arial"/>
                <w:b/>
                <w:bCs/>
                <w:sz w:val="16"/>
                <w:szCs w:val="16"/>
              </w:rPr>
            </w:pPr>
            <w:r w:rsidRPr="004A0958">
              <w:rPr>
                <w:rFonts w:ascii="Calibri" w:hAnsi="Calibri" w:cs="Arial"/>
                <w:b/>
                <w:bCs/>
                <w:sz w:val="16"/>
                <w:szCs w:val="16"/>
              </w:rPr>
              <w:t>Industry</w:t>
            </w:r>
          </w:p>
        </w:tc>
        <w:tc>
          <w:tcPr>
            <w:tcW w:w="990" w:type="dxa"/>
            <w:tcBorders>
              <w:top w:val="nil"/>
              <w:left w:val="nil"/>
              <w:bottom w:val="single" w:sz="8" w:space="0" w:color="auto"/>
              <w:right w:val="single" w:sz="8" w:space="0" w:color="auto"/>
            </w:tcBorders>
            <w:shd w:val="clear" w:color="auto" w:fill="EAF1DD"/>
            <w:vAlign w:val="bottom"/>
          </w:tcPr>
          <w:p w:rsidR="00D31F42" w:rsidRPr="004A0958" w:rsidRDefault="00D31F42" w:rsidP="004A0958">
            <w:pPr>
              <w:jc w:val="center"/>
              <w:rPr>
                <w:rFonts w:ascii="Calibri" w:hAnsi="Calibri" w:cs="Arial"/>
                <w:b/>
                <w:bCs/>
                <w:sz w:val="16"/>
                <w:szCs w:val="16"/>
              </w:rPr>
            </w:pPr>
            <w:r w:rsidRPr="004A0958">
              <w:rPr>
                <w:rFonts w:ascii="Calibri" w:hAnsi="Calibri" w:cs="Arial"/>
                <w:b/>
                <w:bCs/>
                <w:sz w:val="16"/>
                <w:szCs w:val="16"/>
              </w:rPr>
              <w:t>Investment</w:t>
            </w:r>
          </w:p>
        </w:tc>
        <w:tc>
          <w:tcPr>
            <w:tcW w:w="792" w:type="dxa"/>
            <w:tcBorders>
              <w:top w:val="nil"/>
              <w:left w:val="nil"/>
              <w:bottom w:val="single" w:sz="8" w:space="0" w:color="auto"/>
              <w:right w:val="single" w:sz="8" w:space="0" w:color="auto"/>
            </w:tcBorders>
            <w:shd w:val="clear" w:color="auto" w:fill="EAF1DD"/>
            <w:vAlign w:val="bottom"/>
          </w:tcPr>
          <w:p w:rsidR="00D31F42" w:rsidRPr="004A0958" w:rsidRDefault="00D31F42" w:rsidP="004A0958">
            <w:pPr>
              <w:jc w:val="center"/>
              <w:rPr>
                <w:rFonts w:ascii="Calibri" w:hAnsi="Calibri" w:cs="Arial"/>
                <w:b/>
                <w:bCs/>
                <w:sz w:val="16"/>
                <w:szCs w:val="16"/>
              </w:rPr>
            </w:pPr>
            <w:r w:rsidRPr="004A0958">
              <w:rPr>
                <w:rFonts w:ascii="Calibri" w:hAnsi="Calibri" w:cs="Arial"/>
                <w:b/>
                <w:bCs/>
                <w:sz w:val="16"/>
                <w:szCs w:val="16"/>
              </w:rPr>
              <w:t>Leisure &amp; Hotels</w:t>
            </w:r>
          </w:p>
        </w:tc>
        <w:tc>
          <w:tcPr>
            <w:tcW w:w="828" w:type="dxa"/>
            <w:tcBorders>
              <w:top w:val="nil"/>
              <w:left w:val="nil"/>
              <w:bottom w:val="single" w:sz="8" w:space="0" w:color="auto"/>
              <w:right w:val="single" w:sz="4" w:space="0" w:color="auto"/>
            </w:tcBorders>
            <w:shd w:val="clear" w:color="auto" w:fill="EAF1DD"/>
            <w:vAlign w:val="bottom"/>
          </w:tcPr>
          <w:p w:rsidR="00D31F42" w:rsidRPr="004A0958" w:rsidRDefault="00D31F42" w:rsidP="004A0958">
            <w:pPr>
              <w:jc w:val="center"/>
              <w:rPr>
                <w:rFonts w:ascii="Calibri" w:hAnsi="Calibri" w:cs="Arial"/>
                <w:b/>
                <w:bCs/>
                <w:sz w:val="16"/>
                <w:szCs w:val="16"/>
              </w:rPr>
            </w:pPr>
            <w:r w:rsidRPr="004A0958">
              <w:rPr>
                <w:rFonts w:ascii="Calibri" w:hAnsi="Calibri" w:cs="Arial"/>
                <w:b/>
                <w:bCs/>
                <w:sz w:val="16"/>
                <w:szCs w:val="16"/>
              </w:rPr>
              <w:t>Others</w:t>
            </w:r>
          </w:p>
        </w:tc>
        <w:tc>
          <w:tcPr>
            <w:tcW w:w="846" w:type="dxa"/>
            <w:tcBorders>
              <w:top w:val="nil"/>
              <w:left w:val="single" w:sz="4" w:space="0" w:color="auto"/>
              <w:bottom w:val="single" w:sz="8" w:space="0" w:color="auto"/>
              <w:right w:val="single" w:sz="8" w:space="0" w:color="auto"/>
            </w:tcBorders>
            <w:shd w:val="clear" w:color="auto" w:fill="EAF1DD"/>
            <w:vAlign w:val="bottom"/>
          </w:tcPr>
          <w:p w:rsidR="00D31F42" w:rsidRPr="004A0958" w:rsidRDefault="00D31F42" w:rsidP="004A0958">
            <w:pPr>
              <w:jc w:val="center"/>
              <w:rPr>
                <w:rFonts w:ascii="Calibri" w:hAnsi="Calibri" w:cs="Arial"/>
                <w:b/>
                <w:bCs/>
                <w:sz w:val="16"/>
                <w:szCs w:val="16"/>
              </w:rPr>
            </w:pPr>
            <w:r w:rsidRPr="004A0958">
              <w:rPr>
                <w:rFonts w:ascii="Calibri" w:hAnsi="Calibri" w:cs="Arial"/>
                <w:b/>
                <w:bCs/>
                <w:sz w:val="16"/>
                <w:szCs w:val="16"/>
              </w:rPr>
              <w:t>Total</w:t>
            </w:r>
          </w:p>
        </w:tc>
      </w:tr>
      <w:tr w:rsidR="00D31F42" w:rsidRPr="004A0958" w:rsidTr="00B32F23">
        <w:trPr>
          <w:trHeight w:val="270"/>
        </w:trPr>
        <w:tc>
          <w:tcPr>
            <w:tcW w:w="1242" w:type="dxa"/>
            <w:tcBorders>
              <w:top w:val="nil"/>
              <w:left w:val="single" w:sz="8" w:space="0" w:color="auto"/>
              <w:bottom w:val="single" w:sz="8" w:space="0" w:color="auto"/>
              <w:right w:val="single" w:sz="8" w:space="0" w:color="auto"/>
            </w:tcBorders>
          </w:tcPr>
          <w:p w:rsidR="00D31F42" w:rsidRPr="004A0958" w:rsidRDefault="00D31F42" w:rsidP="004A0958">
            <w:pPr>
              <w:rPr>
                <w:rFonts w:ascii="Calibri" w:hAnsi="Calibri" w:cs="Arial"/>
                <w:sz w:val="16"/>
                <w:szCs w:val="16"/>
                <w:highlight w:val="yellow"/>
              </w:rPr>
            </w:pPr>
            <w:r w:rsidRPr="004A0958">
              <w:rPr>
                <w:rFonts w:ascii="Calibri" w:hAnsi="Calibri" w:cs="Arial"/>
                <w:sz w:val="16"/>
                <w:szCs w:val="16"/>
              </w:rPr>
              <w:t>Listed on SEM</w:t>
            </w:r>
          </w:p>
        </w:tc>
        <w:tc>
          <w:tcPr>
            <w:tcW w:w="720" w:type="dxa"/>
            <w:tcBorders>
              <w:top w:val="nil"/>
              <w:left w:val="nil"/>
              <w:bottom w:val="single" w:sz="8" w:space="0" w:color="auto"/>
              <w:right w:val="single" w:sz="8" w:space="0" w:color="auto"/>
            </w:tcBorders>
            <w:noWrap/>
            <w:vAlign w:val="bottom"/>
          </w:tcPr>
          <w:p w:rsidR="00D31F42" w:rsidRPr="004A0958" w:rsidRDefault="00D31F42" w:rsidP="004A0958">
            <w:pPr>
              <w:jc w:val="center"/>
              <w:rPr>
                <w:rFonts w:ascii="Calibri" w:hAnsi="Calibri" w:cs="Arial"/>
                <w:sz w:val="19"/>
                <w:szCs w:val="19"/>
                <w:highlight w:val="yellow"/>
              </w:rPr>
            </w:pPr>
            <w:r w:rsidRPr="004A0958">
              <w:rPr>
                <w:rFonts w:ascii="Calibri" w:hAnsi="Calibri" w:cs="Arial"/>
                <w:sz w:val="19"/>
                <w:szCs w:val="19"/>
              </w:rPr>
              <w:t>-</w:t>
            </w:r>
          </w:p>
        </w:tc>
        <w:tc>
          <w:tcPr>
            <w:tcW w:w="990" w:type="dxa"/>
            <w:tcBorders>
              <w:top w:val="nil"/>
              <w:left w:val="nil"/>
              <w:bottom w:val="single" w:sz="8" w:space="0" w:color="auto"/>
              <w:right w:val="single" w:sz="8" w:space="0" w:color="auto"/>
            </w:tcBorders>
            <w:noWrap/>
            <w:vAlign w:val="bottom"/>
          </w:tcPr>
          <w:p w:rsidR="00D31F42" w:rsidRPr="004A0958" w:rsidRDefault="00D31F42" w:rsidP="004A0958">
            <w:pPr>
              <w:jc w:val="center"/>
              <w:rPr>
                <w:rFonts w:ascii="Calibri" w:hAnsi="Calibri" w:cs="Arial"/>
                <w:sz w:val="19"/>
                <w:szCs w:val="19"/>
                <w:highlight w:val="yellow"/>
              </w:rPr>
            </w:pPr>
            <w:r w:rsidRPr="004A0958">
              <w:rPr>
                <w:rFonts w:ascii="Calibri" w:hAnsi="Calibri" w:cs="Arial"/>
                <w:sz w:val="19"/>
                <w:szCs w:val="19"/>
              </w:rPr>
              <w:t>1</w:t>
            </w:r>
          </w:p>
        </w:tc>
        <w:tc>
          <w:tcPr>
            <w:tcW w:w="810" w:type="dxa"/>
            <w:tcBorders>
              <w:top w:val="nil"/>
              <w:left w:val="nil"/>
              <w:bottom w:val="single" w:sz="8" w:space="0" w:color="auto"/>
              <w:right w:val="single" w:sz="8" w:space="0" w:color="auto"/>
            </w:tcBorders>
            <w:noWrap/>
            <w:vAlign w:val="bottom"/>
          </w:tcPr>
          <w:p w:rsidR="00D31F42" w:rsidRPr="004A0958" w:rsidRDefault="00D31F42" w:rsidP="004A0958">
            <w:pPr>
              <w:jc w:val="center"/>
              <w:rPr>
                <w:rFonts w:ascii="Calibri" w:hAnsi="Calibri" w:cs="Arial"/>
                <w:sz w:val="19"/>
                <w:szCs w:val="19"/>
                <w:highlight w:val="yellow"/>
              </w:rPr>
            </w:pPr>
            <w:r w:rsidRPr="004A0958">
              <w:rPr>
                <w:rFonts w:ascii="Calibri" w:hAnsi="Calibri" w:cs="Arial"/>
                <w:sz w:val="19"/>
                <w:szCs w:val="19"/>
              </w:rPr>
              <w:t>2</w:t>
            </w:r>
          </w:p>
        </w:tc>
        <w:tc>
          <w:tcPr>
            <w:tcW w:w="990" w:type="dxa"/>
            <w:tcBorders>
              <w:top w:val="nil"/>
              <w:left w:val="nil"/>
              <w:bottom w:val="single" w:sz="8" w:space="0" w:color="auto"/>
              <w:right w:val="single" w:sz="8" w:space="0" w:color="auto"/>
            </w:tcBorders>
            <w:noWrap/>
            <w:vAlign w:val="bottom"/>
          </w:tcPr>
          <w:p w:rsidR="00D31F42" w:rsidRPr="004A0958" w:rsidRDefault="00D31F42" w:rsidP="004A0958">
            <w:pPr>
              <w:jc w:val="center"/>
              <w:rPr>
                <w:rFonts w:ascii="Calibri" w:hAnsi="Calibri" w:cs="Arial"/>
                <w:sz w:val="19"/>
                <w:szCs w:val="19"/>
                <w:highlight w:val="yellow"/>
              </w:rPr>
            </w:pPr>
            <w:r w:rsidRPr="004A0958">
              <w:rPr>
                <w:rFonts w:ascii="Calibri" w:hAnsi="Calibri" w:cs="Arial"/>
                <w:sz w:val="19"/>
                <w:szCs w:val="19"/>
              </w:rPr>
              <w:t>4</w:t>
            </w:r>
          </w:p>
        </w:tc>
        <w:tc>
          <w:tcPr>
            <w:tcW w:w="792" w:type="dxa"/>
            <w:tcBorders>
              <w:top w:val="nil"/>
              <w:left w:val="nil"/>
              <w:bottom w:val="single" w:sz="8" w:space="0" w:color="auto"/>
              <w:right w:val="single" w:sz="8" w:space="0" w:color="auto"/>
            </w:tcBorders>
            <w:noWrap/>
            <w:vAlign w:val="bottom"/>
          </w:tcPr>
          <w:p w:rsidR="00D31F42" w:rsidRPr="004A0958" w:rsidRDefault="00D31F42" w:rsidP="004A0958">
            <w:pPr>
              <w:jc w:val="center"/>
              <w:rPr>
                <w:rFonts w:ascii="Calibri" w:hAnsi="Calibri" w:cs="Arial"/>
                <w:sz w:val="19"/>
                <w:szCs w:val="19"/>
                <w:highlight w:val="yellow"/>
              </w:rPr>
            </w:pPr>
            <w:r w:rsidRPr="004A0958">
              <w:rPr>
                <w:rFonts w:ascii="Calibri" w:hAnsi="Calibri" w:cs="Arial"/>
                <w:sz w:val="19"/>
                <w:szCs w:val="19"/>
              </w:rPr>
              <w:t>1</w:t>
            </w:r>
          </w:p>
        </w:tc>
        <w:tc>
          <w:tcPr>
            <w:tcW w:w="828" w:type="dxa"/>
            <w:tcBorders>
              <w:top w:val="nil"/>
              <w:left w:val="nil"/>
              <w:bottom w:val="single" w:sz="8" w:space="0" w:color="auto"/>
              <w:right w:val="single" w:sz="4" w:space="0" w:color="auto"/>
            </w:tcBorders>
            <w:noWrap/>
            <w:vAlign w:val="bottom"/>
          </w:tcPr>
          <w:p w:rsidR="00D31F42" w:rsidRPr="004A0958" w:rsidRDefault="00D31F42" w:rsidP="004A0958">
            <w:pPr>
              <w:jc w:val="center"/>
              <w:rPr>
                <w:rFonts w:ascii="Calibri" w:hAnsi="Calibri" w:cs="Arial"/>
                <w:sz w:val="19"/>
                <w:szCs w:val="19"/>
                <w:highlight w:val="yellow"/>
              </w:rPr>
            </w:pPr>
            <w:r w:rsidRPr="004A0958">
              <w:rPr>
                <w:rFonts w:ascii="Calibri" w:hAnsi="Calibri" w:cs="Arial"/>
                <w:sz w:val="19"/>
                <w:szCs w:val="19"/>
              </w:rPr>
              <w:t>2</w:t>
            </w:r>
          </w:p>
        </w:tc>
        <w:tc>
          <w:tcPr>
            <w:tcW w:w="846" w:type="dxa"/>
            <w:tcBorders>
              <w:top w:val="nil"/>
              <w:left w:val="single" w:sz="4" w:space="0" w:color="auto"/>
              <w:bottom w:val="single" w:sz="8" w:space="0" w:color="auto"/>
              <w:right w:val="single" w:sz="8" w:space="0" w:color="auto"/>
            </w:tcBorders>
            <w:noWrap/>
            <w:vAlign w:val="bottom"/>
          </w:tcPr>
          <w:p w:rsidR="00D31F42" w:rsidRPr="004A0958" w:rsidRDefault="00D31F42" w:rsidP="004A0958">
            <w:pPr>
              <w:jc w:val="center"/>
              <w:rPr>
                <w:rFonts w:ascii="Calibri" w:hAnsi="Calibri" w:cs="Arial"/>
                <w:sz w:val="19"/>
                <w:szCs w:val="19"/>
                <w:highlight w:val="yellow"/>
              </w:rPr>
            </w:pPr>
            <w:r w:rsidRPr="004A0958">
              <w:rPr>
                <w:rFonts w:ascii="Calibri" w:hAnsi="Calibri" w:cs="Arial"/>
                <w:sz w:val="19"/>
                <w:szCs w:val="19"/>
              </w:rPr>
              <w:t>10</w:t>
            </w:r>
          </w:p>
        </w:tc>
      </w:tr>
      <w:tr w:rsidR="00D31F42" w:rsidRPr="004A0958" w:rsidTr="00B32F23">
        <w:trPr>
          <w:trHeight w:val="1258"/>
        </w:trPr>
        <w:tc>
          <w:tcPr>
            <w:tcW w:w="1242" w:type="dxa"/>
            <w:tcBorders>
              <w:top w:val="nil"/>
              <w:left w:val="single" w:sz="8" w:space="0" w:color="auto"/>
              <w:bottom w:val="single" w:sz="8" w:space="0" w:color="auto"/>
              <w:right w:val="single" w:sz="8" w:space="0" w:color="auto"/>
            </w:tcBorders>
          </w:tcPr>
          <w:p w:rsidR="00D31F42" w:rsidRPr="004A0958" w:rsidRDefault="00D31F42" w:rsidP="004A0958">
            <w:pPr>
              <w:rPr>
                <w:rFonts w:ascii="Calibri" w:hAnsi="Calibri" w:cs="Arial"/>
                <w:sz w:val="16"/>
                <w:szCs w:val="16"/>
                <w:highlight w:val="yellow"/>
              </w:rPr>
            </w:pPr>
            <w:r w:rsidRPr="004A0958">
              <w:rPr>
                <w:rFonts w:ascii="Calibri" w:hAnsi="Calibri" w:cs="Arial"/>
                <w:sz w:val="16"/>
                <w:szCs w:val="16"/>
              </w:rPr>
              <w:t>Financial institutions regulated by BOM (excluding cash dealers)</w:t>
            </w:r>
          </w:p>
        </w:tc>
        <w:tc>
          <w:tcPr>
            <w:tcW w:w="720" w:type="dxa"/>
            <w:tcBorders>
              <w:top w:val="nil"/>
              <w:left w:val="nil"/>
              <w:bottom w:val="single" w:sz="8" w:space="0" w:color="auto"/>
              <w:right w:val="single" w:sz="8" w:space="0" w:color="auto"/>
            </w:tcBorders>
            <w:noWrap/>
            <w:vAlign w:val="bottom"/>
          </w:tcPr>
          <w:p w:rsidR="00D31F42" w:rsidRPr="004A0958" w:rsidRDefault="00D31F42" w:rsidP="004A0958">
            <w:pPr>
              <w:jc w:val="center"/>
              <w:rPr>
                <w:rFonts w:ascii="Calibri" w:hAnsi="Calibri" w:cs="Arial"/>
                <w:sz w:val="19"/>
                <w:szCs w:val="19"/>
              </w:rPr>
            </w:pPr>
            <w:r w:rsidRPr="004A0958">
              <w:rPr>
                <w:rFonts w:ascii="Calibri" w:hAnsi="Calibri" w:cs="Arial"/>
                <w:sz w:val="19"/>
                <w:szCs w:val="19"/>
              </w:rPr>
              <w:t>1</w:t>
            </w:r>
          </w:p>
        </w:tc>
        <w:tc>
          <w:tcPr>
            <w:tcW w:w="990" w:type="dxa"/>
            <w:tcBorders>
              <w:top w:val="nil"/>
              <w:left w:val="nil"/>
              <w:bottom w:val="single" w:sz="8" w:space="0" w:color="auto"/>
              <w:right w:val="single" w:sz="8" w:space="0" w:color="auto"/>
            </w:tcBorders>
            <w:noWrap/>
            <w:vAlign w:val="bottom"/>
          </w:tcPr>
          <w:p w:rsidR="00D31F42" w:rsidRPr="004A0958" w:rsidRDefault="00D31F42" w:rsidP="004A0958">
            <w:pPr>
              <w:jc w:val="center"/>
              <w:rPr>
                <w:rFonts w:ascii="Calibri" w:hAnsi="Calibri" w:cs="Arial"/>
                <w:sz w:val="19"/>
                <w:szCs w:val="19"/>
              </w:rPr>
            </w:pPr>
            <w:r w:rsidRPr="004A0958">
              <w:rPr>
                <w:rFonts w:ascii="Calibri" w:hAnsi="Calibri" w:cs="Arial"/>
                <w:sz w:val="19"/>
                <w:szCs w:val="19"/>
              </w:rPr>
              <w:t>-</w:t>
            </w:r>
          </w:p>
        </w:tc>
        <w:tc>
          <w:tcPr>
            <w:tcW w:w="810" w:type="dxa"/>
            <w:tcBorders>
              <w:top w:val="nil"/>
              <w:left w:val="nil"/>
              <w:bottom w:val="single" w:sz="8" w:space="0" w:color="auto"/>
              <w:right w:val="single" w:sz="8" w:space="0" w:color="auto"/>
            </w:tcBorders>
            <w:noWrap/>
            <w:vAlign w:val="bottom"/>
          </w:tcPr>
          <w:p w:rsidR="00D31F42" w:rsidRPr="004A0958" w:rsidRDefault="00D31F42" w:rsidP="004A0958">
            <w:pPr>
              <w:jc w:val="center"/>
              <w:rPr>
                <w:rFonts w:ascii="Calibri" w:hAnsi="Calibri" w:cs="Arial"/>
                <w:sz w:val="19"/>
                <w:szCs w:val="19"/>
              </w:rPr>
            </w:pPr>
            <w:r w:rsidRPr="004A0958">
              <w:rPr>
                <w:rFonts w:ascii="Calibri" w:hAnsi="Calibri" w:cs="Arial"/>
                <w:sz w:val="19"/>
                <w:szCs w:val="19"/>
              </w:rPr>
              <w:t>-</w:t>
            </w:r>
          </w:p>
        </w:tc>
        <w:tc>
          <w:tcPr>
            <w:tcW w:w="990" w:type="dxa"/>
            <w:tcBorders>
              <w:top w:val="nil"/>
              <w:left w:val="nil"/>
              <w:bottom w:val="single" w:sz="8" w:space="0" w:color="auto"/>
              <w:right w:val="single" w:sz="8" w:space="0" w:color="auto"/>
            </w:tcBorders>
            <w:noWrap/>
            <w:vAlign w:val="bottom"/>
          </w:tcPr>
          <w:p w:rsidR="00D31F42" w:rsidRPr="004A0958" w:rsidRDefault="00D31F42" w:rsidP="004A0958">
            <w:pPr>
              <w:jc w:val="center"/>
              <w:rPr>
                <w:rFonts w:ascii="Calibri" w:hAnsi="Calibri" w:cs="Arial"/>
                <w:sz w:val="19"/>
                <w:szCs w:val="19"/>
              </w:rPr>
            </w:pPr>
            <w:r w:rsidRPr="004A0958">
              <w:rPr>
                <w:rFonts w:ascii="Calibri" w:hAnsi="Calibri" w:cs="Arial"/>
                <w:sz w:val="19"/>
                <w:szCs w:val="19"/>
              </w:rPr>
              <w:t>-</w:t>
            </w:r>
          </w:p>
        </w:tc>
        <w:tc>
          <w:tcPr>
            <w:tcW w:w="792" w:type="dxa"/>
            <w:tcBorders>
              <w:top w:val="nil"/>
              <w:left w:val="nil"/>
              <w:bottom w:val="single" w:sz="8" w:space="0" w:color="auto"/>
              <w:right w:val="single" w:sz="8" w:space="0" w:color="auto"/>
            </w:tcBorders>
            <w:noWrap/>
            <w:vAlign w:val="bottom"/>
          </w:tcPr>
          <w:p w:rsidR="00D31F42" w:rsidRPr="004A0958" w:rsidRDefault="00D31F42" w:rsidP="004A0958">
            <w:pPr>
              <w:jc w:val="center"/>
              <w:rPr>
                <w:rFonts w:ascii="Calibri" w:hAnsi="Calibri" w:cs="Arial"/>
                <w:sz w:val="19"/>
                <w:szCs w:val="19"/>
              </w:rPr>
            </w:pPr>
            <w:r w:rsidRPr="004A0958">
              <w:rPr>
                <w:rFonts w:ascii="Calibri" w:hAnsi="Calibri" w:cs="Arial"/>
                <w:sz w:val="19"/>
                <w:szCs w:val="19"/>
              </w:rPr>
              <w:t>-</w:t>
            </w:r>
          </w:p>
        </w:tc>
        <w:tc>
          <w:tcPr>
            <w:tcW w:w="828" w:type="dxa"/>
            <w:tcBorders>
              <w:top w:val="nil"/>
              <w:left w:val="nil"/>
              <w:bottom w:val="single" w:sz="8" w:space="0" w:color="auto"/>
              <w:right w:val="single" w:sz="4" w:space="0" w:color="auto"/>
            </w:tcBorders>
            <w:noWrap/>
            <w:vAlign w:val="bottom"/>
          </w:tcPr>
          <w:p w:rsidR="00D31F42" w:rsidRPr="004A0958" w:rsidRDefault="00D31F42" w:rsidP="004A0958">
            <w:pPr>
              <w:jc w:val="center"/>
              <w:rPr>
                <w:rFonts w:ascii="Calibri" w:hAnsi="Calibri" w:cs="Arial"/>
                <w:sz w:val="19"/>
                <w:szCs w:val="19"/>
              </w:rPr>
            </w:pPr>
            <w:r w:rsidRPr="004A0958">
              <w:rPr>
                <w:rFonts w:ascii="Calibri" w:hAnsi="Calibri" w:cs="Arial"/>
                <w:sz w:val="19"/>
                <w:szCs w:val="19"/>
              </w:rPr>
              <w:t>-</w:t>
            </w:r>
          </w:p>
        </w:tc>
        <w:tc>
          <w:tcPr>
            <w:tcW w:w="846" w:type="dxa"/>
            <w:tcBorders>
              <w:top w:val="nil"/>
              <w:left w:val="single" w:sz="4" w:space="0" w:color="auto"/>
              <w:bottom w:val="single" w:sz="8" w:space="0" w:color="auto"/>
              <w:right w:val="single" w:sz="8" w:space="0" w:color="auto"/>
            </w:tcBorders>
            <w:noWrap/>
            <w:vAlign w:val="bottom"/>
          </w:tcPr>
          <w:p w:rsidR="00D31F42" w:rsidRPr="004A0958" w:rsidRDefault="00D31F42" w:rsidP="004A0958">
            <w:pPr>
              <w:jc w:val="center"/>
              <w:rPr>
                <w:rFonts w:ascii="Calibri" w:hAnsi="Calibri" w:cs="Arial"/>
                <w:sz w:val="19"/>
                <w:szCs w:val="19"/>
              </w:rPr>
            </w:pPr>
            <w:r w:rsidRPr="004A0958">
              <w:rPr>
                <w:rFonts w:ascii="Calibri" w:hAnsi="Calibri" w:cs="Arial"/>
                <w:sz w:val="19"/>
                <w:szCs w:val="19"/>
              </w:rPr>
              <w:t>1</w:t>
            </w:r>
          </w:p>
        </w:tc>
      </w:tr>
      <w:tr w:rsidR="00D31F42" w:rsidRPr="004A0958" w:rsidTr="00B32F23">
        <w:trPr>
          <w:trHeight w:val="943"/>
        </w:trPr>
        <w:tc>
          <w:tcPr>
            <w:tcW w:w="1242" w:type="dxa"/>
            <w:tcBorders>
              <w:top w:val="nil"/>
              <w:left w:val="single" w:sz="8" w:space="0" w:color="auto"/>
              <w:bottom w:val="single" w:sz="4" w:space="0" w:color="auto"/>
              <w:right w:val="single" w:sz="8" w:space="0" w:color="auto"/>
            </w:tcBorders>
          </w:tcPr>
          <w:p w:rsidR="00D31F42" w:rsidRPr="004A0958" w:rsidRDefault="00D31F42" w:rsidP="004A0958">
            <w:pPr>
              <w:rPr>
                <w:rFonts w:ascii="Calibri" w:hAnsi="Calibri" w:cs="Arial"/>
                <w:sz w:val="16"/>
                <w:szCs w:val="16"/>
              </w:rPr>
            </w:pPr>
            <w:r w:rsidRPr="004A0958">
              <w:rPr>
                <w:rFonts w:ascii="Calibri" w:hAnsi="Calibri" w:cs="Arial"/>
                <w:sz w:val="16"/>
                <w:szCs w:val="16"/>
              </w:rPr>
              <w:t>Financial institutions regulated by FSC</w:t>
            </w:r>
          </w:p>
        </w:tc>
        <w:tc>
          <w:tcPr>
            <w:tcW w:w="720" w:type="dxa"/>
            <w:tcBorders>
              <w:top w:val="nil"/>
              <w:left w:val="nil"/>
              <w:bottom w:val="single" w:sz="4" w:space="0" w:color="auto"/>
              <w:right w:val="single" w:sz="8" w:space="0" w:color="auto"/>
            </w:tcBorders>
            <w:noWrap/>
            <w:vAlign w:val="bottom"/>
          </w:tcPr>
          <w:p w:rsidR="00D31F42" w:rsidRPr="004A0958" w:rsidRDefault="00D31F42" w:rsidP="004A0958">
            <w:pPr>
              <w:jc w:val="center"/>
              <w:rPr>
                <w:rFonts w:ascii="Calibri" w:hAnsi="Calibri" w:cs="Arial"/>
                <w:sz w:val="19"/>
                <w:szCs w:val="19"/>
              </w:rPr>
            </w:pPr>
            <w:r w:rsidRPr="004A0958">
              <w:rPr>
                <w:rFonts w:ascii="Calibri" w:hAnsi="Calibri" w:cs="Arial"/>
                <w:sz w:val="19"/>
                <w:szCs w:val="19"/>
              </w:rPr>
              <w:t>2</w:t>
            </w:r>
          </w:p>
        </w:tc>
        <w:tc>
          <w:tcPr>
            <w:tcW w:w="990" w:type="dxa"/>
            <w:tcBorders>
              <w:top w:val="nil"/>
              <w:left w:val="nil"/>
              <w:bottom w:val="single" w:sz="4" w:space="0" w:color="auto"/>
              <w:right w:val="single" w:sz="8" w:space="0" w:color="auto"/>
            </w:tcBorders>
            <w:noWrap/>
            <w:vAlign w:val="bottom"/>
          </w:tcPr>
          <w:p w:rsidR="00D31F42" w:rsidRPr="004A0958" w:rsidRDefault="00D31F42" w:rsidP="004A0958">
            <w:pPr>
              <w:jc w:val="center"/>
              <w:rPr>
                <w:rFonts w:ascii="Calibri" w:hAnsi="Calibri" w:cs="Arial"/>
                <w:sz w:val="19"/>
                <w:szCs w:val="19"/>
              </w:rPr>
            </w:pPr>
            <w:r w:rsidRPr="004A0958">
              <w:rPr>
                <w:rFonts w:ascii="Calibri" w:hAnsi="Calibri" w:cs="Arial"/>
                <w:sz w:val="19"/>
                <w:szCs w:val="19"/>
              </w:rPr>
              <w:t>-</w:t>
            </w:r>
          </w:p>
        </w:tc>
        <w:tc>
          <w:tcPr>
            <w:tcW w:w="810" w:type="dxa"/>
            <w:tcBorders>
              <w:top w:val="nil"/>
              <w:left w:val="nil"/>
              <w:bottom w:val="single" w:sz="4" w:space="0" w:color="auto"/>
              <w:right w:val="single" w:sz="8" w:space="0" w:color="auto"/>
            </w:tcBorders>
            <w:noWrap/>
            <w:vAlign w:val="bottom"/>
          </w:tcPr>
          <w:p w:rsidR="00D31F42" w:rsidRPr="004A0958" w:rsidRDefault="00D31F42" w:rsidP="004A0958">
            <w:pPr>
              <w:jc w:val="center"/>
              <w:rPr>
                <w:rFonts w:ascii="Calibri" w:hAnsi="Calibri" w:cs="Arial"/>
                <w:sz w:val="19"/>
                <w:szCs w:val="19"/>
              </w:rPr>
            </w:pPr>
            <w:r w:rsidRPr="004A0958">
              <w:rPr>
                <w:rFonts w:ascii="Calibri" w:hAnsi="Calibri" w:cs="Arial"/>
                <w:sz w:val="19"/>
                <w:szCs w:val="19"/>
              </w:rPr>
              <w:t>-</w:t>
            </w:r>
          </w:p>
        </w:tc>
        <w:tc>
          <w:tcPr>
            <w:tcW w:w="990" w:type="dxa"/>
            <w:tcBorders>
              <w:top w:val="nil"/>
              <w:left w:val="nil"/>
              <w:bottom w:val="single" w:sz="4" w:space="0" w:color="auto"/>
              <w:right w:val="single" w:sz="8" w:space="0" w:color="auto"/>
            </w:tcBorders>
            <w:noWrap/>
            <w:vAlign w:val="bottom"/>
          </w:tcPr>
          <w:p w:rsidR="00D31F42" w:rsidRPr="004A0958" w:rsidRDefault="00D31F42" w:rsidP="004A0958">
            <w:pPr>
              <w:jc w:val="center"/>
              <w:rPr>
                <w:rFonts w:ascii="Calibri" w:hAnsi="Calibri" w:cs="Arial"/>
                <w:sz w:val="19"/>
                <w:szCs w:val="19"/>
              </w:rPr>
            </w:pPr>
            <w:r w:rsidRPr="004A0958">
              <w:rPr>
                <w:rFonts w:ascii="Calibri" w:hAnsi="Calibri" w:cs="Arial"/>
                <w:sz w:val="19"/>
                <w:szCs w:val="19"/>
              </w:rPr>
              <w:t>-</w:t>
            </w:r>
          </w:p>
        </w:tc>
        <w:tc>
          <w:tcPr>
            <w:tcW w:w="792" w:type="dxa"/>
            <w:tcBorders>
              <w:top w:val="nil"/>
              <w:left w:val="nil"/>
              <w:bottom w:val="single" w:sz="4" w:space="0" w:color="auto"/>
              <w:right w:val="single" w:sz="8" w:space="0" w:color="auto"/>
            </w:tcBorders>
            <w:noWrap/>
            <w:vAlign w:val="bottom"/>
          </w:tcPr>
          <w:p w:rsidR="00D31F42" w:rsidRPr="004A0958" w:rsidRDefault="00D31F42" w:rsidP="004A0958">
            <w:pPr>
              <w:jc w:val="center"/>
              <w:rPr>
                <w:rFonts w:ascii="Calibri" w:hAnsi="Calibri" w:cs="Arial"/>
                <w:sz w:val="19"/>
                <w:szCs w:val="19"/>
              </w:rPr>
            </w:pPr>
            <w:r w:rsidRPr="004A0958">
              <w:rPr>
                <w:rFonts w:ascii="Calibri" w:hAnsi="Calibri" w:cs="Arial"/>
                <w:sz w:val="19"/>
                <w:szCs w:val="19"/>
              </w:rPr>
              <w:t>-</w:t>
            </w:r>
          </w:p>
        </w:tc>
        <w:tc>
          <w:tcPr>
            <w:tcW w:w="828" w:type="dxa"/>
            <w:tcBorders>
              <w:top w:val="nil"/>
              <w:left w:val="nil"/>
              <w:bottom w:val="single" w:sz="4" w:space="0" w:color="auto"/>
              <w:right w:val="single" w:sz="4" w:space="0" w:color="auto"/>
            </w:tcBorders>
            <w:noWrap/>
            <w:vAlign w:val="bottom"/>
          </w:tcPr>
          <w:p w:rsidR="00D31F42" w:rsidRPr="004A0958" w:rsidRDefault="00D31F42" w:rsidP="004A0958">
            <w:pPr>
              <w:jc w:val="center"/>
              <w:rPr>
                <w:rFonts w:ascii="Calibri" w:hAnsi="Calibri" w:cs="Arial"/>
                <w:sz w:val="19"/>
                <w:szCs w:val="19"/>
              </w:rPr>
            </w:pPr>
            <w:r w:rsidRPr="004A0958">
              <w:rPr>
                <w:rFonts w:ascii="Calibri" w:hAnsi="Calibri" w:cs="Arial"/>
                <w:sz w:val="19"/>
                <w:szCs w:val="19"/>
              </w:rPr>
              <w:t>-</w:t>
            </w:r>
          </w:p>
        </w:tc>
        <w:tc>
          <w:tcPr>
            <w:tcW w:w="846" w:type="dxa"/>
            <w:tcBorders>
              <w:top w:val="nil"/>
              <w:left w:val="single" w:sz="4" w:space="0" w:color="auto"/>
              <w:bottom w:val="single" w:sz="4" w:space="0" w:color="auto"/>
              <w:right w:val="single" w:sz="8" w:space="0" w:color="auto"/>
            </w:tcBorders>
            <w:noWrap/>
            <w:vAlign w:val="bottom"/>
          </w:tcPr>
          <w:p w:rsidR="00D31F42" w:rsidRPr="004A0958" w:rsidRDefault="00D31F42" w:rsidP="004A0958">
            <w:pPr>
              <w:jc w:val="center"/>
              <w:rPr>
                <w:rFonts w:ascii="Calibri" w:hAnsi="Calibri" w:cs="Arial"/>
                <w:sz w:val="19"/>
                <w:szCs w:val="19"/>
              </w:rPr>
            </w:pPr>
            <w:r w:rsidRPr="004A0958">
              <w:rPr>
                <w:rFonts w:ascii="Calibri" w:hAnsi="Calibri" w:cs="Arial"/>
                <w:sz w:val="19"/>
                <w:szCs w:val="19"/>
              </w:rPr>
              <w:t>2</w:t>
            </w:r>
          </w:p>
        </w:tc>
      </w:tr>
      <w:tr w:rsidR="00D31F42" w:rsidRPr="004A0958" w:rsidTr="00B32F23">
        <w:trPr>
          <w:trHeight w:val="270"/>
        </w:trPr>
        <w:tc>
          <w:tcPr>
            <w:tcW w:w="1242" w:type="dxa"/>
            <w:tcBorders>
              <w:top w:val="single" w:sz="4" w:space="0" w:color="auto"/>
              <w:left w:val="single" w:sz="8" w:space="0" w:color="auto"/>
              <w:bottom w:val="single" w:sz="8" w:space="0" w:color="auto"/>
              <w:right w:val="single" w:sz="8" w:space="0" w:color="auto"/>
            </w:tcBorders>
          </w:tcPr>
          <w:p w:rsidR="00D31F42" w:rsidRPr="004A0958" w:rsidRDefault="00D31F42" w:rsidP="004A0958">
            <w:pPr>
              <w:rPr>
                <w:rFonts w:ascii="Calibri" w:hAnsi="Calibri" w:cs="Arial"/>
                <w:sz w:val="16"/>
                <w:szCs w:val="16"/>
              </w:rPr>
            </w:pPr>
            <w:r w:rsidRPr="004A0958">
              <w:rPr>
                <w:rFonts w:ascii="Calibri" w:hAnsi="Calibri" w:cs="Arial"/>
                <w:sz w:val="16"/>
                <w:szCs w:val="16"/>
              </w:rPr>
              <w:t>Category 4 PIEs as per the FRA</w:t>
            </w:r>
          </w:p>
        </w:tc>
        <w:tc>
          <w:tcPr>
            <w:tcW w:w="720" w:type="dxa"/>
            <w:tcBorders>
              <w:top w:val="single" w:sz="4" w:space="0" w:color="auto"/>
              <w:left w:val="nil"/>
              <w:bottom w:val="single" w:sz="8" w:space="0" w:color="auto"/>
              <w:right w:val="single" w:sz="8" w:space="0" w:color="auto"/>
            </w:tcBorders>
            <w:noWrap/>
            <w:vAlign w:val="bottom"/>
          </w:tcPr>
          <w:p w:rsidR="00D31F42" w:rsidRPr="004A0958" w:rsidRDefault="00D31F42" w:rsidP="004A0958">
            <w:pPr>
              <w:jc w:val="center"/>
              <w:rPr>
                <w:rFonts w:ascii="Calibri" w:hAnsi="Calibri" w:cs="Arial"/>
                <w:sz w:val="19"/>
                <w:szCs w:val="19"/>
                <w:highlight w:val="yellow"/>
              </w:rPr>
            </w:pPr>
            <w:r w:rsidRPr="004A0958">
              <w:rPr>
                <w:rFonts w:ascii="Calibri" w:hAnsi="Calibri" w:cs="Arial"/>
                <w:sz w:val="19"/>
                <w:szCs w:val="19"/>
              </w:rPr>
              <w:t>-</w:t>
            </w:r>
          </w:p>
        </w:tc>
        <w:tc>
          <w:tcPr>
            <w:tcW w:w="990" w:type="dxa"/>
            <w:tcBorders>
              <w:top w:val="single" w:sz="4" w:space="0" w:color="auto"/>
              <w:left w:val="nil"/>
              <w:bottom w:val="single" w:sz="8" w:space="0" w:color="auto"/>
              <w:right w:val="single" w:sz="8" w:space="0" w:color="auto"/>
            </w:tcBorders>
            <w:noWrap/>
            <w:vAlign w:val="bottom"/>
          </w:tcPr>
          <w:p w:rsidR="00D31F42" w:rsidRPr="004A0958" w:rsidRDefault="00D31F42" w:rsidP="004A0958">
            <w:pPr>
              <w:jc w:val="center"/>
              <w:rPr>
                <w:rFonts w:ascii="Calibri" w:hAnsi="Calibri" w:cs="Arial"/>
                <w:sz w:val="19"/>
                <w:szCs w:val="19"/>
              </w:rPr>
            </w:pPr>
            <w:r w:rsidRPr="004A0958">
              <w:rPr>
                <w:rFonts w:ascii="Calibri" w:hAnsi="Calibri" w:cs="Arial"/>
                <w:sz w:val="19"/>
                <w:szCs w:val="19"/>
              </w:rPr>
              <w:t>2</w:t>
            </w:r>
          </w:p>
        </w:tc>
        <w:tc>
          <w:tcPr>
            <w:tcW w:w="810" w:type="dxa"/>
            <w:tcBorders>
              <w:top w:val="single" w:sz="4" w:space="0" w:color="auto"/>
              <w:left w:val="nil"/>
              <w:bottom w:val="single" w:sz="8" w:space="0" w:color="auto"/>
              <w:right w:val="single" w:sz="8" w:space="0" w:color="auto"/>
            </w:tcBorders>
            <w:noWrap/>
            <w:vAlign w:val="bottom"/>
          </w:tcPr>
          <w:p w:rsidR="00D31F42" w:rsidRPr="004A0958" w:rsidRDefault="00D31F42" w:rsidP="004A0958">
            <w:pPr>
              <w:jc w:val="center"/>
              <w:rPr>
                <w:rFonts w:ascii="Calibri" w:hAnsi="Calibri" w:cs="Arial"/>
                <w:sz w:val="19"/>
                <w:szCs w:val="19"/>
              </w:rPr>
            </w:pPr>
            <w:r w:rsidRPr="004A0958">
              <w:rPr>
                <w:rFonts w:ascii="Calibri" w:hAnsi="Calibri" w:cs="Arial"/>
                <w:sz w:val="19"/>
                <w:szCs w:val="19"/>
              </w:rPr>
              <w:t>8</w:t>
            </w:r>
          </w:p>
        </w:tc>
        <w:tc>
          <w:tcPr>
            <w:tcW w:w="990" w:type="dxa"/>
            <w:tcBorders>
              <w:top w:val="single" w:sz="4" w:space="0" w:color="auto"/>
              <w:left w:val="nil"/>
              <w:bottom w:val="single" w:sz="8" w:space="0" w:color="auto"/>
              <w:right w:val="single" w:sz="8" w:space="0" w:color="auto"/>
            </w:tcBorders>
            <w:noWrap/>
            <w:vAlign w:val="bottom"/>
          </w:tcPr>
          <w:p w:rsidR="00D31F42" w:rsidRPr="004A0958" w:rsidRDefault="00D31F42" w:rsidP="004A0958">
            <w:pPr>
              <w:jc w:val="center"/>
              <w:rPr>
                <w:rFonts w:ascii="Calibri" w:hAnsi="Calibri" w:cs="Arial"/>
                <w:sz w:val="19"/>
                <w:szCs w:val="19"/>
              </w:rPr>
            </w:pPr>
            <w:r w:rsidRPr="004A0958">
              <w:rPr>
                <w:rFonts w:ascii="Calibri" w:hAnsi="Calibri" w:cs="Arial"/>
                <w:sz w:val="19"/>
                <w:szCs w:val="19"/>
              </w:rPr>
              <w:t>-</w:t>
            </w:r>
          </w:p>
        </w:tc>
        <w:tc>
          <w:tcPr>
            <w:tcW w:w="792" w:type="dxa"/>
            <w:tcBorders>
              <w:top w:val="single" w:sz="4" w:space="0" w:color="auto"/>
              <w:left w:val="nil"/>
              <w:bottom w:val="single" w:sz="8" w:space="0" w:color="auto"/>
              <w:right w:val="single" w:sz="8" w:space="0" w:color="auto"/>
            </w:tcBorders>
            <w:noWrap/>
            <w:vAlign w:val="bottom"/>
          </w:tcPr>
          <w:p w:rsidR="00D31F42" w:rsidRPr="004A0958" w:rsidRDefault="00D31F42" w:rsidP="004A0958">
            <w:pPr>
              <w:jc w:val="center"/>
              <w:rPr>
                <w:rFonts w:ascii="Calibri" w:hAnsi="Calibri" w:cs="Arial"/>
                <w:sz w:val="19"/>
                <w:szCs w:val="19"/>
                <w:highlight w:val="yellow"/>
              </w:rPr>
            </w:pPr>
            <w:r w:rsidRPr="004A0958">
              <w:rPr>
                <w:rFonts w:ascii="Calibri" w:hAnsi="Calibri" w:cs="Arial"/>
                <w:sz w:val="19"/>
                <w:szCs w:val="19"/>
              </w:rPr>
              <w:t>1</w:t>
            </w:r>
          </w:p>
        </w:tc>
        <w:tc>
          <w:tcPr>
            <w:tcW w:w="828" w:type="dxa"/>
            <w:tcBorders>
              <w:top w:val="single" w:sz="4" w:space="0" w:color="auto"/>
              <w:left w:val="nil"/>
              <w:bottom w:val="single" w:sz="8" w:space="0" w:color="auto"/>
              <w:right w:val="single" w:sz="4" w:space="0" w:color="auto"/>
            </w:tcBorders>
            <w:noWrap/>
            <w:vAlign w:val="bottom"/>
          </w:tcPr>
          <w:p w:rsidR="00D31F42" w:rsidRPr="004A0958" w:rsidRDefault="00D31F42" w:rsidP="004A0958">
            <w:pPr>
              <w:jc w:val="center"/>
              <w:rPr>
                <w:rFonts w:ascii="Calibri" w:hAnsi="Calibri" w:cs="Arial"/>
                <w:sz w:val="19"/>
                <w:szCs w:val="19"/>
              </w:rPr>
            </w:pPr>
            <w:r w:rsidRPr="004A0958">
              <w:rPr>
                <w:rFonts w:ascii="Calibri" w:hAnsi="Calibri" w:cs="Arial"/>
                <w:sz w:val="19"/>
                <w:szCs w:val="19"/>
              </w:rPr>
              <w:t>-</w:t>
            </w:r>
          </w:p>
        </w:tc>
        <w:tc>
          <w:tcPr>
            <w:tcW w:w="846" w:type="dxa"/>
            <w:tcBorders>
              <w:top w:val="single" w:sz="4" w:space="0" w:color="auto"/>
              <w:left w:val="single" w:sz="4" w:space="0" w:color="auto"/>
              <w:bottom w:val="single" w:sz="8" w:space="0" w:color="auto"/>
              <w:right w:val="single" w:sz="8" w:space="0" w:color="auto"/>
            </w:tcBorders>
            <w:noWrap/>
            <w:vAlign w:val="bottom"/>
          </w:tcPr>
          <w:p w:rsidR="00D31F42" w:rsidRPr="004A0958" w:rsidRDefault="00D31F42" w:rsidP="004A0958">
            <w:pPr>
              <w:jc w:val="center"/>
              <w:rPr>
                <w:rFonts w:ascii="Calibri" w:hAnsi="Calibri" w:cs="Arial"/>
                <w:sz w:val="19"/>
                <w:szCs w:val="19"/>
                <w:highlight w:val="yellow"/>
              </w:rPr>
            </w:pPr>
            <w:r w:rsidRPr="004A0958">
              <w:rPr>
                <w:rFonts w:ascii="Calibri" w:hAnsi="Calibri" w:cs="Arial"/>
                <w:sz w:val="19"/>
                <w:szCs w:val="19"/>
              </w:rPr>
              <w:t>11</w:t>
            </w:r>
          </w:p>
        </w:tc>
      </w:tr>
      <w:tr w:rsidR="00D31F42" w:rsidRPr="004A0958" w:rsidTr="00B32F23">
        <w:trPr>
          <w:trHeight w:val="270"/>
        </w:trPr>
        <w:tc>
          <w:tcPr>
            <w:tcW w:w="1242" w:type="dxa"/>
            <w:tcBorders>
              <w:top w:val="nil"/>
              <w:left w:val="single" w:sz="8" w:space="0" w:color="auto"/>
              <w:bottom w:val="single" w:sz="8" w:space="0" w:color="auto"/>
              <w:right w:val="single" w:sz="8" w:space="0" w:color="auto"/>
            </w:tcBorders>
            <w:vAlign w:val="bottom"/>
          </w:tcPr>
          <w:p w:rsidR="00D31F42" w:rsidRPr="004A0958" w:rsidRDefault="00D31F42" w:rsidP="004A0958">
            <w:pPr>
              <w:jc w:val="both"/>
              <w:rPr>
                <w:rFonts w:ascii="Calibri" w:hAnsi="Calibri" w:cs="Arial"/>
                <w:bCs/>
                <w:sz w:val="16"/>
                <w:szCs w:val="16"/>
              </w:rPr>
            </w:pPr>
            <w:r w:rsidRPr="004A0958">
              <w:rPr>
                <w:rFonts w:ascii="Calibri" w:hAnsi="Calibri" w:cs="Arial"/>
                <w:bCs/>
                <w:sz w:val="16"/>
                <w:szCs w:val="16"/>
              </w:rPr>
              <w:t xml:space="preserve">SOEs  as </w:t>
            </w:r>
            <w:r w:rsidR="00565CC6">
              <w:rPr>
                <w:rFonts w:ascii="Calibri" w:hAnsi="Calibri" w:cs="Arial"/>
                <w:bCs/>
                <w:sz w:val="16"/>
                <w:szCs w:val="16"/>
              </w:rPr>
              <w:t xml:space="preserve">per the </w:t>
            </w:r>
            <w:r w:rsidRPr="004A0958">
              <w:rPr>
                <w:rFonts w:ascii="Calibri" w:hAnsi="Calibri" w:cs="Arial"/>
                <w:bCs/>
                <w:sz w:val="16"/>
                <w:szCs w:val="16"/>
              </w:rPr>
              <w:t>First Schedule of FRA</w:t>
            </w:r>
          </w:p>
        </w:tc>
        <w:tc>
          <w:tcPr>
            <w:tcW w:w="720" w:type="dxa"/>
            <w:tcBorders>
              <w:top w:val="nil"/>
              <w:left w:val="nil"/>
              <w:bottom w:val="single" w:sz="8" w:space="0" w:color="auto"/>
              <w:right w:val="single" w:sz="8" w:space="0" w:color="auto"/>
            </w:tcBorders>
            <w:noWrap/>
            <w:vAlign w:val="bottom"/>
          </w:tcPr>
          <w:p w:rsidR="00D31F42" w:rsidRPr="004A0958" w:rsidRDefault="00D31F42" w:rsidP="004A0958">
            <w:pPr>
              <w:jc w:val="center"/>
              <w:rPr>
                <w:rFonts w:ascii="Calibri" w:hAnsi="Calibri" w:cs="Arial"/>
                <w:bCs/>
                <w:sz w:val="19"/>
                <w:szCs w:val="19"/>
              </w:rPr>
            </w:pPr>
            <w:r w:rsidRPr="004A0958">
              <w:rPr>
                <w:rFonts w:ascii="Calibri" w:hAnsi="Calibri" w:cs="Arial"/>
                <w:bCs/>
                <w:sz w:val="19"/>
                <w:szCs w:val="19"/>
              </w:rPr>
              <w:t>1</w:t>
            </w:r>
          </w:p>
        </w:tc>
        <w:tc>
          <w:tcPr>
            <w:tcW w:w="990" w:type="dxa"/>
            <w:tcBorders>
              <w:top w:val="nil"/>
              <w:left w:val="nil"/>
              <w:bottom w:val="single" w:sz="8" w:space="0" w:color="auto"/>
              <w:right w:val="single" w:sz="8" w:space="0" w:color="auto"/>
            </w:tcBorders>
            <w:noWrap/>
            <w:vAlign w:val="bottom"/>
          </w:tcPr>
          <w:p w:rsidR="00D31F42" w:rsidRPr="004A0958" w:rsidRDefault="00D31F42" w:rsidP="004A0958">
            <w:pPr>
              <w:jc w:val="center"/>
              <w:rPr>
                <w:rFonts w:ascii="Calibri" w:hAnsi="Calibri" w:cs="Arial"/>
                <w:bCs/>
                <w:sz w:val="19"/>
                <w:szCs w:val="19"/>
              </w:rPr>
            </w:pPr>
            <w:r w:rsidRPr="004A0958">
              <w:rPr>
                <w:rFonts w:ascii="Calibri" w:hAnsi="Calibri" w:cs="Arial"/>
                <w:bCs/>
                <w:sz w:val="19"/>
                <w:szCs w:val="19"/>
              </w:rPr>
              <w:t>1</w:t>
            </w:r>
          </w:p>
        </w:tc>
        <w:tc>
          <w:tcPr>
            <w:tcW w:w="810" w:type="dxa"/>
            <w:tcBorders>
              <w:top w:val="nil"/>
              <w:left w:val="nil"/>
              <w:bottom w:val="single" w:sz="8" w:space="0" w:color="auto"/>
              <w:right w:val="single" w:sz="8" w:space="0" w:color="auto"/>
            </w:tcBorders>
            <w:noWrap/>
            <w:vAlign w:val="bottom"/>
          </w:tcPr>
          <w:p w:rsidR="00D31F42" w:rsidRPr="004A0958" w:rsidRDefault="00D31F42" w:rsidP="004A0958">
            <w:pPr>
              <w:jc w:val="center"/>
              <w:rPr>
                <w:rFonts w:ascii="Calibri" w:hAnsi="Calibri" w:cs="Arial"/>
                <w:bCs/>
                <w:sz w:val="19"/>
                <w:szCs w:val="19"/>
              </w:rPr>
            </w:pPr>
            <w:r w:rsidRPr="004A0958">
              <w:rPr>
                <w:rFonts w:ascii="Calibri" w:hAnsi="Calibri" w:cs="Arial"/>
                <w:bCs/>
                <w:sz w:val="19"/>
                <w:szCs w:val="19"/>
              </w:rPr>
              <w:t>-</w:t>
            </w:r>
          </w:p>
        </w:tc>
        <w:tc>
          <w:tcPr>
            <w:tcW w:w="990" w:type="dxa"/>
            <w:tcBorders>
              <w:top w:val="nil"/>
              <w:left w:val="nil"/>
              <w:bottom w:val="single" w:sz="8" w:space="0" w:color="auto"/>
              <w:right w:val="single" w:sz="8" w:space="0" w:color="auto"/>
            </w:tcBorders>
            <w:noWrap/>
            <w:vAlign w:val="bottom"/>
          </w:tcPr>
          <w:p w:rsidR="00D31F42" w:rsidRPr="004A0958" w:rsidRDefault="00D31F42" w:rsidP="004A0958">
            <w:pPr>
              <w:jc w:val="center"/>
              <w:rPr>
                <w:rFonts w:ascii="Calibri" w:hAnsi="Calibri" w:cs="Arial"/>
                <w:bCs/>
                <w:sz w:val="19"/>
                <w:szCs w:val="19"/>
              </w:rPr>
            </w:pPr>
          </w:p>
        </w:tc>
        <w:tc>
          <w:tcPr>
            <w:tcW w:w="792" w:type="dxa"/>
            <w:tcBorders>
              <w:top w:val="nil"/>
              <w:left w:val="nil"/>
              <w:bottom w:val="single" w:sz="8" w:space="0" w:color="auto"/>
              <w:right w:val="single" w:sz="8" w:space="0" w:color="auto"/>
            </w:tcBorders>
            <w:noWrap/>
            <w:vAlign w:val="bottom"/>
          </w:tcPr>
          <w:p w:rsidR="00D31F42" w:rsidRPr="004A0958" w:rsidRDefault="00D31F42" w:rsidP="004A0958">
            <w:pPr>
              <w:jc w:val="center"/>
              <w:rPr>
                <w:rFonts w:ascii="Calibri" w:hAnsi="Calibri" w:cs="Arial"/>
                <w:bCs/>
                <w:sz w:val="19"/>
                <w:szCs w:val="19"/>
              </w:rPr>
            </w:pPr>
            <w:r w:rsidRPr="004A0958">
              <w:rPr>
                <w:rFonts w:ascii="Calibri" w:hAnsi="Calibri" w:cs="Arial"/>
                <w:bCs/>
                <w:sz w:val="19"/>
                <w:szCs w:val="19"/>
              </w:rPr>
              <w:t>1</w:t>
            </w:r>
          </w:p>
        </w:tc>
        <w:tc>
          <w:tcPr>
            <w:tcW w:w="828" w:type="dxa"/>
            <w:tcBorders>
              <w:top w:val="nil"/>
              <w:left w:val="nil"/>
              <w:bottom w:val="single" w:sz="8" w:space="0" w:color="auto"/>
              <w:right w:val="single" w:sz="4" w:space="0" w:color="auto"/>
            </w:tcBorders>
            <w:noWrap/>
            <w:vAlign w:val="bottom"/>
          </w:tcPr>
          <w:p w:rsidR="00D31F42" w:rsidRPr="004A0958" w:rsidRDefault="00D31F42" w:rsidP="004A0958">
            <w:pPr>
              <w:jc w:val="center"/>
              <w:rPr>
                <w:rFonts w:ascii="Calibri" w:hAnsi="Calibri" w:cs="Arial"/>
                <w:bCs/>
                <w:sz w:val="19"/>
                <w:szCs w:val="19"/>
              </w:rPr>
            </w:pPr>
          </w:p>
        </w:tc>
        <w:tc>
          <w:tcPr>
            <w:tcW w:w="846" w:type="dxa"/>
            <w:tcBorders>
              <w:top w:val="nil"/>
              <w:left w:val="single" w:sz="4" w:space="0" w:color="auto"/>
              <w:bottom w:val="single" w:sz="8" w:space="0" w:color="auto"/>
              <w:right w:val="single" w:sz="8" w:space="0" w:color="auto"/>
            </w:tcBorders>
            <w:noWrap/>
            <w:vAlign w:val="bottom"/>
          </w:tcPr>
          <w:p w:rsidR="00D31F42" w:rsidRPr="004A0958" w:rsidRDefault="00D31F42" w:rsidP="004A0958">
            <w:pPr>
              <w:jc w:val="center"/>
              <w:rPr>
                <w:rFonts w:ascii="Calibri" w:hAnsi="Calibri" w:cs="Arial"/>
                <w:bCs/>
                <w:sz w:val="19"/>
                <w:szCs w:val="19"/>
              </w:rPr>
            </w:pPr>
            <w:r w:rsidRPr="004A0958">
              <w:rPr>
                <w:rFonts w:ascii="Calibri" w:hAnsi="Calibri" w:cs="Arial"/>
                <w:bCs/>
                <w:sz w:val="19"/>
                <w:szCs w:val="19"/>
              </w:rPr>
              <w:t>3</w:t>
            </w:r>
          </w:p>
        </w:tc>
      </w:tr>
      <w:tr w:rsidR="00D31F42" w:rsidRPr="004A0958" w:rsidTr="00B32F23">
        <w:trPr>
          <w:trHeight w:val="270"/>
        </w:trPr>
        <w:tc>
          <w:tcPr>
            <w:tcW w:w="1242" w:type="dxa"/>
            <w:tcBorders>
              <w:top w:val="nil"/>
              <w:left w:val="single" w:sz="8" w:space="0" w:color="auto"/>
              <w:bottom w:val="single" w:sz="8" w:space="0" w:color="auto"/>
              <w:right w:val="single" w:sz="8" w:space="0" w:color="auto"/>
            </w:tcBorders>
            <w:vAlign w:val="bottom"/>
          </w:tcPr>
          <w:p w:rsidR="00D31F42" w:rsidRPr="004A0958" w:rsidRDefault="00D31F42" w:rsidP="004A0958">
            <w:pPr>
              <w:jc w:val="center"/>
              <w:rPr>
                <w:rFonts w:ascii="Calibri" w:hAnsi="Calibri" w:cs="Arial"/>
                <w:b/>
                <w:bCs/>
                <w:sz w:val="16"/>
                <w:szCs w:val="16"/>
              </w:rPr>
            </w:pPr>
            <w:r w:rsidRPr="004A0958">
              <w:rPr>
                <w:rFonts w:ascii="Calibri" w:hAnsi="Calibri" w:cs="Arial"/>
                <w:b/>
                <w:bCs/>
                <w:sz w:val="16"/>
                <w:szCs w:val="16"/>
              </w:rPr>
              <w:t>Total</w:t>
            </w:r>
          </w:p>
        </w:tc>
        <w:tc>
          <w:tcPr>
            <w:tcW w:w="720" w:type="dxa"/>
            <w:tcBorders>
              <w:top w:val="nil"/>
              <w:left w:val="nil"/>
              <w:bottom w:val="single" w:sz="8" w:space="0" w:color="auto"/>
              <w:right w:val="single" w:sz="8" w:space="0" w:color="auto"/>
            </w:tcBorders>
            <w:noWrap/>
            <w:vAlign w:val="bottom"/>
          </w:tcPr>
          <w:p w:rsidR="00D31F42" w:rsidRPr="004A0958" w:rsidRDefault="00D31F42" w:rsidP="004A0958">
            <w:pPr>
              <w:jc w:val="center"/>
              <w:rPr>
                <w:rFonts w:ascii="Calibri" w:hAnsi="Calibri" w:cs="Arial"/>
                <w:b/>
                <w:bCs/>
                <w:sz w:val="19"/>
                <w:szCs w:val="19"/>
              </w:rPr>
            </w:pPr>
            <w:r w:rsidRPr="004A0958">
              <w:rPr>
                <w:rFonts w:ascii="Calibri" w:hAnsi="Calibri" w:cs="Arial"/>
                <w:b/>
                <w:bCs/>
                <w:sz w:val="19"/>
                <w:szCs w:val="19"/>
              </w:rPr>
              <w:t>4</w:t>
            </w:r>
          </w:p>
        </w:tc>
        <w:tc>
          <w:tcPr>
            <w:tcW w:w="990" w:type="dxa"/>
            <w:tcBorders>
              <w:top w:val="nil"/>
              <w:left w:val="nil"/>
              <w:bottom w:val="single" w:sz="8" w:space="0" w:color="auto"/>
              <w:right w:val="single" w:sz="8" w:space="0" w:color="auto"/>
            </w:tcBorders>
            <w:noWrap/>
            <w:vAlign w:val="bottom"/>
          </w:tcPr>
          <w:p w:rsidR="00D31F42" w:rsidRPr="004A0958" w:rsidRDefault="00D31F42" w:rsidP="004A0958">
            <w:pPr>
              <w:jc w:val="center"/>
              <w:rPr>
                <w:rFonts w:ascii="Calibri" w:hAnsi="Calibri" w:cs="Arial"/>
                <w:b/>
                <w:bCs/>
                <w:sz w:val="19"/>
                <w:szCs w:val="19"/>
                <w:highlight w:val="yellow"/>
              </w:rPr>
            </w:pPr>
            <w:r w:rsidRPr="004A0958">
              <w:rPr>
                <w:rFonts w:ascii="Calibri" w:hAnsi="Calibri" w:cs="Arial"/>
                <w:b/>
                <w:bCs/>
                <w:sz w:val="19"/>
                <w:szCs w:val="19"/>
              </w:rPr>
              <w:t>4</w:t>
            </w:r>
          </w:p>
        </w:tc>
        <w:tc>
          <w:tcPr>
            <w:tcW w:w="810" w:type="dxa"/>
            <w:tcBorders>
              <w:top w:val="nil"/>
              <w:left w:val="nil"/>
              <w:bottom w:val="single" w:sz="8" w:space="0" w:color="auto"/>
              <w:right w:val="single" w:sz="8" w:space="0" w:color="auto"/>
            </w:tcBorders>
            <w:noWrap/>
            <w:vAlign w:val="bottom"/>
          </w:tcPr>
          <w:p w:rsidR="00D31F42" w:rsidRPr="004A0958" w:rsidRDefault="00D31F42" w:rsidP="004A0958">
            <w:pPr>
              <w:jc w:val="center"/>
              <w:rPr>
                <w:rFonts w:ascii="Calibri" w:hAnsi="Calibri" w:cs="Arial"/>
                <w:b/>
                <w:bCs/>
                <w:sz w:val="19"/>
                <w:szCs w:val="19"/>
                <w:highlight w:val="yellow"/>
              </w:rPr>
            </w:pPr>
            <w:r w:rsidRPr="004A0958">
              <w:rPr>
                <w:rFonts w:ascii="Calibri" w:hAnsi="Calibri" w:cs="Arial"/>
                <w:b/>
                <w:bCs/>
                <w:sz w:val="19"/>
                <w:szCs w:val="19"/>
              </w:rPr>
              <w:t>10</w:t>
            </w:r>
          </w:p>
        </w:tc>
        <w:tc>
          <w:tcPr>
            <w:tcW w:w="990" w:type="dxa"/>
            <w:tcBorders>
              <w:top w:val="nil"/>
              <w:left w:val="nil"/>
              <w:bottom w:val="single" w:sz="8" w:space="0" w:color="auto"/>
              <w:right w:val="single" w:sz="8" w:space="0" w:color="auto"/>
            </w:tcBorders>
            <w:noWrap/>
            <w:vAlign w:val="bottom"/>
          </w:tcPr>
          <w:p w:rsidR="00D31F42" w:rsidRPr="004A0958" w:rsidRDefault="00D31F42" w:rsidP="004A0958">
            <w:pPr>
              <w:jc w:val="center"/>
              <w:rPr>
                <w:rFonts w:ascii="Calibri" w:hAnsi="Calibri" w:cs="Arial"/>
                <w:b/>
                <w:bCs/>
                <w:sz w:val="19"/>
                <w:szCs w:val="19"/>
                <w:highlight w:val="yellow"/>
              </w:rPr>
            </w:pPr>
            <w:r w:rsidRPr="004A0958">
              <w:rPr>
                <w:rFonts w:ascii="Calibri" w:hAnsi="Calibri" w:cs="Arial"/>
                <w:b/>
                <w:bCs/>
                <w:sz w:val="19"/>
                <w:szCs w:val="19"/>
              </w:rPr>
              <w:t>4</w:t>
            </w:r>
          </w:p>
        </w:tc>
        <w:tc>
          <w:tcPr>
            <w:tcW w:w="792" w:type="dxa"/>
            <w:tcBorders>
              <w:top w:val="nil"/>
              <w:left w:val="nil"/>
              <w:bottom w:val="single" w:sz="8" w:space="0" w:color="auto"/>
              <w:right w:val="single" w:sz="8" w:space="0" w:color="auto"/>
            </w:tcBorders>
            <w:noWrap/>
            <w:vAlign w:val="bottom"/>
          </w:tcPr>
          <w:p w:rsidR="00D31F42" w:rsidRPr="004A0958" w:rsidRDefault="00D31F42" w:rsidP="004A0958">
            <w:pPr>
              <w:jc w:val="center"/>
              <w:rPr>
                <w:rFonts w:ascii="Calibri" w:hAnsi="Calibri" w:cs="Arial"/>
                <w:b/>
                <w:bCs/>
                <w:sz w:val="19"/>
                <w:szCs w:val="19"/>
                <w:highlight w:val="yellow"/>
              </w:rPr>
            </w:pPr>
            <w:r w:rsidRPr="004A0958">
              <w:rPr>
                <w:rFonts w:ascii="Calibri" w:hAnsi="Calibri" w:cs="Arial"/>
                <w:b/>
                <w:bCs/>
                <w:sz w:val="19"/>
                <w:szCs w:val="19"/>
              </w:rPr>
              <w:t>3</w:t>
            </w:r>
          </w:p>
        </w:tc>
        <w:tc>
          <w:tcPr>
            <w:tcW w:w="828" w:type="dxa"/>
            <w:tcBorders>
              <w:top w:val="nil"/>
              <w:left w:val="nil"/>
              <w:bottom w:val="single" w:sz="8" w:space="0" w:color="auto"/>
              <w:right w:val="single" w:sz="4" w:space="0" w:color="auto"/>
            </w:tcBorders>
            <w:noWrap/>
            <w:vAlign w:val="bottom"/>
          </w:tcPr>
          <w:p w:rsidR="00D31F42" w:rsidRPr="004A0958" w:rsidRDefault="00D31F42" w:rsidP="004A0958">
            <w:pPr>
              <w:jc w:val="center"/>
              <w:rPr>
                <w:rFonts w:ascii="Calibri" w:hAnsi="Calibri" w:cs="Arial"/>
                <w:b/>
                <w:bCs/>
                <w:sz w:val="19"/>
                <w:szCs w:val="19"/>
                <w:highlight w:val="yellow"/>
              </w:rPr>
            </w:pPr>
            <w:r w:rsidRPr="004A0958">
              <w:rPr>
                <w:rFonts w:ascii="Calibri" w:hAnsi="Calibri" w:cs="Arial"/>
                <w:b/>
                <w:bCs/>
                <w:sz w:val="19"/>
                <w:szCs w:val="19"/>
              </w:rPr>
              <w:t>2</w:t>
            </w:r>
          </w:p>
        </w:tc>
        <w:tc>
          <w:tcPr>
            <w:tcW w:w="846" w:type="dxa"/>
            <w:tcBorders>
              <w:top w:val="nil"/>
              <w:left w:val="single" w:sz="4" w:space="0" w:color="auto"/>
              <w:bottom w:val="single" w:sz="8" w:space="0" w:color="auto"/>
              <w:right w:val="single" w:sz="8" w:space="0" w:color="auto"/>
            </w:tcBorders>
            <w:noWrap/>
            <w:vAlign w:val="bottom"/>
          </w:tcPr>
          <w:p w:rsidR="00D31F42" w:rsidRPr="004A0958" w:rsidRDefault="00D31F42" w:rsidP="004A0958">
            <w:pPr>
              <w:jc w:val="center"/>
              <w:rPr>
                <w:rFonts w:ascii="Calibri" w:hAnsi="Calibri" w:cs="Arial"/>
                <w:b/>
                <w:bCs/>
                <w:sz w:val="19"/>
                <w:szCs w:val="19"/>
                <w:highlight w:val="yellow"/>
              </w:rPr>
            </w:pPr>
            <w:r w:rsidRPr="004A0958">
              <w:rPr>
                <w:rFonts w:ascii="Calibri" w:hAnsi="Calibri" w:cs="Arial"/>
                <w:b/>
                <w:bCs/>
                <w:sz w:val="19"/>
                <w:szCs w:val="19"/>
              </w:rPr>
              <w:t>27</w:t>
            </w:r>
          </w:p>
        </w:tc>
      </w:tr>
    </w:tbl>
    <w:p w:rsidR="00D31F42" w:rsidRPr="004A0958" w:rsidRDefault="00D31F42" w:rsidP="00BC15F9">
      <w:pPr>
        <w:tabs>
          <w:tab w:val="left" w:pos="2353"/>
          <w:tab w:val="left" w:pos="2924"/>
          <w:tab w:val="left" w:pos="3923"/>
          <w:tab w:val="left" w:pos="4883"/>
          <w:tab w:val="left" w:pos="5926"/>
          <w:tab w:val="left" w:pos="7366"/>
          <w:tab w:val="left" w:pos="8326"/>
          <w:tab w:val="left" w:pos="9286"/>
        </w:tabs>
        <w:jc w:val="both"/>
        <w:rPr>
          <w:rFonts w:ascii="Calibri" w:hAnsi="Calibri"/>
          <w:b/>
          <w:bCs/>
          <w:highlight w:val="yellow"/>
          <w:u w:val="single"/>
        </w:rPr>
      </w:pPr>
    </w:p>
    <w:p w:rsidR="00D31F42" w:rsidRPr="004A0958" w:rsidRDefault="00D31F42" w:rsidP="00074FC0">
      <w:pPr>
        <w:ind w:left="1080"/>
        <w:jc w:val="both"/>
        <w:rPr>
          <w:rFonts w:ascii="Calibri" w:hAnsi="Calibri" w:cs="Arial"/>
          <w:bCs/>
          <w:i/>
          <w:sz w:val="18"/>
        </w:rPr>
      </w:pPr>
      <w:bookmarkStart w:id="0" w:name="OLE_LINK3"/>
    </w:p>
    <w:p w:rsidR="00D31F42" w:rsidRPr="004A0958" w:rsidRDefault="00D31F42" w:rsidP="00074FC0">
      <w:pPr>
        <w:ind w:left="1080"/>
        <w:jc w:val="both"/>
        <w:rPr>
          <w:rFonts w:ascii="Calibri" w:hAnsi="Calibri" w:cs="Arial"/>
          <w:bCs/>
          <w:i/>
          <w:sz w:val="18"/>
        </w:rPr>
      </w:pPr>
    </w:p>
    <w:p w:rsidR="00D31F42" w:rsidRPr="004A0958" w:rsidRDefault="00D31F42" w:rsidP="00074FC0">
      <w:pPr>
        <w:ind w:left="1080"/>
        <w:jc w:val="both"/>
        <w:rPr>
          <w:rFonts w:ascii="Calibri" w:hAnsi="Calibri" w:cs="Arial"/>
          <w:bCs/>
          <w:i/>
          <w:sz w:val="18"/>
        </w:rPr>
      </w:pPr>
    </w:p>
    <w:p w:rsidR="00D31F42" w:rsidRPr="004A0958" w:rsidRDefault="00D31F42" w:rsidP="00074FC0">
      <w:pPr>
        <w:ind w:left="1080"/>
        <w:jc w:val="both"/>
        <w:rPr>
          <w:rFonts w:ascii="Calibri" w:hAnsi="Calibri" w:cs="Arial"/>
          <w:bCs/>
          <w:i/>
          <w:sz w:val="18"/>
        </w:rPr>
      </w:pPr>
    </w:p>
    <w:p w:rsidR="00D31F42" w:rsidRPr="004A0958" w:rsidRDefault="00D31F42" w:rsidP="00074FC0">
      <w:pPr>
        <w:ind w:left="1080"/>
        <w:jc w:val="both"/>
        <w:rPr>
          <w:rFonts w:ascii="Calibri" w:hAnsi="Calibri" w:cs="Arial"/>
          <w:bCs/>
          <w:i/>
          <w:sz w:val="18"/>
        </w:rPr>
      </w:pPr>
    </w:p>
    <w:p w:rsidR="00D31F42" w:rsidRPr="004A0958" w:rsidRDefault="00D31F42" w:rsidP="00074FC0">
      <w:pPr>
        <w:ind w:left="1080"/>
        <w:jc w:val="both"/>
        <w:rPr>
          <w:rFonts w:ascii="Calibri" w:hAnsi="Calibri" w:cs="Arial"/>
          <w:bCs/>
          <w:i/>
          <w:sz w:val="18"/>
        </w:rPr>
      </w:pPr>
    </w:p>
    <w:p w:rsidR="00D31F42" w:rsidRPr="004A0958" w:rsidRDefault="00D31F42" w:rsidP="00074FC0">
      <w:pPr>
        <w:ind w:left="1080"/>
        <w:jc w:val="both"/>
        <w:rPr>
          <w:rFonts w:ascii="Calibri" w:hAnsi="Calibri" w:cs="Arial"/>
          <w:bCs/>
          <w:i/>
          <w:sz w:val="18"/>
        </w:rPr>
      </w:pPr>
    </w:p>
    <w:p w:rsidR="00D31F42" w:rsidRPr="004A0958" w:rsidRDefault="00D31F42" w:rsidP="00074FC0">
      <w:pPr>
        <w:ind w:left="1080"/>
        <w:jc w:val="both"/>
        <w:rPr>
          <w:rFonts w:ascii="Calibri" w:hAnsi="Calibri" w:cs="Arial"/>
          <w:bCs/>
          <w:i/>
          <w:sz w:val="18"/>
        </w:rPr>
      </w:pPr>
    </w:p>
    <w:p w:rsidR="00D31F42" w:rsidRPr="004A0958" w:rsidRDefault="00D31F42" w:rsidP="00074FC0">
      <w:pPr>
        <w:ind w:left="1080"/>
        <w:jc w:val="both"/>
        <w:rPr>
          <w:rFonts w:ascii="Calibri" w:hAnsi="Calibri" w:cs="Arial"/>
          <w:bCs/>
          <w:i/>
          <w:sz w:val="18"/>
        </w:rPr>
      </w:pPr>
    </w:p>
    <w:p w:rsidR="00D31F42" w:rsidRPr="004A0958" w:rsidRDefault="00D31F42" w:rsidP="00074FC0">
      <w:pPr>
        <w:ind w:left="1080"/>
        <w:jc w:val="both"/>
        <w:rPr>
          <w:rFonts w:ascii="Calibri" w:hAnsi="Calibri" w:cs="Arial"/>
          <w:bCs/>
          <w:i/>
          <w:sz w:val="18"/>
        </w:rPr>
      </w:pPr>
    </w:p>
    <w:p w:rsidR="00D31F42" w:rsidRPr="004A0958" w:rsidRDefault="00D31F42" w:rsidP="00074FC0">
      <w:pPr>
        <w:ind w:left="1080"/>
        <w:jc w:val="both"/>
        <w:rPr>
          <w:rFonts w:ascii="Calibri" w:hAnsi="Calibri" w:cs="Arial"/>
          <w:bCs/>
          <w:i/>
          <w:sz w:val="18"/>
        </w:rPr>
      </w:pPr>
    </w:p>
    <w:p w:rsidR="00D31F42" w:rsidRPr="004A0958" w:rsidRDefault="00D31F42" w:rsidP="00074FC0">
      <w:pPr>
        <w:ind w:left="1080"/>
        <w:jc w:val="both"/>
        <w:rPr>
          <w:rFonts w:ascii="Calibri" w:hAnsi="Calibri" w:cs="Arial"/>
          <w:bCs/>
          <w:i/>
          <w:sz w:val="18"/>
        </w:rPr>
      </w:pPr>
    </w:p>
    <w:p w:rsidR="00D31F42" w:rsidRPr="004A0958" w:rsidRDefault="00D31F42" w:rsidP="00074FC0">
      <w:pPr>
        <w:ind w:left="1080"/>
        <w:jc w:val="both"/>
        <w:rPr>
          <w:rFonts w:ascii="Calibri" w:hAnsi="Calibri" w:cs="Arial"/>
          <w:bCs/>
          <w:i/>
          <w:sz w:val="18"/>
        </w:rPr>
      </w:pPr>
    </w:p>
    <w:p w:rsidR="00D31F42" w:rsidRPr="004A0958" w:rsidRDefault="00D31F42" w:rsidP="00074FC0">
      <w:pPr>
        <w:ind w:left="1080"/>
        <w:jc w:val="both"/>
        <w:rPr>
          <w:rFonts w:ascii="Calibri" w:hAnsi="Calibri" w:cs="Arial"/>
          <w:bCs/>
          <w:i/>
          <w:sz w:val="18"/>
        </w:rPr>
      </w:pPr>
    </w:p>
    <w:p w:rsidR="00D31F42" w:rsidRPr="004A0958" w:rsidRDefault="00D31F42" w:rsidP="00074FC0">
      <w:pPr>
        <w:ind w:left="1080"/>
        <w:jc w:val="both"/>
        <w:rPr>
          <w:rFonts w:ascii="Calibri" w:hAnsi="Calibri" w:cs="Arial"/>
          <w:bCs/>
          <w:i/>
          <w:sz w:val="18"/>
        </w:rPr>
      </w:pPr>
    </w:p>
    <w:p w:rsidR="00D31F42" w:rsidRPr="004A0958" w:rsidRDefault="00D31F42" w:rsidP="00074FC0">
      <w:pPr>
        <w:ind w:left="1080"/>
        <w:jc w:val="both"/>
        <w:rPr>
          <w:rFonts w:ascii="Calibri" w:hAnsi="Calibri" w:cs="Arial"/>
          <w:bCs/>
          <w:i/>
          <w:sz w:val="18"/>
        </w:rPr>
      </w:pPr>
    </w:p>
    <w:p w:rsidR="00D31F42" w:rsidRPr="004A0958" w:rsidRDefault="00D31F42" w:rsidP="00074FC0">
      <w:pPr>
        <w:ind w:left="1080"/>
        <w:jc w:val="both"/>
        <w:rPr>
          <w:rFonts w:ascii="Calibri" w:hAnsi="Calibri" w:cs="Arial"/>
          <w:bCs/>
          <w:i/>
          <w:sz w:val="18"/>
        </w:rPr>
      </w:pPr>
    </w:p>
    <w:p w:rsidR="00D31F42" w:rsidRPr="004A0958" w:rsidRDefault="00D31F42" w:rsidP="00074FC0">
      <w:pPr>
        <w:ind w:left="1080"/>
        <w:jc w:val="both"/>
        <w:rPr>
          <w:rFonts w:ascii="Calibri" w:hAnsi="Calibri" w:cs="Arial"/>
          <w:bCs/>
          <w:i/>
          <w:sz w:val="18"/>
        </w:rPr>
      </w:pPr>
    </w:p>
    <w:p w:rsidR="00D31F42" w:rsidRPr="004A0958" w:rsidRDefault="00D31F42" w:rsidP="00074FC0">
      <w:pPr>
        <w:ind w:left="1080"/>
        <w:jc w:val="both"/>
        <w:rPr>
          <w:rFonts w:ascii="Calibri" w:hAnsi="Calibri" w:cs="Arial"/>
          <w:bCs/>
          <w:i/>
          <w:sz w:val="18"/>
        </w:rPr>
      </w:pPr>
    </w:p>
    <w:p w:rsidR="00D31F42" w:rsidRPr="004A0958" w:rsidRDefault="00D31F42" w:rsidP="00074FC0">
      <w:pPr>
        <w:ind w:left="1080"/>
        <w:jc w:val="both"/>
        <w:rPr>
          <w:rFonts w:ascii="Calibri" w:hAnsi="Calibri" w:cs="Arial"/>
          <w:bCs/>
          <w:i/>
          <w:sz w:val="18"/>
        </w:rPr>
      </w:pPr>
    </w:p>
    <w:p w:rsidR="00D31F42" w:rsidRPr="004A0958" w:rsidRDefault="00D31F42" w:rsidP="00074FC0">
      <w:pPr>
        <w:ind w:left="1080"/>
        <w:jc w:val="both"/>
        <w:rPr>
          <w:rFonts w:ascii="Calibri" w:hAnsi="Calibri" w:cs="Arial"/>
          <w:bCs/>
          <w:i/>
          <w:sz w:val="18"/>
        </w:rPr>
      </w:pPr>
    </w:p>
    <w:p w:rsidR="00D31F42" w:rsidRPr="004A0958" w:rsidRDefault="00D31F42" w:rsidP="00074FC0">
      <w:pPr>
        <w:ind w:left="1080"/>
        <w:jc w:val="both"/>
        <w:rPr>
          <w:rFonts w:ascii="Calibri" w:hAnsi="Calibri" w:cs="Arial"/>
          <w:bCs/>
          <w:i/>
          <w:sz w:val="18"/>
        </w:rPr>
      </w:pPr>
    </w:p>
    <w:p w:rsidR="00D31F42" w:rsidRPr="004A0958" w:rsidRDefault="00D31F42" w:rsidP="00074FC0">
      <w:pPr>
        <w:ind w:left="1080"/>
        <w:jc w:val="both"/>
        <w:rPr>
          <w:rFonts w:ascii="Calibri" w:hAnsi="Calibri" w:cs="Arial"/>
          <w:bCs/>
          <w:i/>
          <w:sz w:val="18"/>
        </w:rPr>
      </w:pPr>
    </w:p>
    <w:p w:rsidR="00D31F42" w:rsidRPr="004A0958" w:rsidRDefault="00D31F42" w:rsidP="00074FC0">
      <w:pPr>
        <w:ind w:left="1080"/>
        <w:jc w:val="both"/>
        <w:rPr>
          <w:rFonts w:ascii="Calibri" w:hAnsi="Calibri" w:cs="Arial"/>
          <w:bCs/>
          <w:i/>
          <w:sz w:val="18"/>
        </w:rPr>
      </w:pPr>
    </w:p>
    <w:p w:rsidR="00D31F42" w:rsidRPr="004A0958" w:rsidRDefault="00D31F42" w:rsidP="00074FC0">
      <w:pPr>
        <w:ind w:left="1080"/>
        <w:jc w:val="both"/>
        <w:rPr>
          <w:rFonts w:ascii="Calibri" w:hAnsi="Calibri" w:cs="Arial"/>
          <w:bCs/>
          <w:i/>
          <w:sz w:val="18"/>
        </w:rPr>
      </w:pPr>
    </w:p>
    <w:p w:rsidR="00D31F42" w:rsidRPr="004A0958" w:rsidRDefault="00D31F42" w:rsidP="00074FC0">
      <w:pPr>
        <w:ind w:left="1080"/>
        <w:jc w:val="both"/>
        <w:rPr>
          <w:rFonts w:ascii="Calibri" w:hAnsi="Calibri" w:cs="Arial"/>
          <w:bCs/>
          <w:i/>
          <w:sz w:val="18"/>
        </w:rPr>
      </w:pPr>
      <w:r w:rsidRPr="004A0958">
        <w:rPr>
          <w:rFonts w:ascii="Calibri" w:hAnsi="Calibri" w:cs="Arial"/>
          <w:bCs/>
          <w:i/>
          <w:sz w:val="18"/>
        </w:rPr>
        <w:t>Note:</w:t>
      </w:r>
    </w:p>
    <w:p w:rsidR="00D31F42" w:rsidRPr="004A0958" w:rsidRDefault="00D31F42" w:rsidP="00074FC0">
      <w:pPr>
        <w:ind w:left="1080"/>
        <w:jc w:val="both"/>
        <w:rPr>
          <w:rFonts w:ascii="Calibri" w:hAnsi="Calibri" w:cs="Arial"/>
          <w:bCs/>
          <w:i/>
          <w:sz w:val="18"/>
        </w:rPr>
      </w:pPr>
    </w:p>
    <w:p w:rsidR="00D31F42" w:rsidRPr="004A0958" w:rsidRDefault="00D31F42" w:rsidP="004A0958">
      <w:pPr>
        <w:ind w:left="1080"/>
        <w:jc w:val="both"/>
        <w:rPr>
          <w:rFonts w:ascii="Calibri" w:hAnsi="Calibri" w:cs="Arial"/>
          <w:bCs/>
          <w:i/>
          <w:sz w:val="18"/>
        </w:rPr>
      </w:pPr>
      <w:r w:rsidRPr="004A0958">
        <w:rPr>
          <w:rFonts w:ascii="Calibri" w:hAnsi="Calibri" w:cs="Arial"/>
          <w:bCs/>
          <w:sz w:val="18"/>
        </w:rPr>
        <w:t>‘</w:t>
      </w:r>
      <w:r w:rsidRPr="004A0958">
        <w:rPr>
          <w:rFonts w:ascii="Calibri" w:hAnsi="Calibri" w:cs="Arial"/>
          <w:bCs/>
          <w:i/>
          <w:sz w:val="18"/>
        </w:rPr>
        <w:t>Category 4 PIEs’ comprises any company or group of companies having, during 2 consecutive preceding years, at least 2 of the following –</w:t>
      </w:r>
    </w:p>
    <w:p w:rsidR="00D31F42" w:rsidRPr="004A0958" w:rsidRDefault="00D31F42" w:rsidP="00074FC0">
      <w:pPr>
        <w:ind w:left="1080"/>
        <w:jc w:val="both"/>
        <w:rPr>
          <w:rFonts w:ascii="Calibri" w:hAnsi="Calibri" w:cs="Arial"/>
          <w:bCs/>
          <w:i/>
          <w:sz w:val="18"/>
        </w:rPr>
      </w:pPr>
    </w:p>
    <w:p w:rsidR="00D31F42" w:rsidRPr="004A0958" w:rsidRDefault="00D31F42" w:rsidP="00F7611C">
      <w:pPr>
        <w:numPr>
          <w:ilvl w:val="0"/>
          <w:numId w:val="3"/>
        </w:numPr>
        <w:tabs>
          <w:tab w:val="clear" w:pos="360"/>
          <w:tab w:val="left" w:pos="1080"/>
          <w:tab w:val="num" w:pos="1620"/>
        </w:tabs>
        <w:ind w:left="1080" w:firstLine="180"/>
        <w:jc w:val="both"/>
        <w:rPr>
          <w:rFonts w:ascii="Calibri" w:hAnsi="Calibri" w:cs="Arial"/>
          <w:bCs/>
          <w:i/>
          <w:sz w:val="18"/>
        </w:rPr>
      </w:pPr>
      <w:r w:rsidRPr="004A0958">
        <w:rPr>
          <w:rFonts w:ascii="Calibri" w:hAnsi="Calibri" w:cs="Arial"/>
          <w:bCs/>
          <w:i/>
          <w:sz w:val="18"/>
        </w:rPr>
        <w:t>an annual revenue exceeding 200 million rupees;</w:t>
      </w:r>
    </w:p>
    <w:p w:rsidR="00D31F42" w:rsidRPr="004A0958" w:rsidRDefault="00D31F42" w:rsidP="00F7611C">
      <w:pPr>
        <w:numPr>
          <w:ilvl w:val="0"/>
          <w:numId w:val="3"/>
        </w:numPr>
        <w:tabs>
          <w:tab w:val="clear" w:pos="360"/>
          <w:tab w:val="left" w:pos="1080"/>
          <w:tab w:val="num" w:pos="1620"/>
        </w:tabs>
        <w:ind w:left="1080" w:firstLine="180"/>
        <w:jc w:val="both"/>
        <w:rPr>
          <w:rFonts w:ascii="Calibri" w:hAnsi="Calibri" w:cs="Arial"/>
          <w:bCs/>
          <w:i/>
          <w:sz w:val="18"/>
        </w:rPr>
      </w:pPr>
      <w:r w:rsidRPr="004A0958">
        <w:rPr>
          <w:rFonts w:ascii="Calibri" w:hAnsi="Calibri" w:cs="Arial"/>
          <w:bCs/>
          <w:i/>
          <w:sz w:val="18"/>
        </w:rPr>
        <w:t>total assets value exceeding 500 million rupees;</w:t>
      </w:r>
    </w:p>
    <w:p w:rsidR="00D31F42" w:rsidRPr="004A0958" w:rsidRDefault="00D31F42" w:rsidP="00F7611C">
      <w:pPr>
        <w:numPr>
          <w:ilvl w:val="0"/>
          <w:numId w:val="3"/>
        </w:numPr>
        <w:tabs>
          <w:tab w:val="clear" w:pos="360"/>
          <w:tab w:val="left" w:pos="1080"/>
          <w:tab w:val="num" w:pos="1620"/>
        </w:tabs>
        <w:ind w:left="1080" w:firstLine="180"/>
        <w:jc w:val="both"/>
        <w:rPr>
          <w:rFonts w:ascii="Calibri" w:hAnsi="Calibri" w:cs="Arial"/>
          <w:bCs/>
          <w:i/>
          <w:sz w:val="18"/>
        </w:rPr>
      </w:pPr>
      <w:r w:rsidRPr="004A0958">
        <w:rPr>
          <w:rFonts w:ascii="Calibri" w:hAnsi="Calibri" w:cs="Arial"/>
          <w:bCs/>
          <w:i/>
          <w:sz w:val="18"/>
        </w:rPr>
        <w:t>a number of employees exceeding 50.</w:t>
      </w:r>
      <w:bookmarkEnd w:id="0"/>
    </w:p>
    <w:p w:rsidR="00D31F42" w:rsidRPr="004A0958" w:rsidRDefault="00D31F42" w:rsidP="00590541">
      <w:pPr>
        <w:ind w:left="1080"/>
        <w:jc w:val="both"/>
        <w:rPr>
          <w:rFonts w:ascii="Calibri" w:hAnsi="Calibri" w:cs="Arial"/>
          <w:bCs/>
          <w:i/>
        </w:rPr>
      </w:pPr>
    </w:p>
    <w:p w:rsidR="00D31F42" w:rsidRPr="004A0958" w:rsidRDefault="00D31F42" w:rsidP="00590541">
      <w:pPr>
        <w:ind w:left="1080"/>
        <w:jc w:val="both"/>
        <w:rPr>
          <w:rFonts w:ascii="Calibri" w:hAnsi="Calibri" w:cs="Arial"/>
          <w:bCs/>
          <w:i/>
        </w:rPr>
      </w:pPr>
    </w:p>
    <w:p w:rsidR="00D31F42" w:rsidRPr="004A0958" w:rsidRDefault="00D31F42" w:rsidP="00590541">
      <w:pPr>
        <w:ind w:left="1080"/>
        <w:jc w:val="both"/>
        <w:rPr>
          <w:rFonts w:ascii="Calibri" w:hAnsi="Calibri" w:cs="Arial"/>
          <w:bCs/>
          <w:i/>
        </w:rPr>
      </w:pPr>
    </w:p>
    <w:p w:rsidR="00D31F42" w:rsidRPr="004A0958" w:rsidRDefault="00D31F42" w:rsidP="00590541">
      <w:pPr>
        <w:ind w:left="1080"/>
        <w:jc w:val="both"/>
        <w:rPr>
          <w:rFonts w:ascii="Calibri" w:hAnsi="Calibri" w:cs="Arial"/>
          <w:bCs/>
          <w:i/>
        </w:rPr>
      </w:pPr>
    </w:p>
    <w:p w:rsidR="00D31F42" w:rsidRPr="004A0958" w:rsidRDefault="00D31F42" w:rsidP="00590541">
      <w:pPr>
        <w:ind w:left="1080"/>
        <w:jc w:val="both"/>
        <w:rPr>
          <w:rFonts w:ascii="Calibri" w:hAnsi="Calibri" w:cs="Arial"/>
          <w:bCs/>
          <w:i/>
        </w:rPr>
      </w:pPr>
    </w:p>
    <w:p w:rsidR="00D31F42" w:rsidRPr="004A0958" w:rsidRDefault="00D31F42" w:rsidP="00590541">
      <w:pPr>
        <w:ind w:left="1080"/>
        <w:jc w:val="both"/>
        <w:rPr>
          <w:rFonts w:ascii="Calibri" w:hAnsi="Calibri" w:cs="Arial"/>
          <w:bCs/>
          <w:i/>
        </w:rPr>
      </w:pPr>
    </w:p>
    <w:p w:rsidR="00D31F42" w:rsidRPr="004A0958" w:rsidRDefault="00D31F42" w:rsidP="00590541">
      <w:pPr>
        <w:ind w:left="1080"/>
        <w:jc w:val="both"/>
        <w:rPr>
          <w:rFonts w:ascii="Calibri" w:hAnsi="Calibri" w:cs="Arial"/>
          <w:bCs/>
          <w:i/>
        </w:rPr>
      </w:pPr>
    </w:p>
    <w:p w:rsidR="00D31F42" w:rsidRPr="004A0958" w:rsidRDefault="00D31F42" w:rsidP="00590541">
      <w:pPr>
        <w:ind w:left="1080"/>
        <w:jc w:val="both"/>
        <w:rPr>
          <w:rFonts w:ascii="Calibri" w:hAnsi="Calibri" w:cs="Arial"/>
          <w:bCs/>
          <w:i/>
        </w:rPr>
      </w:pPr>
    </w:p>
    <w:p w:rsidR="00D31F42" w:rsidRPr="004A0958" w:rsidRDefault="00D31F42" w:rsidP="00590541">
      <w:pPr>
        <w:ind w:left="1080"/>
        <w:jc w:val="both"/>
        <w:rPr>
          <w:rFonts w:ascii="Calibri" w:hAnsi="Calibri" w:cs="Arial"/>
          <w:bCs/>
          <w:i/>
        </w:rPr>
      </w:pPr>
    </w:p>
    <w:p w:rsidR="00D31F42" w:rsidRPr="004A0958" w:rsidRDefault="00D31F42" w:rsidP="00590541">
      <w:pPr>
        <w:ind w:left="1080"/>
        <w:jc w:val="both"/>
        <w:rPr>
          <w:rFonts w:ascii="Calibri" w:hAnsi="Calibri" w:cs="Arial"/>
          <w:bCs/>
          <w:i/>
        </w:rPr>
      </w:pPr>
    </w:p>
    <w:p w:rsidR="00D31F42" w:rsidRPr="004A0958" w:rsidRDefault="00D31F42" w:rsidP="00590541">
      <w:pPr>
        <w:ind w:left="1080"/>
        <w:jc w:val="both"/>
        <w:rPr>
          <w:rFonts w:ascii="Calibri" w:hAnsi="Calibri" w:cs="Arial"/>
          <w:bCs/>
          <w:i/>
        </w:rPr>
      </w:pPr>
    </w:p>
    <w:p w:rsidR="00D31F42" w:rsidRPr="004A0958" w:rsidRDefault="00D31F42" w:rsidP="00590541">
      <w:pPr>
        <w:ind w:left="1080"/>
        <w:jc w:val="both"/>
        <w:rPr>
          <w:rFonts w:ascii="Calibri" w:hAnsi="Calibri" w:cs="Arial"/>
          <w:bCs/>
          <w:i/>
        </w:rPr>
      </w:pPr>
    </w:p>
    <w:p w:rsidR="00D31F42" w:rsidRPr="004A0958" w:rsidRDefault="00D31F42" w:rsidP="00590541">
      <w:pPr>
        <w:ind w:left="1080"/>
        <w:jc w:val="both"/>
        <w:rPr>
          <w:rFonts w:ascii="Calibri" w:hAnsi="Calibri" w:cs="Arial"/>
          <w:bCs/>
          <w:i/>
        </w:rPr>
      </w:pPr>
    </w:p>
    <w:p w:rsidR="00D31F42" w:rsidRPr="004A0958" w:rsidRDefault="00D31F42" w:rsidP="00D63EDF">
      <w:pPr>
        <w:tabs>
          <w:tab w:val="left" w:pos="540"/>
          <w:tab w:val="left" w:pos="1080"/>
          <w:tab w:val="left" w:pos="1710"/>
        </w:tabs>
        <w:ind w:left="1620" w:hanging="1080"/>
        <w:jc w:val="both"/>
        <w:rPr>
          <w:rStyle w:val="Hyperlink"/>
          <w:rFonts w:ascii="Calibri" w:hAnsi="Calibri" w:cs="Arial"/>
          <w:b/>
          <w:color w:val="B2A606"/>
          <w:sz w:val="32"/>
        </w:rPr>
      </w:pPr>
      <w:r w:rsidRPr="004A0958">
        <w:rPr>
          <w:rStyle w:val="Hyperlink"/>
          <w:rFonts w:ascii="Calibri" w:hAnsi="Calibri" w:cs="Arial"/>
          <w:b/>
          <w:color w:val="B2A606"/>
          <w:sz w:val="32"/>
        </w:rPr>
        <w:lastRenderedPageBreak/>
        <w:t>Contents</w:t>
      </w:r>
    </w:p>
    <w:p w:rsidR="00D31F42" w:rsidRPr="004A0958" w:rsidRDefault="00D31F42" w:rsidP="00D63EDF">
      <w:pPr>
        <w:ind w:right="-807" w:firstLine="540"/>
        <w:jc w:val="both"/>
        <w:rPr>
          <w:rFonts w:ascii="Calibri" w:hAnsi="Calibri" w:cs="Arial"/>
          <w:b/>
          <w:bCs/>
          <w:color w:val="AEA206"/>
        </w:rPr>
      </w:pPr>
      <w:r w:rsidRPr="004A0958">
        <w:rPr>
          <w:rFonts w:ascii="Calibri" w:hAnsi="Calibri" w:cs="Arial"/>
          <w:b/>
          <w:bCs/>
          <w:color w:val="AEA206"/>
        </w:rPr>
        <w:t>____________________________________________________________________</w:t>
      </w:r>
    </w:p>
    <w:p w:rsidR="00D31F42" w:rsidRPr="004A0958" w:rsidRDefault="00D31F42" w:rsidP="00D63EDF">
      <w:pPr>
        <w:jc w:val="both"/>
        <w:rPr>
          <w:rFonts w:ascii="Calibri" w:hAnsi="Calibri" w:cs="Arial"/>
          <w:bCs/>
          <w:highlight w:val="yellow"/>
        </w:rPr>
      </w:pPr>
    </w:p>
    <w:p w:rsidR="00D31F42" w:rsidRPr="004A0958" w:rsidRDefault="00B97652" w:rsidP="00074FC0">
      <w:pPr>
        <w:tabs>
          <w:tab w:val="left" w:pos="540"/>
          <w:tab w:val="left" w:pos="1080"/>
          <w:tab w:val="left" w:pos="1710"/>
        </w:tabs>
        <w:ind w:left="1620" w:hanging="1080"/>
        <w:jc w:val="both"/>
        <w:rPr>
          <w:rFonts w:ascii="Calibri" w:hAnsi="Calibri" w:cs="Arial"/>
          <w:b/>
          <w:bCs/>
          <w:color w:val="B2A606"/>
        </w:rPr>
      </w:pPr>
      <w:hyperlink w:anchor="_Hlk395610325" w:history="1" w:docLocation="1,2477,2498,0,,Part A - Full reviews">
        <w:r w:rsidR="00D31F42" w:rsidRPr="004A0958">
          <w:rPr>
            <w:rStyle w:val="Hyperlink"/>
            <w:rFonts w:ascii="Calibri" w:hAnsi="Calibri" w:cs="Arial"/>
            <w:b/>
            <w:color w:val="B2A606"/>
          </w:rPr>
          <w:t>PART A - Full reviews</w:t>
        </w:r>
      </w:hyperlink>
    </w:p>
    <w:p w:rsidR="00D31F42" w:rsidRPr="004A0958" w:rsidRDefault="00D31F42" w:rsidP="00C83B87">
      <w:pPr>
        <w:tabs>
          <w:tab w:val="left" w:pos="540"/>
          <w:tab w:val="left" w:pos="1080"/>
        </w:tabs>
        <w:ind w:left="1800" w:hanging="1260"/>
        <w:jc w:val="both"/>
        <w:rPr>
          <w:rFonts w:ascii="Calibri" w:hAnsi="Calibri" w:cs="Arial"/>
          <w:bCs/>
        </w:rPr>
      </w:pPr>
    </w:p>
    <w:p w:rsidR="00D31F42" w:rsidRPr="004A0958" w:rsidRDefault="00D31F42" w:rsidP="00F7611C">
      <w:pPr>
        <w:numPr>
          <w:ilvl w:val="0"/>
          <w:numId w:val="38"/>
        </w:numPr>
        <w:tabs>
          <w:tab w:val="left" w:pos="540"/>
          <w:tab w:val="left" w:pos="1080"/>
          <w:tab w:val="left" w:pos="1710"/>
        </w:tabs>
        <w:ind w:hanging="990"/>
        <w:jc w:val="both"/>
        <w:rPr>
          <w:rFonts w:ascii="Calibri" w:hAnsi="Calibri" w:cs="Arial"/>
          <w:bCs/>
          <w:color w:val="0070C0"/>
        </w:rPr>
      </w:pPr>
      <w:r w:rsidRPr="004A0958">
        <w:rPr>
          <w:rFonts w:ascii="Calibri" w:hAnsi="Calibri" w:cs="Arial"/>
          <w:bCs/>
          <w:color w:val="0070C0"/>
        </w:rPr>
        <w:t>Main findings from the Group Reviews</w:t>
      </w:r>
    </w:p>
    <w:p w:rsidR="00D31F42" w:rsidRPr="004A0958" w:rsidRDefault="00D31F42" w:rsidP="00074FC0">
      <w:pPr>
        <w:tabs>
          <w:tab w:val="left" w:pos="540"/>
          <w:tab w:val="left" w:pos="1080"/>
        </w:tabs>
        <w:ind w:left="1710"/>
        <w:jc w:val="both"/>
        <w:rPr>
          <w:rFonts w:ascii="Calibri" w:hAnsi="Calibri" w:cs="Arial"/>
          <w:bCs/>
        </w:rPr>
      </w:pPr>
    </w:p>
    <w:p w:rsidR="00D31F42" w:rsidRPr="004A0958" w:rsidRDefault="00B97652" w:rsidP="00F7611C">
      <w:pPr>
        <w:numPr>
          <w:ilvl w:val="1"/>
          <w:numId w:val="38"/>
        </w:numPr>
        <w:tabs>
          <w:tab w:val="left" w:pos="1080"/>
          <w:tab w:val="left" w:pos="1800"/>
          <w:tab w:val="left" w:pos="1890"/>
        </w:tabs>
        <w:ind w:left="1800" w:hanging="720"/>
        <w:jc w:val="both"/>
        <w:rPr>
          <w:rStyle w:val="Hyperlink"/>
          <w:rFonts w:ascii="Calibri" w:hAnsi="Calibri" w:cs="Arial"/>
          <w:color w:val="auto"/>
          <w:u w:val="single"/>
        </w:rPr>
      </w:pPr>
      <w:hyperlink w:anchor="OLE_LINK1" w:history="1">
        <w:r w:rsidR="00D31F42" w:rsidRPr="004A0958">
          <w:rPr>
            <w:rStyle w:val="Hyperlink"/>
            <w:rFonts w:ascii="Calibri" w:hAnsi="Calibri" w:cs="Arial"/>
            <w:bCs/>
            <w:color w:val="auto"/>
            <w:u w:val="single"/>
          </w:rPr>
          <w:t xml:space="preserve">Compliances </w:t>
        </w:r>
        <w:r w:rsidR="00D31F42" w:rsidRPr="004A0958">
          <w:rPr>
            <w:rStyle w:val="Hyperlink"/>
            <w:rFonts w:ascii="Calibri" w:hAnsi="Calibri" w:cs="Arial"/>
            <w:color w:val="auto"/>
            <w:u w:val="single"/>
          </w:rPr>
          <w:t>with regard to International Financial Reporting Standards (IFRSs)</w:t>
        </w:r>
      </w:hyperlink>
    </w:p>
    <w:p w:rsidR="00D31F42" w:rsidRPr="004A0958" w:rsidRDefault="00D31F42" w:rsidP="00074FC0">
      <w:pPr>
        <w:tabs>
          <w:tab w:val="left" w:pos="1080"/>
          <w:tab w:val="left" w:pos="1800"/>
          <w:tab w:val="left" w:pos="2340"/>
        </w:tabs>
        <w:ind w:left="2340" w:hanging="1260"/>
        <w:jc w:val="both"/>
        <w:rPr>
          <w:rFonts w:ascii="Calibri" w:hAnsi="Calibri" w:cs="Arial"/>
          <w:bCs/>
          <w:highlight w:val="yellow"/>
        </w:rPr>
      </w:pPr>
    </w:p>
    <w:p w:rsidR="00D31F42" w:rsidRPr="004A0958" w:rsidRDefault="00B97652" w:rsidP="00F7611C">
      <w:pPr>
        <w:numPr>
          <w:ilvl w:val="1"/>
          <w:numId w:val="38"/>
        </w:numPr>
        <w:tabs>
          <w:tab w:val="left" w:pos="1080"/>
          <w:tab w:val="left" w:pos="1800"/>
          <w:tab w:val="left" w:pos="2340"/>
        </w:tabs>
        <w:ind w:hanging="1260"/>
        <w:jc w:val="both"/>
        <w:rPr>
          <w:rStyle w:val="Hyperlink"/>
          <w:rFonts w:ascii="Calibri" w:hAnsi="Calibri" w:cs="Arial"/>
          <w:bCs/>
          <w:color w:val="auto"/>
          <w:u w:val="single"/>
        </w:rPr>
      </w:pPr>
      <w:hyperlink w:anchor="Other" w:history="1">
        <w:r w:rsidR="00D31F42" w:rsidRPr="004A0958">
          <w:rPr>
            <w:rStyle w:val="Hyperlink"/>
            <w:rFonts w:ascii="Calibri" w:hAnsi="Calibri" w:cs="Arial"/>
            <w:bCs/>
            <w:color w:val="auto"/>
            <w:u w:val="single"/>
          </w:rPr>
          <w:t>Other issues</w:t>
        </w:r>
      </w:hyperlink>
    </w:p>
    <w:p w:rsidR="00D31F42" w:rsidRPr="004A0958" w:rsidRDefault="00D31F42" w:rsidP="002A33A7">
      <w:pPr>
        <w:pStyle w:val="ListParagraph"/>
        <w:ind w:hanging="1260"/>
        <w:rPr>
          <w:rStyle w:val="Hyperlink"/>
          <w:rFonts w:ascii="Calibri" w:hAnsi="Calibri" w:cs="Arial"/>
          <w:color w:val="auto"/>
          <w:highlight w:val="yellow"/>
        </w:rPr>
      </w:pPr>
    </w:p>
    <w:p w:rsidR="00D31F42" w:rsidRPr="004A0958" w:rsidRDefault="00B97652" w:rsidP="00F7611C">
      <w:pPr>
        <w:numPr>
          <w:ilvl w:val="1"/>
          <w:numId w:val="38"/>
        </w:numPr>
        <w:tabs>
          <w:tab w:val="left" w:pos="1080"/>
          <w:tab w:val="left" w:pos="1800"/>
          <w:tab w:val="left" w:pos="2340"/>
        </w:tabs>
        <w:ind w:hanging="1260"/>
        <w:jc w:val="both"/>
        <w:rPr>
          <w:rStyle w:val="Hyperlink"/>
          <w:rFonts w:ascii="Calibri" w:hAnsi="Calibri" w:cs="Arial"/>
          <w:color w:val="auto"/>
          <w:u w:val="single"/>
        </w:rPr>
      </w:pPr>
      <w:hyperlink w:anchor="Issues" w:history="1">
        <w:r w:rsidR="00D31F42" w:rsidRPr="004A0958">
          <w:rPr>
            <w:rStyle w:val="Hyperlink"/>
            <w:rFonts w:ascii="Calibri" w:hAnsi="Calibri" w:cs="Arial"/>
            <w:color w:val="auto"/>
            <w:u w:val="single"/>
          </w:rPr>
          <w:t>Issues raised with auditors</w:t>
        </w:r>
      </w:hyperlink>
    </w:p>
    <w:p w:rsidR="00D31F42" w:rsidRPr="004A0958" w:rsidRDefault="00D31F42" w:rsidP="00E3142C">
      <w:pPr>
        <w:tabs>
          <w:tab w:val="left" w:pos="2340"/>
        </w:tabs>
        <w:ind w:left="2340" w:hanging="630"/>
        <w:jc w:val="both"/>
        <w:rPr>
          <w:rFonts w:ascii="Calibri" w:hAnsi="Calibri" w:cs="Arial"/>
          <w:bCs/>
          <w:highlight w:val="yellow"/>
        </w:rPr>
      </w:pPr>
    </w:p>
    <w:p w:rsidR="00D31F42" w:rsidRPr="004A0958" w:rsidRDefault="00D31F42" w:rsidP="00074FC0">
      <w:pPr>
        <w:tabs>
          <w:tab w:val="left" w:pos="561"/>
          <w:tab w:val="left" w:pos="1080"/>
        </w:tabs>
        <w:ind w:left="1710" w:hanging="990"/>
        <w:jc w:val="both"/>
        <w:rPr>
          <w:rFonts w:ascii="Calibri" w:hAnsi="Calibri" w:cs="Arial"/>
          <w:b/>
          <w:bCs/>
          <w:color w:val="0070C0"/>
        </w:rPr>
      </w:pPr>
      <w:r w:rsidRPr="004A0958">
        <w:rPr>
          <w:rFonts w:ascii="Calibri" w:hAnsi="Calibri" w:cs="Arial"/>
          <w:bCs/>
          <w:color w:val="0070C0"/>
        </w:rPr>
        <w:t>2.</w:t>
      </w:r>
      <w:r w:rsidRPr="004A0958">
        <w:rPr>
          <w:rFonts w:ascii="Calibri" w:hAnsi="Calibri" w:cs="Arial"/>
          <w:bCs/>
          <w:color w:val="0070C0"/>
        </w:rPr>
        <w:tab/>
        <w:t xml:space="preserve">Main findings from </w:t>
      </w:r>
      <w:r w:rsidRPr="004A0958">
        <w:rPr>
          <w:rFonts w:ascii="Calibri" w:hAnsi="Calibri"/>
          <w:color w:val="0070C0"/>
        </w:rPr>
        <w:t>other entities</w:t>
      </w:r>
    </w:p>
    <w:p w:rsidR="00D31F42" w:rsidRPr="004A0958" w:rsidRDefault="00D31F42" w:rsidP="00C83B87">
      <w:pPr>
        <w:tabs>
          <w:tab w:val="left" w:pos="561"/>
          <w:tab w:val="left" w:pos="1080"/>
        </w:tabs>
        <w:ind w:left="1710" w:hanging="630"/>
        <w:jc w:val="both"/>
        <w:rPr>
          <w:rFonts w:ascii="Calibri" w:hAnsi="Calibri" w:cs="Arial"/>
          <w:bCs/>
          <w:highlight w:val="yellow"/>
        </w:rPr>
      </w:pPr>
    </w:p>
    <w:p w:rsidR="00D31F42" w:rsidRPr="004A0958" w:rsidRDefault="00D31F42" w:rsidP="00E520F3">
      <w:pPr>
        <w:tabs>
          <w:tab w:val="left" w:pos="561"/>
          <w:tab w:val="left" w:pos="1080"/>
        </w:tabs>
        <w:ind w:left="1800" w:hanging="720"/>
        <w:jc w:val="both"/>
        <w:rPr>
          <w:rStyle w:val="Hyperlink"/>
          <w:rFonts w:ascii="Calibri" w:hAnsi="Calibri" w:cs="Arial"/>
          <w:bCs/>
          <w:color w:val="auto"/>
        </w:rPr>
      </w:pPr>
      <w:r w:rsidRPr="004A0958">
        <w:rPr>
          <w:rFonts w:ascii="Calibri" w:hAnsi="Calibri" w:cs="Arial"/>
          <w:bCs/>
        </w:rPr>
        <w:t>2.1</w:t>
      </w:r>
      <w:r w:rsidRPr="004A0958">
        <w:rPr>
          <w:rFonts w:ascii="Calibri" w:hAnsi="Calibri" w:cs="Arial"/>
          <w:bCs/>
        </w:rPr>
        <w:tab/>
      </w:r>
      <w:r w:rsidRPr="004A0958">
        <w:rPr>
          <w:rFonts w:ascii="Calibri" w:hAnsi="Calibri" w:cs="Arial"/>
          <w:bCs/>
        </w:rPr>
        <w:fldChar w:fldCharType="begin"/>
      </w:r>
      <w:r w:rsidRPr="004A0958">
        <w:rPr>
          <w:rFonts w:ascii="Calibri" w:hAnsi="Calibri" w:cs="Arial"/>
          <w:bCs/>
        </w:rPr>
        <w:instrText xml:space="preserve"> HYPERLINK  \l "Compliances" </w:instrText>
      </w:r>
      <w:r w:rsidRPr="004A0958">
        <w:rPr>
          <w:rFonts w:ascii="Calibri" w:hAnsi="Calibri" w:cs="Arial"/>
          <w:bCs/>
        </w:rPr>
        <w:fldChar w:fldCharType="separate"/>
      </w:r>
      <w:r w:rsidRPr="004A0958">
        <w:rPr>
          <w:rStyle w:val="Hyperlink"/>
          <w:rFonts w:ascii="Calibri" w:hAnsi="Calibri" w:cs="Arial"/>
          <w:bCs/>
          <w:color w:val="auto"/>
          <w:u w:val="single"/>
        </w:rPr>
        <w:t>Compliances with regard to International Financial Reporting Standards (IFRSs)</w:t>
      </w:r>
    </w:p>
    <w:p w:rsidR="00D31F42" w:rsidRPr="004A0958" w:rsidRDefault="00D31F42" w:rsidP="00E520F3">
      <w:pPr>
        <w:tabs>
          <w:tab w:val="left" w:pos="561"/>
          <w:tab w:val="left" w:pos="1080"/>
        </w:tabs>
        <w:ind w:left="1800" w:hanging="720"/>
        <w:jc w:val="both"/>
        <w:rPr>
          <w:rFonts w:ascii="Calibri" w:hAnsi="Calibri" w:cs="Arial"/>
          <w:bCs/>
          <w:highlight w:val="yellow"/>
        </w:rPr>
      </w:pPr>
      <w:r w:rsidRPr="004A0958">
        <w:rPr>
          <w:rFonts w:ascii="Calibri" w:hAnsi="Calibri" w:cs="Arial"/>
          <w:bCs/>
        </w:rPr>
        <w:fldChar w:fldCharType="end"/>
      </w:r>
    </w:p>
    <w:p w:rsidR="00D31F42" w:rsidRPr="004A0958" w:rsidRDefault="00B97652" w:rsidP="00F7611C">
      <w:pPr>
        <w:numPr>
          <w:ilvl w:val="1"/>
          <w:numId w:val="37"/>
        </w:numPr>
        <w:tabs>
          <w:tab w:val="left" w:pos="1800"/>
        </w:tabs>
        <w:ind w:hanging="720"/>
        <w:jc w:val="both"/>
        <w:rPr>
          <w:rFonts w:ascii="Calibri" w:hAnsi="Calibri" w:cs="Arial"/>
          <w:bCs/>
          <w:u w:val="single"/>
        </w:rPr>
      </w:pPr>
      <w:hyperlink w:anchor="OLE_LINK4" w:history="1">
        <w:r w:rsidR="00D31F42" w:rsidRPr="004A0958">
          <w:rPr>
            <w:rStyle w:val="Hyperlink"/>
            <w:rFonts w:ascii="Calibri" w:hAnsi="Calibri" w:cs="Arial"/>
            <w:bCs/>
            <w:color w:val="auto"/>
            <w:u w:val="single"/>
          </w:rPr>
          <w:t>Compliances with regard to corporate governance</w:t>
        </w:r>
      </w:hyperlink>
    </w:p>
    <w:p w:rsidR="00D31F42" w:rsidRPr="004A0958" w:rsidRDefault="00D31F42" w:rsidP="00E520F3">
      <w:pPr>
        <w:tabs>
          <w:tab w:val="left" w:pos="561"/>
          <w:tab w:val="left" w:pos="1080"/>
        </w:tabs>
        <w:ind w:left="1800" w:hanging="720"/>
        <w:jc w:val="both"/>
        <w:rPr>
          <w:rFonts w:ascii="Calibri" w:hAnsi="Calibri"/>
          <w:highlight w:val="yellow"/>
        </w:rPr>
      </w:pPr>
    </w:p>
    <w:p w:rsidR="00D31F42" w:rsidRPr="004A0958" w:rsidRDefault="00B97652" w:rsidP="00F7611C">
      <w:pPr>
        <w:numPr>
          <w:ilvl w:val="1"/>
          <w:numId w:val="37"/>
        </w:numPr>
        <w:tabs>
          <w:tab w:val="left" w:pos="561"/>
          <w:tab w:val="left" w:pos="1080"/>
          <w:tab w:val="left" w:pos="1800"/>
        </w:tabs>
        <w:ind w:hanging="720"/>
        <w:jc w:val="both"/>
        <w:rPr>
          <w:rStyle w:val="Hyperlink"/>
          <w:rFonts w:ascii="Calibri" w:hAnsi="Calibri" w:cs="Arial"/>
          <w:bCs/>
          <w:color w:val="auto"/>
          <w:u w:val="single"/>
        </w:rPr>
      </w:pPr>
      <w:hyperlink w:anchor="Reporting" w:history="1">
        <w:r w:rsidR="00D31F42" w:rsidRPr="00CD5F6A">
          <w:rPr>
            <w:rStyle w:val="Hyperlink"/>
            <w:rFonts w:ascii="Calibri" w:hAnsi="Calibri" w:cs="Arial"/>
            <w:color w:val="auto"/>
            <w:u w:val="single"/>
            <w:lang w:val="en-US"/>
          </w:rPr>
          <w:t>Reporting by Auditors in compliance with Section 39(3) of the FR Act</w:t>
        </w:r>
      </w:hyperlink>
      <w:r w:rsidR="00D31F42" w:rsidRPr="00CD5F6A">
        <w:rPr>
          <w:rStyle w:val="Hyperlink"/>
          <w:rFonts w:ascii="Calibri" w:hAnsi="Calibri" w:cs="Arial"/>
          <w:color w:val="auto"/>
          <w:u w:val="single"/>
          <w:lang w:val="en-US"/>
        </w:rPr>
        <w:t xml:space="preserve"> </w:t>
      </w:r>
    </w:p>
    <w:p w:rsidR="00D31F42" w:rsidRPr="004A0958" w:rsidRDefault="00D31F42" w:rsidP="00E520F3">
      <w:pPr>
        <w:tabs>
          <w:tab w:val="left" w:pos="561"/>
          <w:tab w:val="left" w:pos="1080"/>
          <w:tab w:val="left" w:pos="2340"/>
        </w:tabs>
        <w:ind w:left="1800" w:hanging="720"/>
        <w:jc w:val="both"/>
        <w:rPr>
          <w:rFonts w:ascii="Calibri" w:hAnsi="Calibri" w:cs="Arial"/>
          <w:bCs/>
          <w:highlight w:val="yellow"/>
        </w:rPr>
      </w:pPr>
    </w:p>
    <w:p w:rsidR="00D31F42" w:rsidRPr="004A0958" w:rsidRDefault="00D31F42" w:rsidP="00E520F3">
      <w:pPr>
        <w:tabs>
          <w:tab w:val="left" w:pos="561"/>
          <w:tab w:val="left" w:pos="1080"/>
        </w:tabs>
        <w:ind w:left="1800" w:hanging="720"/>
        <w:jc w:val="both"/>
        <w:rPr>
          <w:rFonts w:ascii="Calibri" w:hAnsi="Calibri" w:cs="Arial"/>
          <w:bCs/>
          <w:u w:val="single"/>
          <w:lang w:val="fr-FR"/>
        </w:rPr>
      </w:pPr>
      <w:r w:rsidRPr="00CD5F6A">
        <w:rPr>
          <w:rFonts w:ascii="Calibri" w:hAnsi="Calibri" w:cs="Arial"/>
          <w:bCs/>
          <w:lang w:val="fr-FR"/>
        </w:rPr>
        <w:t>2.4</w:t>
      </w:r>
      <w:r w:rsidRPr="00CD5F6A">
        <w:rPr>
          <w:rFonts w:ascii="Calibri" w:hAnsi="Calibri" w:cs="Arial"/>
          <w:bCs/>
          <w:lang w:val="fr-FR"/>
        </w:rPr>
        <w:tab/>
      </w:r>
      <w:hyperlink w:anchor="AFees" w:history="1">
        <w:r w:rsidRPr="004A0958">
          <w:rPr>
            <w:rStyle w:val="Hyperlink"/>
            <w:rFonts w:ascii="Calibri" w:hAnsi="Calibri" w:cs="Arial"/>
            <w:bCs/>
            <w:color w:val="auto"/>
            <w:u w:val="single"/>
            <w:lang w:val="fr-FR"/>
          </w:rPr>
          <w:t>Audit and non-audit fees</w:t>
        </w:r>
      </w:hyperlink>
    </w:p>
    <w:p w:rsidR="00D31F42" w:rsidRPr="004A0958" w:rsidRDefault="00D31F42" w:rsidP="00E520F3">
      <w:pPr>
        <w:tabs>
          <w:tab w:val="left" w:pos="561"/>
          <w:tab w:val="left" w:pos="1080"/>
        </w:tabs>
        <w:ind w:left="1800" w:hanging="720"/>
        <w:jc w:val="both"/>
        <w:rPr>
          <w:rFonts w:ascii="Calibri" w:hAnsi="Calibri" w:cs="Arial"/>
          <w:bCs/>
          <w:highlight w:val="yellow"/>
          <w:u w:val="single"/>
          <w:lang w:val="fr-FR"/>
        </w:rPr>
      </w:pPr>
    </w:p>
    <w:p w:rsidR="00D31F42" w:rsidRPr="004A0958" w:rsidRDefault="00D31F42" w:rsidP="00E520F3">
      <w:pPr>
        <w:tabs>
          <w:tab w:val="left" w:pos="561"/>
          <w:tab w:val="left" w:pos="1080"/>
        </w:tabs>
        <w:ind w:left="1800" w:hanging="720"/>
        <w:jc w:val="both"/>
        <w:rPr>
          <w:rStyle w:val="Hyperlink"/>
          <w:rFonts w:ascii="Calibri" w:hAnsi="Calibri" w:cs="Arial"/>
          <w:color w:val="auto"/>
          <w:u w:val="single"/>
          <w:lang w:val="fr-FR"/>
        </w:rPr>
      </w:pPr>
      <w:r w:rsidRPr="004A0958">
        <w:rPr>
          <w:rFonts w:ascii="Calibri" w:hAnsi="Calibri" w:cs="Arial"/>
          <w:bCs/>
          <w:lang w:val="fr-FR"/>
        </w:rPr>
        <w:t>2.5</w:t>
      </w:r>
      <w:r w:rsidRPr="004A0958">
        <w:rPr>
          <w:rFonts w:ascii="Calibri" w:hAnsi="Calibri" w:cs="Arial"/>
          <w:bCs/>
          <w:lang w:val="fr-FR"/>
        </w:rPr>
        <w:tab/>
      </w:r>
      <w:hyperlink w:anchor="Non" w:history="1">
        <w:r w:rsidRPr="004A0958">
          <w:rPr>
            <w:rStyle w:val="Hyperlink"/>
            <w:rFonts w:ascii="Calibri" w:hAnsi="Calibri" w:cs="Arial"/>
            <w:color w:val="auto"/>
            <w:u w:val="single"/>
            <w:lang w:val="fr-FR"/>
          </w:rPr>
          <w:t>Non-financial information</w:t>
        </w:r>
      </w:hyperlink>
      <w:r w:rsidRPr="004A0958">
        <w:rPr>
          <w:rFonts w:ascii="Calibri" w:hAnsi="Calibri" w:cs="Arial"/>
          <w:lang w:val="fr-FR"/>
        </w:rPr>
        <w:t xml:space="preserve"> </w:t>
      </w:r>
    </w:p>
    <w:p w:rsidR="00D31F42" w:rsidRPr="004A0958" w:rsidRDefault="00D31F42" w:rsidP="00E520F3">
      <w:pPr>
        <w:tabs>
          <w:tab w:val="left" w:pos="561"/>
          <w:tab w:val="left" w:pos="1080"/>
        </w:tabs>
        <w:ind w:left="1800" w:hanging="720"/>
        <w:jc w:val="both"/>
        <w:rPr>
          <w:rFonts w:ascii="Calibri" w:hAnsi="Calibri" w:cs="Arial"/>
          <w:bCs/>
          <w:highlight w:val="yellow"/>
          <w:u w:val="single"/>
          <w:lang w:val="fr-FR"/>
        </w:rPr>
      </w:pPr>
    </w:p>
    <w:p w:rsidR="00D31F42" w:rsidRPr="004A0958" w:rsidRDefault="00D31F42" w:rsidP="00E520F3">
      <w:pPr>
        <w:tabs>
          <w:tab w:val="left" w:pos="561"/>
          <w:tab w:val="left" w:pos="1080"/>
          <w:tab w:val="left" w:pos="1710"/>
        </w:tabs>
        <w:ind w:left="1800" w:hanging="720"/>
        <w:jc w:val="both"/>
        <w:rPr>
          <w:rFonts w:ascii="Calibri" w:hAnsi="Calibri" w:cs="Arial"/>
          <w:bCs/>
          <w:lang w:val="fr-FR"/>
        </w:rPr>
      </w:pPr>
      <w:r w:rsidRPr="004A0958">
        <w:rPr>
          <w:rFonts w:ascii="Calibri" w:hAnsi="Calibri" w:cs="Arial"/>
          <w:bCs/>
          <w:lang w:val="fr-FR"/>
        </w:rPr>
        <w:t>2.6</w:t>
      </w:r>
      <w:r w:rsidRPr="004A0958">
        <w:rPr>
          <w:rFonts w:ascii="Calibri" w:hAnsi="Calibri" w:cs="Arial"/>
          <w:bCs/>
          <w:lang w:val="fr-FR"/>
        </w:rPr>
        <w:tab/>
        <w:t xml:space="preserve"> </w:t>
      </w:r>
      <w:hyperlink w:anchor="Market" w:history="1">
        <w:r w:rsidRPr="004A0958">
          <w:rPr>
            <w:rStyle w:val="Hyperlink"/>
            <w:rFonts w:ascii="Calibri" w:hAnsi="Calibri" w:cs="Arial"/>
            <w:color w:val="auto"/>
            <w:u w:val="single"/>
            <w:lang w:val="fr-FR"/>
          </w:rPr>
          <w:t>Market Capitalisation</w:t>
        </w:r>
      </w:hyperlink>
    </w:p>
    <w:p w:rsidR="00D31F42" w:rsidRPr="00CD5F6A" w:rsidRDefault="00D31F42" w:rsidP="004B54CE">
      <w:pPr>
        <w:tabs>
          <w:tab w:val="left" w:pos="540"/>
          <w:tab w:val="left" w:pos="1080"/>
        </w:tabs>
        <w:jc w:val="both"/>
        <w:rPr>
          <w:rFonts w:ascii="Calibri" w:hAnsi="Calibri" w:cs="Arial"/>
          <w:bCs/>
          <w:lang w:val="fr-FR"/>
        </w:rPr>
      </w:pPr>
    </w:p>
    <w:p w:rsidR="00D31F42" w:rsidRPr="004A0958" w:rsidRDefault="00D31F42" w:rsidP="000D4624">
      <w:pPr>
        <w:tabs>
          <w:tab w:val="left" w:pos="540"/>
          <w:tab w:val="left" w:pos="1080"/>
          <w:tab w:val="left" w:pos="1710"/>
        </w:tabs>
        <w:ind w:left="1620" w:hanging="1080"/>
        <w:jc w:val="both"/>
        <w:rPr>
          <w:rStyle w:val="Hyperlink"/>
          <w:rFonts w:ascii="Calibri" w:hAnsi="Calibri" w:cs="Arial"/>
          <w:b/>
          <w:color w:val="B2A606"/>
        </w:rPr>
      </w:pPr>
      <w:r w:rsidRPr="004A0958">
        <w:rPr>
          <w:rStyle w:val="Hyperlink"/>
          <w:rFonts w:ascii="Calibri" w:hAnsi="Calibri" w:cs="Arial"/>
          <w:color w:val="B2A606"/>
        </w:rPr>
        <w:fldChar w:fldCharType="begin"/>
      </w:r>
      <w:r w:rsidRPr="004A0958">
        <w:rPr>
          <w:rStyle w:val="Hyperlink"/>
          <w:rFonts w:ascii="Calibri" w:hAnsi="Calibri" w:cs="Arial"/>
          <w:color w:val="B2A606"/>
        </w:rPr>
        <w:instrText xml:space="preserve"> HYPERLINK  \l "_Hlk395610500" \s "1,36264,36309,0,,PART B - Follow up reviews of an" </w:instrText>
      </w:r>
      <w:r w:rsidRPr="004A0958">
        <w:rPr>
          <w:rStyle w:val="Hyperlink"/>
          <w:rFonts w:ascii="Calibri" w:hAnsi="Calibri" w:cs="Arial"/>
          <w:color w:val="B2A606"/>
        </w:rPr>
        <w:fldChar w:fldCharType="separate"/>
      </w:r>
      <w:r w:rsidRPr="004A0958">
        <w:rPr>
          <w:rStyle w:val="Hyperlink"/>
          <w:rFonts w:ascii="Calibri" w:hAnsi="Calibri" w:cs="Arial"/>
          <w:b/>
          <w:color w:val="B2A606"/>
        </w:rPr>
        <w:t>PART B - Follow up reviews of Annual Reports</w:t>
      </w:r>
    </w:p>
    <w:p w:rsidR="00D31F42" w:rsidRPr="004A0958" w:rsidRDefault="00D31F42" w:rsidP="000D4624">
      <w:pPr>
        <w:tabs>
          <w:tab w:val="left" w:pos="540"/>
          <w:tab w:val="left" w:pos="1080"/>
          <w:tab w:val="left" w:pos="1710"/>
        </w:tabs>
        <w:ind w:left="1620" w:hanging="1080"/>
        <w:jc w:val="both"/>
        <w:rPr>
          <w:rFonts w:ascii="Calibri" w:hAnsi="Calibri"/>
        </w:rPr>
      </w:pPr>
      <w:r w:rsidRPr="004A0958">
        <w:rPr>
          <w:rStyle w:val="Hyperlink"/>
          <w:rFonts w:ascii="Calibri" w:hAnsi="Calibri" w:cs="Arial"/>
          <w:color w:val="B2A606"/>
        </w:rPr>
        <w:fldChar w:fldCharType="end"/>
      </w:r>
    </w:p>
    <w:p w:rsidR="00D31F42" w:rsidRPr="004A0958" w:rsidRDefault="00D31F42" w:rsidP="000D4624">
      <w:pPr>
        <w:tabs>
          <w:tab w:val="left" w:pos="540"/>
          <w:tab w:val="left" w:pos="1080"/>
          <w:tab w:val="left" w:pos="1710"/>
        </w:tabs>
        <w:ind w:left="1620" w:hanging="1080"/>
        <w:jc w:val="both"/>
        <w:rPr>
          <w:rStyle w:val="Hyperlink"/>
          <w:rFonts w:ascii="Calibri" w:hAnsi="Calibri" w:cs="Arial"/>
          <w:b/>
          <w:color w:val="B2A606"/>
        </w:rPr>
      </w:pPr>
      <w:r w:rsidRPr="004A0958">
        <w:rPr>
          <w:rStyle w:val="Hyperlink"/>
          <w:rFonts w:ascii="Calibri" w:hAnsi="Calibri" w:cs="Arial"/>
          <w:b/>
          <w:color w:val="B2A606"/>
        </w:rPr>
        <w:t>PART C - Grading of Annual Report Reviews</w:t>
      </w:r>
    </w:p>
    <w:p w:rsidR="00D31F42" w:rsidRPr="004A0958" w:rsidRDefault="00D31F42" w:rsidP="00074FC0">
      <w:pPr>
        <w:tabs>
          <w:tab w:val="left" w:pos="561"/>
        </w:tabs>
        <w:ind w:left="540"/>
        <w:jc w:val="both"/>
        <w:rPr>
          <w:rFonts w:ascii="Calibri" w:hAnsi="Calibri" w:cs="Arial"/>
          <w:b/>
          <w:bCs/>
          <w:color w:val="FF0000"/>
        </w:rPr>
      </w:pPr>
    </w:p>
    <w:p w:rsidR="00D31F42" w:rsidRPr="004A0958" w:rsidRDefault="00D31F42" w:rsidP="000D4624">
      <w:pPr>
        <w:tabs>
          <w:tab w:val="left" w:pos="561"/>
          <w:tab w:val="left" w:pos="1080"/>
          <w:tab w:val="left" w:pos="1710"/>
        </w:tabs>
        <w:ind w:left="1620" w:hanging="1080"/>
        <w:jc w:val="both"/>
        <w:rPr>
          <w:rStyle w:val="Hyperlink"/>
          <w:rFonts w:ascii="Calibri" w:hAnsi="Calibri" w:cs="Arial"/>
          <w:b/>
          <w:color w:val="B2A606"/>
        </w:rPr>
      </w:pPr>
      <w:r w:rsidRPr="004A0958">
        <w:rPr>
          <w:rStyle w:val="Hyperlink"/>
          <w:rFonts w:ascii="Calibri" w:hAnsi="Calibri" w:cs="Arial"/>
          <w:color w:val="B2A606"/>
        </w:rPr>
        <w:fldChar w:fldCharType="begin"/>
      </w:r>
      <w:r w:rsidRPr="004A0958">
        <w:rPr>
          <w:rStyle w:val="Hyperlink"/>
          <w:rFonts w:ascii="Calibri" w:hAnsi="Calibri" w:cs="Arial"/>
          <w:color w:val="B2A606"/>
        </w:rPr>
        <w:instrText xml:space="preserve"> HYPERLINK  \l "_Hlk395610793" \s "1,43050,43070,0,,PART D - Conclusion" </w:instrText>
      </w:r>
      <w:r w:rsidRPr="004A0958">
        <w:rPr>
          <w:rStyle w:val="Hyperlink"/>
          <w:rFonts w:ascii="Calibri" w:hAnsi="Calibri" w:cs="Arial"/>
          <w:color w:val="B2A606"/>
        </w:rPr>
        <w:fldChar w:fldCharType="separate"/>
      </w:r>
      <w:r w:rsidRPr="004A0958">
        <w:rPr>
          <w:rStyle w:val="Hyperlink"/>
          <w:rFonts w:ascii="Calibri" w:hAnsi="Calibri" w:cs="Arial"/>
          <w:b/>
          <w:color w:val="B2A606"/>
        </w:rPr>
        <w:t>PART D - Conclusion</w:t>
      </w:r>
    </w:p>
    <w:p w:rsidR="00D31F42" w:rsidRPr="004A0958" w:rsidRDefault="00D31F42" w:rsidP="000D4624">
      <w:pPr>
        <w:tabs>
          <w:tab w:val="left" w:pos="561"/>
          <w:tab w:val="left" w:pos="1080"/>
          <w:tab w:val="left" w:pos="1710"/>
        </w:tabs>
        <w:ind w:left="1620" w:hanging="1080"/>
        <w:jc w:val="both"/>
        <w:rPr>
          <w:rFonts w:ascii="Calibri" w:hAnsi="Calibri" w:cs="Arial"/>
          <w:b/>
          <w:bCs/>
          <w:color w:val="FF0000"/>
          <w:highlight w:val="yellow"/>
        </w:rPr>
      </w:pPr>
      <w:r w:rsidRPr="004A0958">
        <w:rPr>
          <w:rStyle w:val="Hyperlink"/>
          <w:rFonts w:ascii="Calibri" w:hAnsi="Calibri" w:cs="Arial"/>
          <w:color w:val="B2A606"/>
        </w:rPr>
        <w:fldChar w:fldCharType="end"/>
      </w:r>
    </w:p>
    <w:p w:rsidR="00D31F42" w:rsidRPr="004A0958" w:rsidRDefault="00D31F42" w:rsidP="00CB1362">
      <w:pPr>
        <w:ind w:firstLine="540"/>
        <w:rPr>
          <w:rFonts w:ascii="Calibri" w:hAnsi="Calibri" w:cs="Arial"/>
          <w:bCs/>
          <w:color w:val="C9BB07"/>
          <w:sz w:val="28"/>
        </w:rPr>
      </w:pPr>
      <w:r w:rsidRPr="004A0958">
        <w:rPr>
          <w:rFonts w:ascii="Calibri" w:hAnsi="Calibri"/>
          <w:highlight w:val="yellow"/>
        </w:rPr>
        <w:br w:type="page"/>
      </w:r>
      <w:bookmarkStart w:id="1" w:name="_Hlk395610325"/>
      <w:r w:rsidRPr="004A0958">
        <w:rPr>
          <w:rFonts w:ascii="Calibri" w:hAnsi="Calibri" w:cs="Arial"/>
          <w:b/>
          <w:color w:val="C9BB07"/>
          <w:sz w:val="32"/>
          <w:szCs w:val="28"/>
        </w:rPr>
        <w:lastRenderedPageBreak/>
        <w:t>PART A - Full reviews</w:t>
      </w:r>
      <w:bookmarkEnd w:id="1"/>
    </w:p>
    <w:p w:rsidR="00D31F42" w:rsidRPr="004A0958" w:rsidRDefault="00D31F42" w:rsidP="00D63EDF">
      <w:pPr>
        <w:ind w:firstLine="540"/>
        <w:jc w:val="both"/>
        <w:rPr>
          <w:rFonts w:ascii="Calibri" w:hAnsi="Calibri" w:cs="Arial"/>
          <w:b/>
          <w:color w:val="AEA206"/>
        </w:rPr>
      </w:pPr>
      <w:r w:rsidRPr="004A0958">
        <w:rPr>
          <w:rFonts w:ascii="Calibri" w:hAnsi="Calibri" w:cs="Arial"/>
          <w:b/>
          <w:color w:val="AEA206"/>
        </w:rPr>
        <w:t>________________________________________________________________</w:t>
      </w:r>
    </w:p>
    <w:p w:rsidR="00D31F42" w:rsidRPr="004A0958" w:rsidRDefault="00D31F42" w:rsidP="00D63EDF">
      <w:pPr>
        <w:ind w:firstLine="540"/>
        <w:jc w:val="both"/>
        <w:rPr>
          <w:rFonts w:ascii="Calibri" w:hAnsi="Calibri" w:cs="Arial"/>
          <w:b/>
          <w:color w:val="0000FF"/>
        </w:rPr>
      </w:pPr>
    </w:p>
    <w:p w:rsidR="00D31F42" w:rsidRPr="004A0958" w:rsidRDefault="00D31F42" w:rsidP="00F27752">
      <w:pPr>
        <w:tabs>
          <w:tab w:val="left" w:pos="720"/>
          <w:tab w:val="left" w:pos="1080"/>
        </w:tabs>
        <w:ind w:firstLine="540"/>
        <w:jc w:val="both"/>
        <w:rPr>
          <w:rFonts w:ascii="Calibri" w:hAnsi="Calibri" w:cs="Arial"/>
          <w:b/>
          <w:color w:val="0000FF"/>
          <w:sz w:val="28"/>
          <w:szCs w:val="28"/>
        </w:rPr>
      </w:pPr>
      <w:r w:rsidRPr="004A0958">
        <w:rPr>
          <w:rFonts w:ascii="Calibri" w:hAnsi="Calibri" w:cs="Arial"/>
          <w:b/>
          <w:color w:val="0000FF"/>
          <w:sz w:val="28"/>
          <w:szCs w:val="28"/>
        </w:rPr>
        <w:t>1.</w:t>
      </w:r>
      <w:r w:rsidRPr="004A0958">
        <w:rPr>
          <w:rFonts w:ascii="Calibri" w:hAnsi="Calibri" w:cs="Arial"/>
          <w:b/>
          <w:color w:val="0000FF"/>
          <w:sz w:val="28"/>
          <w:szCs w:val="28"/>
        </w:rPr>
        <w:tab/>
        <w:t>Main findings from Group Reviews</w:t>
      </w:r>
    </w:p>
    <w:p w:rsidR="00D31F42" w:rsidRPr="004A0958" w:rsidRDefault="00D31F42" w:rsidP="00BC15F9">
      <w:pPr>
        <w:jc w:val="both"/>
        <w:rPr>
          <w:rFonts w:ascii="Calibri" w:hAnsi="Calibri" w:cs="Arial"/>
          <w:b/>
        </w:rPr>
      </w:pPr>
    </w:p>
    <w:p w:rsidR="00D31F42" w:rsidRPr="001208AA" w:rsidRDefault="00D31F42" w:rsidP="00F7611C">
      <w:pPr>
        <w:tabs>
          <w:tab w:val="left" w:pos="1080"/>
        </w:tabs>
        <w:ind w:left="1080"/>
        <w:jc w:val="both"/>
        <w:rPr>
          <w:rFonts w:ascii="Calibri" w:hAnsi="Calibri" w:cs="Arial"/>
        </w:rPr>
      </w:pPr>
      <w:r w:rsidRPr="004A0958">
        <w:rPr>
          <w:rFonts w:ascii="Calibri" w:hAnsi="Calibri" w:cs="Arial"/>
        </w:rPr>
        <w:t xml:space="preserve">FRC carried out the review of a group with 14 PIEs. The holding company of the </w:t>
      </w:r>
      <w:r>
        <w:rPr>
          <w:rFonts w:ascii="Calibri" w:hAnsi="Calibri" w:cs="Arial"/>
        </w:rPr>
        <w:t xml:space="preserve">group of </w:t>
      </w:r>
      <w:r w:rsidRPr="004A0958">
        <w:rPr>
          <w:rFonts w:ascii="Calibri" w:hAnsi="Calibri" w:cs="Arial"/>
        </w:rPr>
        <w:t xml:space="preserve">companies, is listed on the Stock Exchange of Mauritius and its main activity is to provide long term growth and dividend income for distribution to investors. It has invested in a diversified portfolio of equity and equity related investments and has the following five distinct </w:t>
      </w:r>
      <w:r w:rsidRPr="001208AA">
        <w:rPr>
          <w:rFonts w:ascii="Calibri" w:hAnsi="Calibri" w:cs="Arial"/>
        </w:rPr>
        <w:t>clusters:</w:t>
      </w:r>
    </w:p>
    <w:p w:rsidR="00D31F42" w:rsidRPr="001208AA" w:rsidRDefault="00D31F42" w:rsidP="00F7611C">
      <w:pPr>
        <w:ind w:left="810" w:right="-514"/>
        <w:jc w:val="both"/>
        <w:rPr>
          <w:rFonts w:ascii="Calibri" w:hAnsi="Calibri"/>
        </w:rPr>
      </w:pPr>
    </w:p>
    <w:p w:rsidR="00D31F42" w:rsidRPr="001208AA" w:rsidRDefault="00D31F42" w:rsidP="00F7611C">
      <w:pPr>
        <w:numPr>
          <w:ilvl w:val="0"/>
          <w:numId w:val="42"/>
        </w:numPr>
        <w:ind w:right="-514"/>
        <w:jc w:val="both"/>
        <w:rPr>
          <w:rFonts w:ascii="Calibri" w:hAnsi="Calibri"/>
        </w:rPr>
      </w:pPr>
      <w:r w:rsidRPr="001208AA">
        <w:rPr>
          <w:rFonts w:ascii="Calibri" w:hAnsi="Calibri"/>
        </w:rPr>
        <w:t>Agro &amp; Property</w:t>
      </w:r>
    </w:p>
    <w:p w:rsidR="00D31F42" w:rsidRPr="001208AA" w:rsidRDefault="00D31F42" w:rsidP="00F7611C">
      <w:pPr>
        <w:numPr>
          <w:ilvl w:val="0"/>
          <w:numId w:val="42"/>
        </w:numPr>
        <w:ind w:right="-514"/>
        <w:jc w:val="both"/>
        <w:rPr>
          <w:rFonts w:ascii="Calibri" w:hAnsi="Calibri"/>
        </w:rPr>
      </w:pPr>
      <w:r w:rsidRPr="001208AA">
        <w:rPr>
          <w:rFonts w:ascii="Calibri" w:hAnsi="Calibri"/>
        </w:rPr>
        <w:t>Finance</w:t>
      </w:r>
    </w:p>
    <w:p w:rsidR="00D31F42" w:rsidRPr="001208AA" w:rsidRDefault="00D31F42" w:rsidP="00F7611C">
      <w:pPr>
        <w:numPr>
          <w:ilvl w:val="0"/>
          <w:numId w:val="42"/>
        </w:numPr>
        <w:ind w:right="-514"/>
        <w:jc w:val="both"/>
        <w:rPr>
          <w:rFonts w:ascii="Calibri" w:hAnsi="Calibri"/>
        </w:rPr>
      </w:pPr>
      <w:r w:rsidRPr="001208AA">
        <w:rPr>
          <w:rFonts w:ascii="Calibri" w:hAnsi="Calibri"/>
        </w:rPr>
        <w:t>Hotels &amp; Resorts</w:t>
      </w:r>
    </w:p>
    <w:p w:rsidR="00D31F42" w:rsidRPr="001208AA" w:rsidRDefault="00D31F42" w:rsidP="00F7611C">
      <w:pPr>
        <w:numPr>
          <w:ilvl w:val="0"/>
          <w:numId w:val="42"/>
        </w:numPr>
        <w:ind w:right="-514"/>
        <w:jc w:val="both"/>
        <w:rPr>
          <w:rFonts w:ascii="Calibri" w:hAnsi="Calibri"/>
        </w:rPr>
      </w:pPr>
      <w:r w:rsidRPr="001208AA">
        <w:rPr>
          <w:rFonts w:ascii="Calibri" w:hAnsi="Calibri"/>
        </w:rPr>
        <w:t>Textile</w:t>
      </w:r>
    </w:p>
    <w:p w:rsidR="00D31F42" w:rsidRPr="001208AA" w:rsidRDefault="00D31F42" w:rsidP="00F7611C">
      <w:pPr>
        <w:numPr>
          <w:ilvl w:val="0"/>
          <w:numId w:val="42"/>
        </w:numPr>
        <w:ind w:right="-514"/>
        <w:jc w:val="both"/>
        <w:rPr>
          <w:rFonts w:ascii="Calibri" w:hAnsi="Calibri"/>
        </w:rPr>
      </w:pPr>
      <w:r w:rsidRPr="001208AA">
        <w:rPr>
          <w:rFonts w:ascii="Calibri" w:hAnsi="Calibri"/>
        </w:rPr>
        <w:t>Healthcare</w:t>
      </w:r>
    </w:p>
    <w:p w:rsidR="00D31F42" w:rsidRPr="004A0958" w:rsidRDefault="00D31F42" w:rsidP="00CB1362">
      <w:pPr>
        <w:ind w:left="1080"/>
        <w:jc w:val="both"/>
        <w:rPr>
          <w:rFonts w:ascii="Calibri" w:hAnsi="Calibri" w:cs="Arial"/>
        </w:rPr>
      </w:pPr>
    </w:p>
    <w:p w:rsidR="00D31F42" w:rsidRPr="004A0958" w:rsidRDefault="00D31F42" w:rsidP="00CB1362">
      <w:pPr>
        <w:ind w:left="1080"/>
        <w:jc w:val="both"/>
        <w:rPr>
          <w:rFonts w:ascii="Calibri" w:hAnsi="Calibri" w:cs="Arial"/>
        </w:rPr>
      </w:pPr>
      <w:r>
        <w:rPr>
          <w:rFonts w:ascii="Calibri" w:hAnsi="Calibri" w:cs="Arial"/>
        </w:rPr>
        <w:t xml:space="preserve">The </w:t>
      </w:r>
      <w:r w:rsidRPr="004A0958">
        <w:rPr>
          <w:rFonts w:ascii="Calibri" w:hAnsi="Calibri" w:cs="Arial"/>
        </w:rPr>
        <w:t>PIEs</w:t>
      </w:r>
      <w:r>
        <w:rPr>
          <w:rFonts w:ascii="Calibri" w:hAnsi="Calibri" w:cs="Arial"/>
        </w:rPr>
        <w:t xml:space="preserve"> within the group</w:t>
      </w:r>
      <w:r w:rsidRPr="004A0958">
        <w:rPr>
          <w:rFonts w:ascii="Calibri" w:hAnsi="Calibri" w:cs="Arial"/>
        </w:rPr>
        <w:t xml:space="preserve"> were from the </w:t>
      </w:r>
      <w:r>
        <w:rPr>
          <w:rFonts w:ascii="Calibri" w:hAnsi="Calibri" w:cs="Arial"/>
        </w:rPr>
        <w:t>diverse</w:t>
      </w:r>
      <w:r w:rsidRPr="004A0958">
        <w:rPr>
          <w:rFonts w:ascii="Calibri" w:hAnsi="Calibri" w:cs="Arial"/>
        </w:rPr>
        <w:t xml:space="preserve"> categories</w:t>
      </w:r>
      <w:r>
        <w:rPr>
          <w:rFonts w:ascii="Calibri" w:hAnsi="Calibri" w:cs="Arial"/>
        </w:rPr>
        <w:t xml:space="preserve"> as illustrated in the table below</w:t>
      </w:r>
      <w:r w:rsidRPr="004A0958">
        <w:rPr>
          <w:rFonts w:ascii="Calibri" w:hAnsi="Calibri" w:cs="Arial"/>
        </w:rPr>
        <w:t>:</w:t>
      </w:r>
    </w:p>
    <w:p w:rsidR="00D31F42" w:rsidRPr="004A0958" w:rsidRDefault="00D31F42" w:rsidP="00E552BA">
      <w:pPr>
        <w:jc w:val="both"/>
        <w:rPr>
          <w:rFonts w:ascii="Calibri" w:hAnsi="Calibri" w:cs="Arial"/>
        </w:rPr>
      </w:pPr>
    </w:p>
    <w:tbl>
      <w:tblPr>
        <w:tblpPr w:leftFromText="180" w:rightFromText="180" w:vertAnchor="text" w:tblpX="1206" w:tblpY="1"/>
        <w:tblOverlap w:val="never"/>
        <w:tblW w:w="7128" w:type="dxa"/>
        <w:tblLayout w:type="fixed"/>
        <w:tblLook w:val="00A0" w:firstRow="1" w:lastRow="0" w:firstColumn="1" w:lastColumn="0" w:noHBand="0" w:noVBand="0"/>
      </w:tblPr>
      <w:tblGrid>
        <w:gridCol w:w="1350"/>
        <w:gridCol w:w="630"/>
        <w:gridCol w:w="990"/>
        <w:gridCol w:w="1098"/>
        <w:gridCol w:w="1080"/>
        <w:gridCol w:w="810"/>
        <w:gridCol w:w="1170"/>
      </w:tblGrid>
      <w:tr w:rsidR="00D31F42" w:rsidRPr="004A0958" w:rsidTr="005E020C">
        <w:trPr>
          <w:trHeight w:val="270"/>
        </w:trPr>
        <w:tc>
          <w:tcPr>
            <w:tcW w:w="1350" w:type="dxa"/>
            <w:vMerge w:val="restart"/>
            <w:tcBorders>
              <w:top w:val="single" w:sz="8" w:space="0" w:color="auto"/>
              <w:left w:val="single" w:sz="8" w:space="0" w:color="auto"/>
              <w:bottom w:val="single" w:sz="8" w:space="0" w:color="000000"/>
              <w:right w:val="single" w:sz="8" w:space="0" w:color="000000"/>
            </w:tcBorders>
            <w:shd w:val="clear" w:color="auto" w:fill="EAF1DD"/>
            <w:vAlign w:val="bottom"/>
          </w:tcPr>
          <w:p w:rsidR="00D31F42" w:rsidRPr="004A0958" w:rsidRDefault="00D31F42" w:rsidP="00CB1362">
            <w:pPr>
              <w:jc w:val="center"/>
              <w:rPr>
                <w:rFonts w:ascii="Calibri" w:hAnsi="Calibri" w:cs="Arial"/>
                <w:b/>
                <w:bCs/>
                <w:sz w:val="16"/>
                <w:szCs w:val="16"/>
              </w:rPr>
            </w:pPr>
            <w:r w:rsidRPr="004A0958">
              <w:rPr>
                <w:rFonts w:ascii="Calibri" w:hAnsi="Calibri" w:cs="Arial"/>
                <w:b/>
                <w:bCs/>
                <w:sz w:val="16"/>
                <w:szCs w:val="16"/>
              </w:rPr>
              <w:t>Types of PIEs</w:t>
            </w:r>
          </w:p>
        </w:tc>
        <w:tc>
          <w:tcPr>
            <w:tcW w:w="5778" w:type="dxa"/>
            <w:gridSpan w:val="6"/>
            <w:tcBorders>
              <w:top w:val="single" w:sz="8" w:space="0" w:color="auto"/>
              <w:left w:val="single" w:sz="8" w:space="0" w:color="auto"/>
              <w:bottom w:val="single" w:sz="8" w:space="0" w:color="000000"/>
              <w:right w:val="single" w:sz="8" w:space="0" w:color="000000"/>
            </w:tcBorders>
            <w:shd w:val="clear" w:color="auto" w:fill="EAF1DD"/>
          </w:tcPr>
          <w:p w:rsidR="00D31F42" w:rsidRPr="004A0958" w:rsidRDefault="00D31F42" w:rsidP="00CB1362">
            <w:pPr>
              <w:jc w:val="center"/>
              <w:rPr>
                <w:rFonts w:ascii="Calibri" w:hAnsi="Calibri" w:cs="Arial"/>
                <w:b/>
                <w:bCs/>
                <w:sz w:val="19"/>
                <w:szCs w:val="19"/>
              </w:rPr>
            </w:pPr>
            <w:r w:rsidRPr="004A0958">
              <w:rPr>
                <w:rFonts w:ascii="Calibri" w:hAnsi="Calibri" w:cs="Arial"/>
                <w:b/>
                <w:bCs/>
                <w:sz w:val="19"/>
                <w:szCs w:val="19"/>
              </w:rPr>
              <w:t>Sectors</w:t>
            </w:r>
          </w:p>
        </w:tc>
      </w:tr>
      <w:tr w:rsidR="00D31F42" w:rsidRPr="004A0958" w:rsidTr="005E020C">
        <w:trPr>
          <w:trHeight w:val="735"/>
        </w:trPr>
        <w:tc>
          <w:tcPr>
            <w:tcW w:w="1350" w:type="dxa"/>
            <w:vMerge/>
            <w:tcBorders>
              <w:top w:val="single" w:sz="8" w:space="0" w:color="auto"/>
              <w:left w:val="single" w:sz="8" w:space="0" w:color="auto"/>
              <w:bottom w:val="single" w:sz="8" w:space="0" w:color="000000"/>
              <w:right w:val="single" w:sz="8" w:space="0" w:color="000000"/>
            </w:tcBorders>
            <w:shd w:val="clear" w:color="auto" w:fill="EAF1DD"/>
            <w:vAlign w:val="center"/>
          </w:tcPr>
          <w:p w:rsidR="00D31F42" w:rsidRPr="004A0958" w:rsidRDefault="00D31F42" w:rsidP="00CB1362">
            <w:pPr>
              <w:jc w:val="center"/>
              <w:rPr>
                <w:rFonts w:ascii="Calibri" w:hAnsi="Calibri" w:cs="Arial"/>
                <w:b/>
                <w:bCs/>
                <w:sz w:val="16"/>
                <w:szCs w:val="16"/>
              </w:rPr>
            </w:pPr>
          </w:p>
        </w:tc>
        <w:tc>
          <w:tcPr>
            <w:tcW w:w="630" w:type="dxa"/>
            <w:tcBorders>
              <w:top w:val="nil"/>
              <w:left w:val="nil"/>
              <w:bottom w:val="single" w:sz="8" w:space="0" w:color="auto"/>
              <w:right w:val="single" w:sz="8" w:space="0" w:color="auto"/>
            </w:tcBorders>
            <w:shd w:val="clear" w:color="auto" w:fill="EAF1DD"/>
            <w:vAlign w:val="bottom"/>
          </w:tcPr>
          <w:p w:rsidR="00D31F42" w:rsidRPr="004A0958" w:rsidRDefault="00D31F42" w:rsidP="00CB1362">
            <w:pPr>
              <w:jc w:val="center"/>
              <w:rPr>
                <w:rFonts w:ascii="Calibri" w:hAnsi="Calibri" w:cs="Arial"/>
                <w:b/>
                <w:bCs/>
                <w:sz w:val="16"/>
                <w:szCs w:val="16"/>
              </w:rPr>
            </w:pPr>
            <w:r w:rsidRPr="004A0958">
              <w:rPr>
                <w:rFonts w:ascii="Calibri" w:hAnsi="Calibri" w:cs="Arial"/>
                <w:b/>
                <w:bCs/>
                <w:sz w:val="16"/>
                <w:szCs w:val="16"/>
              </w:rPr>
              <w:t>BIF</w:t>
            </w:r>
          </w:p>
        </w:tc>
        <w:tc>
          <w:tcPr>
            <w:tcW w:w="990" w:type="dxa"/>
            <w:tcBorders>
              <w:top w:val="nil"/>
              <w:left w:val="nil"/>
              <w:bottom w:val="single" w:sz="8" w:space="0" w:color="auto"/>
              <w:right w:val="single" w:sz="8" w:space="0" w:color="auto"/>
            </w:tcBorders>
            <w:shd w:val="clear" w:color="auto" w:fill="EAF1DD"/>
            <w:vAlign w:val="bottom"/>
          </w:tcPr>
          <w:p w:rsidR="00D31F42" w:rsidRPr="004A0958" w:rsidRDefault="00D31F42" w:rsidP="00CB1362">
            <w:pPr>
              <w:jc w:val="center"/>
              <w:rPr>
                <w:rFonts w:ascii="Calibri" w:hAnsi="Calibri" w:cs="Arial"/>
                <w:b/>
                <w:bCs/>
                <w:sz w:val="16"/>
                <w:szCs w:val="16"/>
              </w:rPr>
            </w:pPr>
            <w:r w:rsidRPr="004A0958">
              <w:rPr>
                <w:rFonts w:ascii="Calibri" w:hAnsi="Calibri" w:cs="Arial"/>
                <w:b/>
                <w:bCs/>
                <w:sz w:val="16"/>
                <w:szCs w:val="16"/>
              </w:rPr>
              <w:t>Industry</w:t>
            </w:r>
          </w:p>
        </w:tc>
        <w:tc>
          <w:tcPr>
            <w:tcW w:w="1098" w:type="dxa"/>
            <w:tcBorders>
              <w:top w:val="nil"/>
              <w:left w:val="nil"/>
              <w:bottom w:val="single" w:sz="8" w:space="0" w:color="auto"/>
              <w:right w:val="single" w:sz="8" w:space="0" w:color="auto"/>
            </w:tcBorders>
            <w:shd w:val="clear" w:color="auto" w:fill="EAF1DD"/>
            <w:vAlign w:val="bottom"/>
          </w:tcPr>
          <w:p w:rsidR="00D31F42" w:rsidRPr="004A0958" w:rsidRDefault="00D31F42" w:rsidP="00CB1362">
            <w:pPr>
              <w:jc w:val="center"/>
              <w:rPr>
                <w:rFonts w:ascii="Calibri" w:hAnsi="Calibri" w:cs="Arial"/>
                <w:b/>
                <w:bCs/>
                <w:sz w:val="16"/>
                <w:szCs w:val="16"/>
              </w:rPr>
            </w:pPr>
            <w:r w:rsidRPr="004A0958">
              <w:rPr>
                <w:rFonts w:ascii="Calibri" w:hAnsi="Calibri" w:cs="Arial"/>
                <w:b/>
                <w:bCs/>
                <w:sz w:val="16"/>
                <w:szCs w:val="16"/>
              </w:rPr>
              <w:t>Investment</w:t>
            </w:r>
          </w:p>
        </w:tc>
        <w:tc>
          <w:tcPr>
            <w:tcW w:w="1080" w:type="dxa"/>
            <w:tcBorders>
              <w:top w:val="nil"/>
              <w:left w:val="nil"/>
              <w:bottom w:val="single" w:sz="8" w:space="0" w:color="auto"/>
              <w:right w:val="single" w:sz="8" w:space="0" w:color="auto"/>
            </w:tcBorders>
            <w:shd w:val="clear" w:color="auto" w:fill="EAF1DD"/>
            <w:vAlign w:val="bottom"/>
          </w:tcPr>
          <w:p w:rsidR="00D31F42" w:rsidRPr="004A0958" w:rsidRDefault="00D31F42" w:rsidP="00CB1362">
            <w:pPr>
              <w:jc w:val="center"/>
              <w:rPr>
                <w:rFonts w:ascii="Calibri" w:hAnsi="Calibri" w:cs="Arial"/>
                <w:b/>
                <w:bCs/>
                <w:sz w:val="16"/>
                <w:szCs w:val="16"/>
              </w:rPr>
            </w:pPr>
            <w:r w:rsidRPr="004A0958">
              <w:rPr>
                <w:rFonts w:ascii="Calibri" w:hAnsi="Calibri" w:cs="Arial"/>
                <w:b/>
                <w:bCs/>
                <w:sz w:val="16"/>
                <w:szCs w:val="16"/>
              </w:rPr>
              <w:t>Leisure &amp; Hotels</w:t>
            </w:r>
          </w:p>
        </w:tc>
        <w:tc>
          <w:tcPr>
            <w:tcW w:w="810" w:type="dxa"/>
            <w:tcBorders>
              <w:top w:val="nil"/>
              <w:left w:val="nil"/>
              <w:bottom w:val="single" w:sz="8" w:space="0" w:color="auto"/>
              <w:right w:val="single" w:sz="4" w:space="0" w:color="auto"/>
            </w:tcBorders>
            <w:shd w:val="clear" w:color="auto" w:fill="EAF1DD"/>
            <w:vAlign w:val="bottom"/>
          </w:tcPr>
          <w:p w:rsidR="00D31F42" w:rsidRPr="004A0958" w:rsidRDefault="00D31F42" w:rsidP="00CB1362">
            <w:pPr>
              <w:jc w:val="center"/>
              <w:rPr>
                <w:rFonts w:ascii="Calibri" w:hAnsi="Calibri" w:cs="Arial"/>
                <w:b/>
                <w:bCs/>
                <w:sz w:val="16"/>
                <w:szCs w:val="16"/>
              </w:rPr>
            </w:pPr>
            <w:r w:rsidRPr="004A0958">
              <w:rPr>
                <w:rFonts w:ascii="Calibri" w:hAnsi="Calibri" w:cs="Arial"/>
                <w:b/>
                <w:bCs/>
                <w:sz w:val="16"/>
                <w:szCs w:val="16"/>
              </w:rPr>
              <w:t>Others</w:t>
            </w:r>
          </w:p>
        </w:tc>
        <w:tc>
          <w:tcPr>
            <w:tcW w:w="1170" w:type="dxa"/>
            <w:tcBorders>
              <w:top w:val="nil"/>
              <w:left w:val="single" w:sz="4" w:space="0" w:color="auto"/>
              <w:bottom w:val="single" w:sz="8" w:space="0" w:color="auto"/>
              <w:right w:val="single" w:sz="8" w:space="0" w:color="auto"/>
            </w:tcBorders>
            <w:shd w:val="clear" w:color="auto" w:fill="EAF1DD"/>
            <w:vAlign w:val="bottom"/>
          </w:tcPr>
          <w:p w:rsidR="00D31F42" w:rsidRPr="004A0958" w:rsidRDefault="00D31F42" w:rsidP="00CB1362">
            <w:pPr>
              <w:jc w:val="center"/>
              <w:rPr>
                <w:rFonts w:ascii="Calibri" w:hAnsi="Calibri" w:cs="Arial"/>
                <w:b/>
                <w:bCs/>
                <w:sz w:val="16"/>
                <w:szCs w:val="16"/>
              </w:rPr>
            </w:pPr>
            <w:r w:rsidRPr="004A0958">
              <w:rPr>
                <w:rFonts w:ascii="Calibri" w:hAnsi="Calibri" w:cs="Arial"/>
                <w:b/>
                <w:bCs/>
                <w:sz w:val="16"/>
                <w:szCs w:val="16"/>
              </w:rPr>
              <w:t>Total</w:t>
            </w:r>
          </w:p>
        </w:tc>
      </w:tr>
      <w:tr w:rsidR="00D31F42" w:rsidRPr="004A0958" w:rsidTr="00723CEE">
        <w:trPr>
          <w:trHeight w:val="270"/>
        </w:trPr>
        <w:tc>
          <w:tcPr>
            <w:tcW w:w="1350" w:type="dxa"/>
            <w:tcBorders>
              <w:top w:val="nil"/>
              <w:left w:val="single" w:sz="8" w:space="0" w:color="auto"/>
              <w:bottom w:val="single" w:sz="8" w:space="0" w:color="auto"/>
              <w:right w:val="single" w:sz="8" w:space="0" w:color="auto"/>
            </w:tcBorders>
          </w:tcPr>
          <w:p w:rsidR="00D31F42" w:rsidRPr="004A0958" w:rsidRDefault="00D31F42" w:rsidP="00CB1362">
            <w:pPr>
              <w:rPr>
                <w:rFonts w:ascii="Calibri" w:hAnsi="Calibri" w:cs="Arial"/>
                <w:sz w:val="16"/>
                <w:szCs w:val="16"/>
                <w:highlight w:val="yellow"/>
              </w:rPr>
            </w:pPr>
            <w:r w:rsidRPr="004A0958">
              <w:rPr>
                <w:rFonts w:ascii="Calibri" w:hAnsi="Calibri" w:cs="Arial"/>
                <w:sz w:val="16"/>
                <w:szCs w:val="16"/>
              </w:rPr>
              <w:t>Listed on SEM</w:t>
            </w:r>
          </w:p>
        </w:tc>
        <w:tc>
          <w:tcPr>
            <w:tcW w:w="630" w:type="dxa"/>
            <w:tcBorders>
              <w:top w:val="nil"/>
              <w:left w:val="nil"/>
              <w:bottom w:val="single" w:sz="8" w:space="0" w:color="auto"/>
              <w:right w:val="single" w:sz="8" w:space="0" w:color="auto"/>
            </w:tcBorders>
            <w:noWrap/>
            <w:vAlign w:val="bottom"/>
          </w:tcPr>
          <w:p w:rsidR="00D31F42" w:rsidRPr="004A0958" w:rsidRDefault="00D31F42" w:rsidP="00CB1362">
            <w:pPr>
              <w:jc w:val="center"/>
              <w:rPr>
                <w:rFonts w:ascii="Calibri" w:hAnsi="Calibri" w:cs="Arial"/>
                <w:sz w:val="19"/>
                <w:szCs w:val="19"/>
                <w:highlight w:val="yellow"/>
              </w:rPr>
            </w:pPr>
            <w:r w:rsidRPr="004A0958">
              <w:rPr>
                <w:rFonts w:ascii="Calibri" w:hAnsi="Calibri" w:cs="Arial"/>
                <w:sz w:val="19"/>
                <w:szCs w:val="19"/>
              </w:rPr>
              <w:t>-</w:t>
            </w:r>
          </w:p>
        </w:tc>
        <w:tc>
          <w:tcPr>
            <w:tcW w:w="990" w:type="dxa"/>
            <w:tcBorders>
              <w:top w:val="nil"/>
              <w:left w:val="nil"/>
              <w:bottom w:val="single" w:sz="8" w:space="0" w:color="auto"/>
              <w:right w:val="single" w:sz="8" w:space="0" w:color="auto"/>
            </w:tcBorders>
            <w:noWrap/>
            <w:vAlign w:val="bottom"/>
          </w:tcPr>
          <w:p w:rsidR="00D31F42" w:rsidRPr="004A0958" w:rsidRDefault="00D31F42" w:rsidP="00CB1362">
            <w:pPr>
              <w:jc w:val="center"/>
              <w:rPr>
                <w:rFonts w:ascii="Calibri" w:hAnsi="Calibri" w:cs="Arial"/>
                <w:sz w:val="19"/>
                <w:szCs w:val="19"/>
                <w:highlight w:val="yellow"/>
              </w:rPr>
            </w:pPr>
            <w:r w:rsidRPr="004A0958">
              <w:rPr>
                <w:rFonts w:ascii="Calibri" w:hAnsi="Calibri" w:cs="Arial"/>
                <w:sz w:val="19"/>
                <w:szCs w:val="19"/>
              </w:rPr>
              <w:t>-</w:t>
            </w:r>
          </w:p>
        </w:tc>
        <w:tc>
          <w:tcPr>
            <w:tcW w:w="1098" w:type="dxa"/>
            <w:tcBorders>
              <w:top w:val="nil"/>
              <w:left w:val="nil"/>
              <w:bottom w:val="single" w:sz="8" w:space="0" w:color="auto"/>
              <w:right w:val="single" w:sz="8" w:space="0" w:color="auto"/>
            </w:tcBorders>
            <w:noWrap/>
            <w:vAlign w:val="bottom"/>
          </w:tcPr>
          <w:p w:rsidR="00D31F42" w:rsidRPr="004A0958" w:rsidRDefault="00D31F42" w:rsidP="00CB1362">
            <w:pPr>
              <w:jc w:val="center"/>
              <w:rPr>
                <w:rFonts w:ascii="Calibri" w:hAnsi="Calibri" w:cs="Arial"/>
                <w:sz w:val="19"/>
                <w:szCs w:val="19"/>
                <w:highlight w:val="yellow"/>
              </w:rPr>
            </w:pPr>
            <w:r w:rsidRPr="004A0958">
              <w:rPr>
                <w:rFonts w:ascii="Calibri" w:hAnsi="Calibri" w:cs="Arial"/>
                <w:sz w:val="19"/>
                <w:szCs w:val="19"/>
              </w:rPr>
              <w:t>2</w:t>
            </w:r>
          </w:p>
        </w:tc>
        <w:tc>
          <w:tcPr>
            <w:tcW w:w="1080" w:type="dxa"/>
            <w:tcBorders>
              <w:top w:val="nil"/>
              <w:left w:val="nil"/>
              <w:bottom w:val="single" w:sz="8" w:space="0" w:color="auto"/>
              <w:right w:val="single" w:sz="8" w:space="0" w:color="auto"/>
            </w:tcBorders>
            <w:noWrap/>
            <w:vAlign w:val="bottom"/>
          </w:tcPr>
          <w:p w:rsidR="00D31F42" w:rsidRPr="004A0958" w:rsidRDefault="00D31F42" w:rsidP="00CB1362">
            <w:pPr>
              <w:jc w:val="center"/>
              <w:rPr>
                <w:rFonts w:ascii="Calibri" w:hAnsi="Calibri" w:cs="Arial"/>
                <w:sz w:val="19"/>
                <w:szCs w:val="19"/>
                <w:highlight w:val="yellow"/>
              </w:rPr>
            </w:pPr>
            <w:r w:rsidRPr="004A0958">
              <w:rPr>
                <w:rFonts w:ascii="Calibri" w:hAnsi="Calibri" w:cs="Arial"/>
                <w:sz w:val="19"/>
                <w:szCs w:val="19"/>
              </w:rPr>
              <w:t>1</w:t>
            </w:r>
          </w:p>
        </w:tc>
        <w:tc>
          <w:tcPr>
            <w:tcW w:w="810" w:type="dxa"/>
            <w:tcBorders>
              <w:top w:val="nil"/>
              <w:left w:val="nil"/>
              <w:bottom w:val="single" w:sz="8" w:space="0" w:color="auto"/>
              <w:right w:val="single" w:sz="4" w:space="0" w:color="auto"/>
            </w:tcBorders>
            <w:noWrap/>
            <w:vAlign w:val="bottom"/>
          </w:tcPr>
          <w:p w:rsidR="00D31F42" w:rsidRPr="004A0958" w:rsidRDefault="00D31F42" w:rsidP="00CB1362">
            <w:pPr>
              <w:jc w:val="center"/>
              <w:rPr>
                <w:rFonts w:ascii="Calibri" w:hAnsi="Calibri" w:cs="Arial"/>
                <w:sz w:val="19"/>
                <w:szCs w:val="19"/>
                <w:highlight w:val="yellow"/>
              </w:rPr>
            </w:pPr>
            <w:r w:rsidRPr="004A0958">
              <w:rPr>
                <w:rFonts w:ascii="Calibri" w:hAnsi="Calibri" w:cs="Arial"/>
                <w:sz w:val="19"/>
                <w:szCs w:val="19"/>
              </w:rPr>
              <w:t>2</w:t>
            </w:r>
          </w:p>
        </w:tc>
        <w:tc>
          <w:tcPr>
            <w:tcW w:w="1170" w:type="dxa"/>
            <w:tcBorders>
              <w:top w:val="nil"/>
              <w:left w:val="single" w:sz="4" w:space="0" w:color="auto"/>
              <w:bottom w:val="single" w:sz="8" w:space="0" w:color="auto"/>
              <w:right w:val="single" w:sz="8" w:space="0" w:color="auto"/>
            </w:tcBorders>
            <w:noWrap/>
            <w:vAlign w:val="bottom"/>
          </w:tcPr>
          <w:p w:rsidR="00D31F42" w:rsidRPr="004A0958" w:rsidRDefault="00D31F42" w:rsidP="00CB1362">
            <w:pPr>
              <w:jc w:val="center"/>
              <w:rPr>
                <w:rFonts w:ascii="Calibri" w:hAnsi="Calibri" w:cs="Arial"/>
                <w:sz w:val="19"/>
                <w:szCs w:val="19"/>
                <w:highlight w:val="yellow"/>
              </w:rPr>
            </w:pPr>
            <w:r w:rsidRPr="004A0958">
              <w:rPr>
                <w:rFonts w:ascii="Calibri" w:hAnsi="Calibri" w:cs="Arial"/>
                <w:sz w:val="19"/>
                <w:szCs w:val="19"/>
              </w:rPr>
              <w:t>5</w:t>
            </w:r>
          </w:p>
        </w:tc>
      </w:tr>
      <w:tr w:rsidR="00D31F42" w:rsidRPr="004A0958" w:rsidTr="00723CEE">
        <w:trPr>
          <w:trHeight w:val="622"/>
        </w:trPr>
        <w:tc>
          <w:tcPr>
            <w:tcW w:w="1350" w:type="dxa"/>
            <w:tcBorders>
              <w:top w:val="nil"/>
              <w:left w:val="single" w:sz="8" w:space="0" w:color="auto"/>
              <w:bottom w:val="single" w:sz="4" w:space="0" w:color="auto"/>
              <w:right w:val="single" w:sz="8" w:space="0" w:color="auto"/>
            </w:tcBorders>
          </w:tcPr>
          <w:p w:rsidR="00D31F42" w:rsidRPr="004A0958" w:rsidRDefault="00D31F42" w:rsidP="00CB1362">
            <w:pPr>
              <w:rPr>
                <w:rFonts w:ascii="Calibri" w:hAnsi="Calibri" w:cs="Arial"/>
                <w:sz w:val="16"/>
                <w:szCs w:val="16"/>
              </w:rPr>
            </w:pPr>
            <w:r w:rsidRPr="004A0958">
              <w:rPr>
                <w:rFonts w:ascii="Calibri" w:hAnsi="Calibri" w:cs="Arial"/>
                <w:sz w:val="16"/>
                <w:szCs w:val="16"/>
              </w:rPr>
              <w:t>Financial institutions regulated by FSC</w:t>
            </w:r>
          </w:p>
        </w:tc>
        <w:tc>
          <w:tcPr>
            <w:tcW w:w="630" w:type="dxa"/>
            <w:tcBorders>
              <w:top w:val="nil"/>
              <w:left w:val="nil"/>
              <w:bottom w:val="single" w:sz="4" w:space="0" w:color="auto"/>
              <w:right w:val="single" w:sz="8" w:space="0" w:color="auto"/>
            </w:tcBorders>
            <w:noWrap/>
            <w:vAlign w:val="bottom"/>
          </w:tcPr>
          <w:p w:rsidR="00D31F42" w:rsidRPr="004A0958" w:rsidRDefault="00D31F42" w:rsidP="00CB1362">
            <w:pPr>
              <w:jc w:val="center"/>
              <w:rPr>
                <w:rFonts w:ascii="Calibri" w:hAnsi="Calibri" w:cs="Arial"/>
                <w:sz w:val="19"/>
                <w:szCs w:val="19"/>
              </w:rPr>
            </w:pPr>
            <w:r w:rsidRPr="004A0958">
              <w:rPr>
                <w:rFonts w:ascii="Calibri" w:hAnsi="Calibri" w:cs="Arial"/>
                <w:sz w:val="19"/>
                <w:szCs w:val="19"/>
              </w:rPr>
              <w:t>2</w:t>
            </w:r>
          </w:p>
        </w:tc>
        <w:tc>
          <w:tcPr>
            <w:tcW w:w="990" w:type="dxa"/>
            <w:tcBorders>
              <w:top w:val="nil"/>
              <w:left w:val="nil"/>
              <w:bottom w:val="single" w:sz="4" w:space="0" w:color="auto"/>
              <w:right w:val="single" w:sz="8" w:space="0" w:color="auto"/>
            </w:tcBorders>
            <w:noWrap/>
            <w:vAlign w:val="bottom"/>
          </w:tcPr>
          <w:p w:rsidR="00D31F42" w:rsidRPr="004A0958" w:rsidRDefault="00D31F42" w:rsidP="00CB1362">
            <w:pPr>
              <w:jc w:val="center"/>
              <w:rPr>
                <w:rFonts w:ascii="Calibri" w:hAnsi="Calibri" w:cs="Arial"/>
                <w:sz w:val="19"/>
                <w:szCs w:val="19"/>
              </w:rPr>
            </w:pPr>
            <w:r w:rsidRPr="004A0958">
              <w:rPr>
                <w:rFonts w:ascii="Calibri" w:hAnsi="Calibri" w:cs="Arial"/>
                <w:sz w:val="19"/>
                <w:szCs w:val="19"/>
              </w:rPr>
              <w:t>-</w:t>
            </w:r>
          </w:p>
        </w:tc>
        <w:tc>
          <w:tcPr>
            <w:tcW w:w="1098" w:type="dxa"/>
            <w:tcBorders>
              <w:top w:val="nil"/>
              <w:left w:val="nil"/>
              <w:bottom w:val="single" w:sz="4" w:space="0" w:color="auto"/>
              <w:right w:val="single" w:sz="8" w:space="0" w:color="auto"/>
            </w:tcBorders>
            <w:noWrap/>
            <w:vAlign w:val="bottom"/>
          </w:tcPr>
          <w:p w:rsidR="00D31F42" w:rsidRPr="004A0958" w:rsidRDefault="00D31F42" w:rsidP="00CB1362">
            <w:pPr>
              <w:jc w:val="center"/>
              <w:rPr>
                <w:rFonts w:ascii="Calibri" w:hAnsi="Calibri" w:cs="Arial"/>
                <w:sz w:val="19"/>
                <w:szCs w:val="19"/>
              </w:rPr>
            </w:pPr>
            <w:r w:rsidRPr="004A0958">
              <w:rPr>
                <w:rFonts w:ascii="Calibri" w:hAnsi="Calibri" w:cs="Arial"/>
                <w:sz w:val="19"/>
                <w:szCs w:val="19"/>
              </w:rPr>
              <w:t>-</w:t>
            </w:r>
          </w:p>
        </w:tc>
        <w:tc>
          <w:tcPr>
            <w:tcW w:w="1080" w:type="dxa"/>
            <w:tcBorders>
              <w:top w:val="nil"/>
              <w:left w:val="nil"/>
              <w:bottom w:val="single" w:sz="4" w:space="0" w:color="auto"/>
              <w:right w:val="single" w:sz="8" w:space="0" w:color="auto"/>
            </w:tcBorders>
            <w:noWrap/>
            <w:vAlign w:val="bottom"/>
          </w:tcPr>
          <w:p w:rsidR="00D31F42" w:rsidRPr="004A0958" w:rsidRDefault="00D31F42" w:rsidP="00CB1362">
            <w:pPr>
              <w:jc w:val="center"/>
              <w:rPr>
                <w:rFonts w:ascii="Calibri" w:hAnsi="Calibri" w:cs="Arial"/>
                <w:sz w:val="19"/>
                <w:szCs w:val="19"/>
              </w:rPr>
            </w:pPr>
            <w:r w:rsidRPr="004A0958">
              <w:rPr>
                <w:rFonts w:ascii="Calibri" w:hAnsi="Calibri" w:cs="Arial"/>
                <w:sz w:val="19"/>
                <w:szCs w:val="19"/>
              </w:rPr>
              <w:t>-</w:t>
            </w:r>
          </w:p>
        </w:tc>
        <w:tc>
          <w:tcPr>
            <w:tcW w:w="810" w:type="dxa"/>
            <w:tcBorders>
              <w:top w:val="nil"/>
              <w:left w:val="nil"/>
              <w:bottom w:val="single" w:sz="4" w:space="0" w:color="auto"/>
              <w:right w:val="single" w:sz="4" w:space="0" w:color="auto"/>
            </w:tcBorders>
            <w:noWrap/>
            <w:vAlign w:val="bottom"/>
          </w:tcPr>
          <w:p w:rsidR="00D31F42" w:rsidRPr="004A0958" w:rsidRDefault="00D31F42" w:rsidP="00CB1362">
            <w:pPr>
              <w:jc w:val="center"/>
              <w:rPr>
                <w:rFonts w:ascii="Calibri" w:hAnsi="Calibri" w:cs="Arial"/>
                <w:sz w:val="19"/>
                <w:szCs w:val="19"/>
              </w:rPr>
            </w:pPr>
            <w:r w:rsidRPr="004A0958">
              <w:rPr>
                <w:rFonts w:ascii="Calibri" w:hAnsi="Calibri" w:cs="Arial"/>
                <w:sz w:val="19"/>
                <w:szCs w:val="19"/>
              </w:rPr>
              <w:t>-</w:t>
            </w:r>
          </w:p>
        </w:tc>
        <w:tc>
          <w:tcPr>
            <w:tcW w:w="1170" w:type="dxa"/>
            <w:tcBorders>
              <w:top w:val="nil"/>
              <w:left w:val="single" w:sz="4" w:space="0" w:color="auto"/>
              <w:bottom w:val="single" w:sz="4" w:space="0" w:color="auto"/>
              <w:right w:val="single" w:sz="8" w:space="0" w:color="auto"/>
            </w:tcBorders>
            <w:noWrap/>
            <w:vAlign w:val="bottom"/>
          </w:tcPr>
          <w:p w:rsidR="00D31F42" w:rsidRPr="004A0958" w:rsidRDefault="00D31F42" w:rsidP="00CB1362">
            <w:pPr>
              <w:jc w:val="center"/>
              <w:rPr>
                <w:rFonts w:ascii="Calibri" w:hAnsi="Calibri" w:cs="Arial"/>
                <w:sz w:val="19"/>
                <w:szCs w:val="19"/>
              </w:rPr>
            </w:pPr>
            <w:r w:rsidRPr="004A0958">
              <w:rPr>
                <w:rFonts w:ascii="Calibri" w:hAnsi="Calibri" w:cs="Arial"/>
                <w:sz w:val="19"/>
                <w:szCs w:val="19"/>
              </w:rPr>
              <w:t>2</w:t>
            </w:r>
          </w:p>
        </w:tc>
      </w:tr>
      <w:tr w:rsidR="00D31F42" w:rsidRPr="004A0958" w:rsidTr="00723CEE">
        <w:trPr>
          <w:trHeight w:val="270"/>
        </w:trPr>
        <w:tc>
          <w:tcPr>
            <w:tcW w:w="1350" w:type="dxa"/>
            <w:tcBorders>
              <w:top w:val="single" w:sz="4" w:space="0" w:color="auto"/>
              <w:left w:val="single" w:sz="8" w:space="0" w:color="auto"/>
              <w:bottom w:val="single" w:sz="8" w:space="0" w:color="auto"/>
              <w:right w:val="single" w:sz="8" w:space="0" w:color="auto"/>
            </w:tcBorders>
          </w:tcPr>
          <w:p w:rsidR="00D31F42" w:rsidRPr="004A0958" w:rsidRDefault="00D31F42" w:rsidP="00CB1362">
            <w:pPr>
              <w:rPr>
                <w:rFonts w:ascii="Calibri" w:hAnsi="Calibri" w:cs="Arial"/>
                <w:sz w:val="16"/>
                <w:szCs w:val="16"/>
              </w:rPr>
            </w:pPr>
            <w:r w:rsidRPr="004A0958">
              <w:rPr>
                <w:rFonts w:ascii="Calibri" w:hAnsi="Calibri" w:cs="Arial"/>
                <w:sz w:val="16"/>
                <w:szCs w:val="16"/>
              </w:rPr>
              <w:t>Category 4 PIEs as per the FRA</w:t>
            </w:r>
          </w:p>
        </w:tc>
        <w:tc>
          <w:tcPr>
            <w:tcW w:w="630" w:type="dxa"/>
            <w:tcBorders>
              <w:top w:val="single" w:sz="4" w:space="0" w:color="auto"/>
              <w:left w:val="nil"/>
              <w:bottom w:val="single" w:sz="8" w:space="0" w:color="auto"/>
              <w:right w:val="single" w:sz="8" w:space="0" w:color="auto"/>
            </w:tcBorders>
            <w:noWrap/>
            <w:vAlign w:val="bottom"/>
          </w:tcPr>
          <w:p w:rsidR="00D31F42" w:rsidRPr="004A0958" w:rsidRDefault="00D31F42" w:rsidP="00CB1362">
            <w:pPr>
              <w:jc w:val="center"/>
              <w:rPr>
                <w:rFonts w:ascii="Calibri" w:hAnsi="Calibri" w:cs="Arial"/>
                <w:sz w:val="19"/>
                <w:szCs w:val="19"/>
                <w:highlight w:val="yellow"/>
              </w:rPr>
            </w:pPr>
            <w:r w:rsidRPr="004A0958">
              <w:rPr>
                <w:rFonts w:ascii="Calibri" w:hAnsi="Calibri" w:cs="Arial"/>
                <w:sz w:val="19"/>
                <w:szCs w:val="19"/>
              </w:rPr>
              <w:t>-</w:t>
            </w:r>
          </w:p>
        </w:tc>
        <w:tc>
          <w:tcPr>
            <w:tcW w:w="990" w:type="dxa"/>
            <w:tcBorders>
              <w:top w:val="single" w:sz="4" w:space="0" w:color="auto"/>
              <w:left w:val="nil"/>
              <w:bottom w:val="single" w:sz="8" w:space="0" w:color="auto"/>
              <w:right w:val="single" w:sz="8" w:space="0" w:color="auto"/>
            </w:tcBorders>
            <w:noWrap/>
            <w:vAlign w:val="bottom"/>
          </w:tcPr>
          <w:p w:rsidR="00D31F42" w:rsidRPr="004A0958" w:rsidRDefault="00D31F42" w:rsidP="00CB1362">
            <w:pPr>
              <w:jc w:val="center"/>
              <w:rPr>
                <w:rFonts w:ascii="Calibri" w:hAnsi="Calibri" w:cs="Arial"/>
                <w:sz w:val="19"/>
                <w:szCs w:val="19"/>
              </w:rPr>
            </w:pPr>
            <w:r w:rsidRPr="004A0958">
              <w:rPr>
                <w:rFonts w:ascii="Calibri" w:hAnsi="Calibri" w:cs="Arial"/>
                <w:sz w:val="19"/>
                <w:szCs w:val="19"/>
              </w:rPr>
              <w:t>6</w:t>
            </w:r>
          </w:p>
        </w:tc>
        <w:tc>
          <w:tcPr>
            <w:tcW w:w="1098" w:type="dxa"/>
            <w:tcBorders>
              <w:top w:val="single" w:sz="4" w:space="0" w:color="auto"/>
              <w:left w:val="nil"/>
              <w:bottom w:val="single" w:sz="8" w:space="0" w:color="auto"/>
              <w:right w:val="single" w:sz="8" w:space="0" w:color="auto"/>
            </w:tcBorders>
            <w:noWrap/>
            <w:vAlign w:val="bottom"/>
          </w:tcPr>
          <w:p w:rsidR="00D31F42" w:rsidRPr="004A0958" w:rsidRDefault="00D31F42" w:rsidP="00CB1362">
            <w:pPr>
              <w:jc w:val="center"/>
              <w:rPr>
                <w:rFonts w:ascii="Calibri" w:hAnsi="Calibri" w:cs="Arial"/>
                <w:sz w:val="19"/>
                <w:szCs w:val="19"/>
              </w:rPr>
            </w:pPr>
            <w:r w:rsidRPr="004A0958">
              <w:rPr>
                <w:rFonts w:ascii="Calibri" w:hAnsi="Calibri" w:cs="Arial"/>
                <w:sz w:val="19"/>
                <w:szCs w:val="19"/>
              </w:rPr>
              <w:t>-</w:t>
            </w:r>
          </w:p>
        </w:tc>
        <w:tc>
          <w:tcPr>
            <w:tcW w:w="1080" w:type="dxa"/>
            <w:tcBorders>
              <w:top w:val="single" w:sz="4" w:space="0" w:color="auto"/>
              <w:left w:val="nil"/>
              <w:bottom w:val="single" w:sz="8" w:space="0" w:color="auto"/>
              <w:right w:val="single" w:sz="8" w:space="0" w:color="auto"/>
            </w:tcBorders>
            <w:noWrap/>
            <w:vAlign w:val="bottom"/>
          </w:tcPr>
          <w:p w:rsidR="00D31F42" w:rsidRPr="004A0958" w:rsidRDefault="00D31F42" w:rsidP="00CB1362">
            <w:pPr>
              <w:jc w:val="center"/>
              <w:rPr>
                <w:rFonts w:ascii="Calibri" w:hAnsi="Calibri" w:cs="Arial"/>
                <w:sz w:val="19"/>
                <w:szCs w:val="19"/>
                <w:highlight w:val="yellow"/>
              </w:rPr>
            </w:pPr>
            <w:r w:rsidRPr="004A0958">
              <w:rPr>
                <w:rFonts w:ascii="Calibri" w:hAnsi="Calibri" w:cs="Arial"/>
                <w:sz w:val="19"/>
                <w:szCs w:val="19"/>
              </w:rPr>
              <w:t>1</w:t>
            </w:r>
          </w:p>
        </w:tc>
        <w:tc>
          <w:tcPr>
            <w:tcW w:w="810" w:type="dxa"/>
            <w:tcBorders>
              <w:top w:val="single" w:sz="4" w:space="0" w:color="auto"/>
              <w:left w:val="nil"/>
              <w:bottom w:val="single" w:sz="8" w:space="0" w:color="auto"/>
              <w:right w:val="single" w:sz="4" w:space="0" w:color="auto"/>
            </w:tcBorders>
            <w:noWrap/>
            <w:vAlign w:val="bottom"/>
          </w:tcPr>
          <w:p w:rsidR="00D31F42" w:rsidRPr="004A0958" w:rsidRDefault="00D31F42" w:rsidP="00CB1362">
            <w:pPr>
              <w:jc w:val="center"/>
              <w:rPr>
                <w:rFonts w:ascii="Calibri" w:hAnsi="Calibri" w:cs="Arial"/>
                <w:sz w:val="19"/>
                <w:szCs w:val="19"/>
              </w:rPr>
            </w:pPr>
            <w:bookmarkStart w:id="2" w:name="_GoBack"/>
            <w:bookmarkEnd w:id="2"/>
            <w:r w:rsidRPr="004A0958">
              <w:rPr>
                <w:rFonts w:ascii="Calibri" w:hAnsi="Calibri" w:cs="Arial"/>
                <w:sz w:val="19"/>
                <w:szCs w:val="19"/>
              </w:rPr>
              <w:t>-</w:t>
            </w:r>
          </w:p>
        </w:tc>
        <w:tc>
          <w:tcPr>
            <w:tcW w:w="1170" w:type="dxa"/>
            <w:tcBorders>
              <w:top w:val="single" w:sz="4" w:space="0" w:color="auto"/>
              <w:left w:val="single" w:sz="4" w:space="0" w:color="auto"/>
              <w:bottom w:val="single" w:sz="8" w:space="0" w:color="auto"/>
              <w:right w:val="single" w:sz="8" w:space="0" w:color="auto"/>
            </w:tcBorders>
            <w:noWrap/>
            <w:vAlign w:val="bottom"/>
          </w:tcPr>
          <w:p w:rsidR="00D31F42" w:rsidRPr="004A0958" w:rsidRDefault="00D31F42" w:rsidP="00CB1362">
            <w:pPr>
              <w:jc w:val="center"/>
              <w:rPr>
                <w:rFonts w:ascii="Calibri" w:hAnsi="Calibri" w:cs="Arial"/>
                <w:sz w:val="19"/>
                <w:szCs w:val="19"/>
                <w:highlight w:val="yellow"/>
              </w:rPr>
            </w:pPr>
            <w:r w:rsidRPr="004A0958">
              <w:rPr>
                <w:rFonts w:ascii="Calibri" w:hAnsi="Calibri" w:cs="Arial"/>
                <w:sz w:val="19"/>
                <w:szCs w:val="19"/>
              </w:rPr>
              <w:t>7</w:t>
            </w:r>
          </w:p>
        </w:tc>
      </w:tr>
      <w:tr w:rsidR="00D31F42" w:rsidRPr="004A0958" w:rsidTr="00723CEE">
        <w:trPr>
          <w:trHeight w:val="270"/>
        </w:trPr>
        <w:tc>
          <w:tcPr>
            <w:tcW w:w="1350" w:type="dxa"/>
            <w:tcBorders>
              <w:top w:val="nil"/>
              <w:left w:val="single" w:sz="8" w:space="0" w:color="auto"/>
              <w:bottom w:val="single" w:sz="8" w:space="0" w:color="auto"/>
              <w:right w:val="single" w:sz="8" w:space="0" w:color="auto"/>
            </w:tcBorders>
            <w:vAlign w:val="bottom"/>
          </w:tcPr>
          <w:p w:rsidR="00D31F42" w:rsidRPr="004A0958" w:rsidRDefault="00D31F42" w:rsidP="00CB1362">
            <w:pPr>
              <w:jc w:val="center"/>
              <w:rPr>
                <w:rFonts w:ascii="Calibri" w:hAnsi="Calibri" w:cs="Arial"/>
                <w:b/>
                <w:bCs/>
                <w:sz w:val="16"/>
                <w:szCs w:val="16"/>
              </w:rPr>
            </w:pPr>
            <w:r w:rsidRPr="004A0958">
              <w:rPr>
                <w:rFonts w:ascii="Calibri" w:hAnsi="Calibri" w:cs="Arial"/>
                <w:b/>
                <w:bCs/>
                <w:sz w:val="16"/>
                <w:szCs w:val="16"/>
              </w:rPr>
              <w:t>Total</w:t>
            </w:r>
          </w:p>
        </w:tc>
        <w:tc>
          <w:tcPr>
            <w:tcW w:w="630" w:type="dxa"/>
            <w:tcBorders>
              <w:top w:val="nil"/>
              <w:left w:val="nil"/>
              <w:bottom w:val="single" w:sz="8" w:space="0" w:color="auto"/>
              <w:right w:val="single" w:sz="8" w:space="0" w:color="auto"/>
            </w:tcBorders>
            <w:noWrap/>
            <w:vAlign w:val="bottom"/>
          </w:tcPr>
          <w:p w:rsidR="00D31F42" w:rsidRPr="004A0958" w:rsidRDefault="00D31F42" w:rsidP="00CB1362">
            <w:pPr>
              <w:jc w:val="center"/>
              <w:rPr>
                <w:rFonts w:ascii="Calibri" w:hAnsi="Calibri" w:cs="Arial"/>
                <w:b/>
                <w:bCs/>
                <w:sz w:val="19"/>
                <w:szCs w:val="19"/>
              </w:rPr>
            </w:pPr>
            <w:r w:rsidRPr="004A0958">
              <w:rPr>
                <w:rFonts w:ascii="Calibri" w:hAnsi="Calibri" w:cs="Arial"/>
                <w:b/>
                <w:bCs/>
                <w:sz w:val="19"/>
                <w:szCs w:val="19"/>
              </w:rPr>
              <w:t>2</w:t>
            </w:r>
          </w:p>
        </w:tc>
        <w:tc>
          <w:tcPr>
            <w:tcW w:w="990" w:type="dxa"/>
            <w:tcBorders>
              <w:top w:val="nil"/>
              <w:left w:val="nil"/>
              <w:bottom w:val="single" w:sz="8" w:space="0" w:color="auto"/>
              <w:right w:val="single" w:sz="8" w:space="0" w:color="auto"/>
            </w:tcBorders>
            <w:noWrap/>
            <w:vAlign w:val="bottom"/>
          </w:tcPr>
          <w:p w:rsidR="00D31F42" w:rsidRPr="004A0958" w:rsidRDefault="00D31F42" w:rsidP="00CB1362">
            <w:pPr>
              <w:jc w:val="center"/>
              <w:rPr>
                <w:rFonts w:ascii="Calibri" w:hAnsi="Calibri" w:cs="Arial"/>
                <w:b/>
                <w:bCs/>
                <w:sz w:val="19"/>
                <w:szCs w:val="19"/>
                <w:highlight w:val="yellow"/>
              </w:rPr>
            </w:pPr>
            <w:r w:rsidRPr="004A0958">
              <w:rPr>
                <w:rFonts w:ascii="Calibri" w:hAnsi="Calibri" w:cs="Arial"/>
                <w:b/>
                <w:bCs/>
                <w:sz w:val="19"/>
                <w:szCs w:val="19"/>
              </w:rPr>
              <w:t>6</w:t>
            </w:r>
          </w:p>
        </w:tc>
        <w:tc>
          <w:tcPr>
            <w:tcW w:w="1098" w:type="dxa"/>
            <w:tcBorders>
              <w:top w:val="nil"/>
              <w:left w:val="nil"/>
              <w:bottom w:val="single" w:sz="8" w:space="0" w:color="auto"/>
              <w:right w:val="single" w:sz="8" w:space="0" w:color="auto"/>
            </w:tcBorders>
            <w:noWrap/>
            <w:vAlign w:val="bottom"/>
          </w:tcPr>
          <w:p w:rsidR="00D31F42" w:rsidRPr="004A0958" w:rsidRDefault="00D31F42" w:rsidP="00CB1362">
            <w:pPr>
              <w:jc w:val="center"/>
              <w:rPr>
                <w:rFonts w:ascii="Calibri" w:hAnsi="Calibri" w:cs="Arial"/>
                <w:b/>
                <w:bCs/>
                <w:sz w:val="19"/>
                <w:szCs w:val="19"/>
                <w:highlight w:val="yellow"/>
              </w:rPr>
            </w:pPr>
            <w:r w:rsidRPr="004A0958">
              <w:rPr>
                <w:rFonts w:ascii="Calibri" w:hAnsi="Calibri" w:cs="Arial"/>
                <w:b/>
                <w:bCs/>
                <w:sz w:val="19"/>
                <w:szCs w:val="19"/>
              </w:rPr>
              <w:t>2</w:t>
            </w:r>
          </w:p>
        </w:tc>
        <w:tc>
          <w:tcPr>
            <w:tcW w:w="1080" w:type="dxa"/>
            <w:tcBorders>
              <w:top w:val="nil"/>
              <w:left w:val="nil"/>
              <w:bottom w:val="single" w:sz="8" w:space="0" w:color="auto"/>
              <w:right w:val="single" w:sz="8" w:space="0" w:color="auto"/>
            </w:tcBorders>
            <w:noWrap/>
            <w:vAlign w:val="bottom"/>
          </w:tcPr>
          <w:p w:rsidR="00D31F42" w:rsidRPr="004A0958" w:rsidRDefault="00D31F42" w:rsidP="00CB1362">
            <w:pPr>
              <w:jc w:val="center"/>
              <w:rPr>
                <w:rFonts w:ascii="Calibri" w:hAnsi="Calibri" w:cs="Arial"/>
                <w:b/>
                <w:bCs/>
                <w:sz w:val="19"/>
                <w:szCs w:val="19"/>
                <w:highlight w:val="yellow"/>
              </w:rPr>
            </w:pPr>
            <w:r w:rsidRPr="004A0958">
              <w:rPr>
                <w:rFonts w:ascii="Calibri" w:hAnsi="Calibri" w:cs="Arial"/>
                <w:b/>
                <w:bCs/>
                <w:sz w:val="19"/>
                <w:szCs w:val="19"/>
              </w:rPr>
              <w:t>2</w:t>
            </w:r>
          </w:p>
        </w:tc>
        <w:tc>
          <w:tcPr>
            <w:tcW w:w="810" w:type="dxa"/>
            <w:tcBorders>
              <w:top w:val="nil"/>
              <w:left w:val="nil"/>
              <w:bottom w:val="single" w:sz="8" w:space="0" w:color="auto"/>
              <w:right w:val="single" w:sz="4" w:space="0" w:color="auto"/>
            </w:tcBorders>
            <w:noWrap/>
            <w:vAlign w:val="bottom"/>
          </w:tcPr>
          <w:p w:rsidR="00D31F42" w:rsidRPr="004A0958" w:rsidRDefault="00D31F42" w:rsidP="00CB1362">
            <w:pPr>
              <w:jc w:val="center"/>
              <w:rPr>
                <w:rFonts w:ascii="Calibri" w:hAnsi="Calibri" w:cs="Arial"/>
                <w:b/>
                <w:bCs/>
                <w:sz w:val="19"/>
                <w:szCs w:val="19"/>
                <w:highlight w:val="yellow"/>
              </w:rPr>
            </w:pPr>
            <w:r w:rsidRPr="004A0958">
              <w:rPr>
                <w:rFonts w:ascii="Calibri" w:hAnsi="Calibri" w:cs="Arial"/>
                <w:b/>
                <w:bCs/>
                <w:sz w:val="19"/>
                <w:szCs w:val="19"/>
              </w:rPr>
              <w:t>2</w:t>
            </w:r>
          </w:p>
        </w:tc>
        <w:tc>
          <w:tcPr>
            <w:tcW w:w="1170" w:type="dxa"/>
            <w:tcBorders>
              <w:top w:val="nil"/>
              <w:left w:val="single" w:sz="4" w:space="0" w:color="auto"/>
              <w:bottom w:val="single" w:sz="8" w:space="0" w:color="auto"/>
              <w:right w:val="single" w:sz="8" w:space="0" w:color="auto"/>
            </w:tcBorders>
            <w:noWrap/>
            <w:vAlign w:val="bottom"/>
          </w:tcPr>
          <w:p w:rsidR="00D31F42" w:rsidRPr="004A0958" w:rsidRDefault="00D31F42" w:rsidP="00CB1362">
            <w:pPr>
              <w:jc w:val="center"/>
              <w:rPr>
                <w:rFonts w:ascii="Calibri" w:hAnsi="Calibri" w:cs="Arial"/>
                <w:b/>
                <w:bCs/>
                <w:sz w:val="19"/>
                <w:szCs w:val="19"/>
                <w:highlight w:val="yellow"/>
              </w:rPr>
            </w:pPr>
            <w:r w:rsidRPr="004A0958">
              <w:rPr>
                <w:rFonts w:ascii="Calibri" w:hAnsi="Calibri" w:cs="Arial"/>
                <w:b/>
                <w:bCs/>
                <w:sz w:val="19"/>
                <w:szCs w:val="19"/>
              </w:rPr>
              <w:t>14</w:t>
            </w:r>
          </w:p>
        </w:tc>
      </w:tr>
    </w:tbl>
    <w:p w:rsidR="00D31F42" w:rsidRPr="004A0958" w:rsidRDefault="00D31F42" w:rsidP="00E552BA">
      <w:pPr>
        <w:jc w:val="both"/>
        <w:rPr>
          <w:rFonts w:ascii="Calibri" w:hAnsi="Calibri" w:cs="Arial"/>
        </w:rPr>
      </w:pPr>
    </w:p>
    <w:p w:rsidR="00D31F42" w:rsidRPr="004A0958" w:rsidRDefault="00D31F42" w:rsidP="00E552BA">
      <w:pPr>
        <w:jc w:val="both"/>
        <w:rPr>
          <w:rFonts w:ascii="Calibri" w:hAnsi="Calibri" w:cs="Arial"/>
        </w:rPr>
      </w:pPr>
    </w:p>
    <w:p w:rsidR="00D31F42" w:rsidRPr="004A0958" w:rsidRDefault="00D31F42" w:rsidP="00E552BA">
      <w:pPr>
        <w:jc w:val="both"/>
        <w:rPr>
          <w:rFonts w:ascii="Calibri" w:hAnsi="Calibri" w:cs="Arial"/>
        </w:rPr>
      </w:pPr>
    </w:p>
    <w:p w:rsidR="00D31F42" w:rsidRPr="004A0958" w:rsidRDefault="00D31F42" w:rsidP="00E552BA">
      <w:pPr>
        <w:jc w:val="both"/>
        <w:rPr>
          <w:rFonts w:ascii="Calibri" w:hAnsi="Calibri" w:cs="Arial"/>
        </w:rPr>
      </w:pPr>
    </w:p>
    <w:p w:rsidR="00D31F42" w:rsidRPr="004A0958" w:rsidRDefault="00D31F42" w:rsidP="00E552BA">
      <w:pPr>
        <w:jc w:val="both"/>
        <w:rPr>
          <w:rFonts w:ascii="Calibri" w:hAnsi="Calibri" w:cs="Arial"/>
        </w:rPr>
      </w:pPr>
    </w:p>
    <w:p w:rsidR="00D31F42" w:rsidRPr="004A0958" w:rsidRDefault="00D31F42" w:rsidP="00E552BA">
      <w:pPr>
        <w:jc w:val="both"/>
        <w:rPr>
          <w:rFonts w:ascii="Calibri" w:hAnsi="Calibri" w:cs="Arial"/>
        </w:rPr>
      </w:pPr>
    </w:p>
    <w:p w:rsidR="00D31F42" w:rsidRPr="004A0958" w:rsidRDefault="00D31F42" w:rsidP="00E552BA">
      <w:pPr>
        <w:jc w:val="both"/>
        <w:rPr>
          <w:rFonts w:ascii="Calibri" w:hAnsi="Calibri" w:cs="Arial"/>
        </w:rPr>
      </w:pPr>
    </w:p>
    <w:p w:rsidR="00D31F42" w:rsidRPr="004A0958" w:rsidRDefault="00D31F42" w:rsidP="00E552BA">
      <w:pPr>
        <w:jc w:val="both"/>
        <w:rPr>
          <w:rFonts w:ascii="Calibri" w:hAnsi="Calibri" w:cs="Arial"/>
        </w:rPr>
      </w:pPr>
    </w:p>
    <w:p w:rsidR="00D31F42" w:rsidRPr="004A0958" w:rsidRDefault="00D31F42" w:rsidP="00E552BA">
      <w:pPr>
        <w:jc w:val="both"/>
        <w:rPr>
          <w:rFonts w:ascii="Calibri" w:hAnsi="Calibri" w:cs="Arial"/>
        </w:rPr>
      </w:pPr>
    </w:p>
    <w:p w:rsidR="00D31F42" w:rsidRPr="004A0958" w:rsidRDefault="00D31F42" w:rsidP="00DD3E4D">
      <w:pPr>
        <w:tabs>
          <w:tab w:val="left" w:pos="720"/>
        </w:tabs>
        <w:jc w:val="both"/>
        <w:rPr>
          <w:rFonts w:ascii="Calibri" w:hAnsi="Calibri" w:cs="Arial"/>
          <w:b/>
          <w:color w:val="0000FF"/>
          <w:sz w:val="28"/>
          <w:szCs w:val="28"/>
        </w:rPr>
      </w:pPr>
    </w:p>
    <w:p w:rsidR="00D31F42" w:rsidRPr="004A0958" w:rsidRDefault="00D31F42" w:rsidP="00CB1362">
      <w:pPr>
        <w:ind w:left="1080"/>
        <w:jc w:val="both"/>
        <w:rPr>
          <w:rFonts w:ascii="Calibri" w:hAnsi="Calibri" w:cs="Arial"/>
        </w:rPr>
      </w:pPr>
      <w:r w:rsidRPr="004A0958">
        <w:rPr>
          <w:rFonts w:ascii="Calibri" w:hAnsi="Calibri" w:cs="Arial"/>
        </w:rPr>
        <w:t xml:space="preserve">As part of its annual report review, FRC had also focused on the following areas and IFRSs relevant to the group’s businesses: </w:t>
      </w:r>
    </w:p>
    <w:p w:rsidR="00D31F42" w:rsidRPr="004A0958" w:rsidRDefault="00D31F42" w:rsidP="00CB1362">
      <w:pPr>
        <w:ind w:left="1080"/>
        <w:jc w:val="both"/>
        <w:rPr>
          <w:rFonts w:ascii="Calibri" w:hAnsi="Calibri" w:cs="Arial"/>
          <w:b/>
        </w:rPr>
      </w:pPr>
    </w:p>
    <w:p w:rsidR="00D31F42" w:rsidRPr="004A0958" w:rsidRDefault="00D31F42" w:rsidP="00F7611C">
      <w:pPr>
        <w:pStyle w:val="ListParagraph"/>
        <w:numPr>
          <w:ilvl w:val="0"/>
          <w:numId w:val="22"/>
        </w:numPr>
        <w:ind w:left="1080" w:firstLine="0"/>
        <w:contextualSpacing/>
        <w:jc w:val="both"/>
        <w:rPr>
          <w:rFonts w:ascii="Calibri" w:hAnsi="Calibri"/>
          <w:lang w:val="en-US"/>
        </w:rPr>
      </w:pPr>
      <w:r w:rsidRPr="004A0958">
        <w:rPr>
          <w:rFonts w:ascii="Calibri" w:hAnsi="Calibri"/>
          <w:lang w:val="en-US"/>
        </w:rPr>
        <w:t>New accounting standards</w:t>
      </w:r>
    </w:p>
    <w:p w:rsidR="00D31F42" w:rsidRPr="004A0958" w:rsidRDefault="00D31F42" w:rsidP="00F7611C">
      <w:pPr>
        <w:pStyle w:val="ListParagraph"/>
        <w:numPr>
          <w:ilvl w:val="0"/>
          <w:numId w:val="22"/>
        </w:numPr>
        <w:ind w:left="1080" w:firstLine="0"/>
        <w:contextualSpacing/>
        <w:jc w:val="both"/>
        <w:rPr>
          <w:rFonts w:ascii="Calibri" w:hAnsi="Calibri"/>
          <w:lang w:val="en-US"/>
        </w:rPr>
      </w:pPr>
      <w:r w:rsidRPr="004A0958">
        <w:rPr>
          <w:rFonts w:ascii="Calibri" w:hAnsi="Calibri"/>
          <w:lang w:val="en-US"/>
        </w:rPr>
        <w:t xml:space="preserve">Business combinations </w:t>
      </w:r>
    </w:p>
    <w:p w:rsidR="00D31F42" w:rsidRPr="004A0958" w:rsidRDefault="00D31F42" w:rsidP="00F7611C">
      <w:pPr>
        <w:pStyle w:val="ListParagraph"/>
        <w:numPr>
          <w:ilvl w:val="0"/>
          <w:numId w:val="22"/>
        </w:numPr>
        <w:ind w:left="1080" w:firstLine="0"/>
        <w:contextualSpacing/>
        <w:jc w:val="both"/>
        <w:rPr>
          <w:rFonts w:ascii="Calibri" w:hAnsi="Calibri"/>
          <w:lang w:val="en-US"/>
        </w:rPr>
      </w:pPr>
      <w:r w:rsidRPr="004A0958">
        <w:rPr>
          <w:rFonts w:ascii="Calibri" w:hAnsi="Calibri"/>
          <w:lang w:val="en-US"/>
        </w:rPr>
        <w:t>Related parties Transactions</w:t>
      </w:r>
    </w:p>
    <w:p w:rsidR="00D31F42" w:rsidRPr="004A0958" w:rsidRDefault="00D31F42" w:rsidP="00F7611C">
      <w:pPr>
        <w:pStyle w:val="ListParagraph"/>
        <w:numPr>
          <w:ilvl w:val="0"/>
          <w:numId w:val="22"/>
        </w:numPr>
        <w:ind w:left="1080" w:firstLine="0"/>
        <w:contextualSpacing/>
        <w:jc w:val="both"/>
        <w:rPr>
          <w:rFonts w:ascii="Calibri" w:hAnsi="Calibri"/>
          <w:lang w:val="en-US"/>
        </w:rPr>
      </w:pPr>
      <w:r w:rsidRPr="004A0958">
        <w:rPr>
          <w:rFonts w:ascii="Calibri" w:hAnsi="Calibri"/>
          <w:lang w:val="en-US"/>
        </w:rPr>
        <w:t>Asset valuations</w:t>
      </w:r>
    </w:p>
    <w:p w:rsidR="00D31F42" w:rsidRPr="004A0958" w:rsidRDefault="00D31F42" w:rsidP="00F7611C">
      <w:pPr>
        <w:pStyle w:val="ListParagraph"/>
        <w:numPr>
          <w:ilvl w:val="0"/>
          <w:numId w:val="22"/>
        </w:numPr>
        <w:ind w:left="1080" w:firstLine="0"/>
        <w:contextualSpacing/>
        <w:jc w:val="both"/>
        <w:rPr>
          <w:rFonts w:ascii="Calibri" w:hAnsi="Calibri"/>
          <w:lang w:val="en-US"/>
        </w:rPr>
      </w:pPr>
      <w:r w:rsidRPr="004A0958">
        <w:rPr>
          <w:rFonts w:ascii="Calibri" w:hAnsi="Calibri"/>
          <w:lang w:val="en-US"/>
        </w:rPr>
        <w:t xml:space="preserve">Estimates/judgment – reasonableness </w:t>
      </w:r>
    </w:p>
    <w:p w:rsidR="00D31F42" w:rsidRPr="004A0958" w:rsidRDefault="00D31F42" w:rsidP="00F7611C">
      <w:pPr>
        <w:pStyle w:val="ListParagraph"/>
        <w:numPr>
          <w:ilvl w:val="0"/>
          <w:numId w:val="22"/>
        </w:numPr>
        <w:ind w:left="1080" w:firstLine="0"/>
        <w:contextualSpacing/>
        <w:jc w:val="both"/>
        <w:rPr>
          <w:rFonts w:ascii="Calibri" w:hAnsi="Calibri"/>
          <w:lang w:val="en-US"/>
        </w:rPr>
      </w:pPr>
      <w:r w:rsidRPr="004A0958">
        <w:rPr>
          <w:rFonts w:ascii="Calibri" w:hAnsi="Calibri"/>
          <w:lang w:val="en-US"/>
        </w:rPr>
        <w:t>Operating Segments</w:t>
      </w:r>
    </w:p>
    <w:p w:rsidR="00D31F42" w:rsidRPr="004A0958" w:rsidRDefault="00D31F42" w:rsidP="00F7611C">
      <w:pPr>
        <w:pStyle w:val="ListParagraph"/>
        <w:numPr>
          <w:ilvl w:val="0"/>
          <w:numId w:val="22"/>
        </w:numPr>
        <w:ind w:left="1080" w:firstLine="0"/>
        <w:contextualSpacing/>
        <w:jc w:val="both"/>
        <w:rPr>
          <w:rFonts w:ascii="Calibri" w:hAnsi="Calibri"/>
          <w:lang w:val="en-US"/>
        </w:rPr>
      </w:pPr>
      <w:r w:rsidRPr="004A0958">
        <w:rPr>
          <w:rFonts w:ascii="Calibri" w:hAnsi="Calibri"/>
          <w:lang w:val="en-US"/>
        </w:rPr>
        <w:t>Retirement benefit obligations (Pension schemes)</w:t>
      </w:r>
    </w:p>
    <w:p w:rsidR="00D31F42" w:rsidRPr="004A0958" w:rsidRDefault="00D31F42" w:rsidP="00F7611C">
      <w:pPr>
        <w:pStyle w:val="ListParagraph"/>
        <w:numPr>
          <w:ilvl w:val="0"/>
          <w:numId w:val="22"/>
        </w:numPr>
        <w:ind w:left="1080" w:firstLine="0"/>
        <w:contextualSpacing/>
        <w:jc w:val="both"/>
        <w:rPr>
          <w:rFonts w:ascii="Calibri" w:hAnsi="Calibri"/>
          <w:lang w:val="en-US"/>
        </w:rPr>
      </w:pPr>
      <w:r w:rsidRPr="004A0958">
        <w:rPr>
          <w:rFonts w:ascii="Calibri" w:hAnsi="Calibri"/>
          <w:lang w:val="en-US"/>
        </w:rPr>
        <w:t xml:space="preserve">Accounting policy revenue </w:t>
      </w:r>
    </w:p>
    <w:p w:rsidR="00D31F42" w:rsidRPr="004A0958" w:rsidRDefault="00D31F42" w:rsidP="00F7611C">
      <w:pPr>
        <w:pStyle w:val="ListParagraph"/>
        <w:numPr>
          <w:ilvl w:val="0"/>
          <w:numId w:val="22"/>
        </w:numPr>
        <w:ind w:left="1080" w:firstLine="0"/>
        <w:contextualSpacing/>
        <w:jc w:val="both"/>
        <w:rPr>
          <w:rFonts w:ascii="Calibri" w:hAnsi="Calibri"/>
          <w:lang w:val="en-US"/>
        </w:rPr>
      </w:pPr>
      <w:r w:rsidRPr="004A0958">
        <w:rPr>
          <w:rFonts w:ascii="Calibri" w:hAnsi="Calibri"/>
          <w:lang w:val="en-US"/>
        </w:rPr>
        <w:lastRenderedPageBreak/>
        <w:t>Disclosure Initiative (IAS1) –relevancy of accounting policies</w:t>
      </w:r>
    </w:p>
    <w:p w:rsidR="00D31F42" w:rsidRPr="004A0958" w:rsidRDefault="00D31F42" w:rsidP="00F7611C">
      <w:pPr>
        <w:pStyle w:val="ListParagraph"/>
        <w:numPr>
          <w:ilvl w:val="0"/>
          <w:numId w:val="22"/>
        </w:numPr>
        <w:ind w:left="1080" w:firstLine="0"/>
        <w:contextualSpacing/>
        <w:jc w:val="both"/>
        <w:rPr>
          <w:rFonts w:ascii="Calibri" w:hAnsi="Calibri"/>
          <w:lang w:val="en-US"/>
        </w:rPr>
      </w:pPr>
      <w:r w:rsidRPr="004A0958">
        <w:rPr>
          <w:rFonts w:ascii="Calibri" w:hAnsi="Calibri"/>
          <w:lang w:val="en-US"/>
        </w:rPr>
        <w:t>Any other material issues affecting the PIEs</w:t>
      </w:r>
    </w:p>
    <w:p w:rsidR="00D31F42" w:rsidRDefault="00D31F42" w:rsidP="00CB1362">
      <w:pPr>
        <w:tabs>
          <w:tab w:val="left" w:pos="450"/>
        </w:tabs>
        <w:ind w:left="1080"/>
        <w:jc w:val="both"/>
        <w:rPr>
          <w:rFonts w:ascii="Calibri" w:hAnsi="Calibri" w:cs="Arial"/>
        </w:rPr>
      </w:pPr>
    </w:p>
    <w:p w:rsidR="00D31F42" w:rsidRPr="004A0958" w:rsidRDefault="00D31F42" w:rsidP="00CB1362">
      <w:pPr>
        <w:tabs>
          <w:tab w:val="left" w:pos="450"/>
        </w:tabs>
        <w:ind w:left="1080"/>
        <w:jc w:val="both"/>
        <w:rPr>
          <w:rFonts w:ascii="Calibri" w:hAnsi="Calibri" w:cs="Arial"/>
        </w:rPr>
      </w:pPr>
      <w:r w:rsidRPr="004A0958">
        <w:rPr>
          <w:rFonts w:ascii="Calibri" w:hAnsi="Calibri" w:cs="Arial"/>
        </w:rPr>
        <w:t>Based on these focus</w:t>
      </w:r>
      <w:r>
        <w:rPr>
          <w:rFonts w:ascii="Calibri" w:hAnsi="Calibri" w:cs="Arial"/>
        </w:rPr>
        <w:t>ed</w:t>
      </w:r>
      <w:r w:rsidRPr="004A0958">
        <w:rPr>
          <w:rFonts w:ascii="Calibri" w:hAnsi="Calibri" w:cs="Arial"/>
        </w:rPr>
        <w:t xml:space="preserve"> areas, the following main non-compliances had been i</w:t>
      </w:r>
      <w:r>
        <w:rPr>
          <w:rFonts w:ascii="Calibri" w:hAnsi="Calibri" w:cs="Arial"/>
        </w:rPr>
        <w:t>dentified from the group review</w:t>
      </w:r>
      <w:r w:rsidRPr="004A0958">
        <w:rPr>
          <w:rFonts w:ascii="Calibri" w:hAnsi="Calibri" w:cs="Arial"/>
        </w:rPr>
        <w:t xml:space="preserve">: </w:t>
      </w:r>
    </w:p>
    <w:p w:rsidR="00D31F42" w:rsidRPr="00BF45F9" w:rsidRDefault="00D31F42" w:rsidP="0043355D">
      <w:pPr>
        <w:ind w:left="720"/>
        <w:jc w:val="both"/>
        <w:rPr>
          <w:rFonts w:ascii="Calibri" w:hAnsi="Calibri" w:cs="Arial"/>
          <w:sz w:val="20"/>
        </w:rPr>
      </w:pPr>
    </w:p>
    <w:p w:rsidR="00D31F42" w:rsidRPr="004A0958" w:rsidRDefault="00D31F42" w:rsidP="00F7611C">
      <w:pPr>
        <w:numPr>
          <w:ilvl w:val="1"/>
          <w:numId w:val="26"/>
        </w:numPr>
        <w:ind w:left="1530" w:hanging="450"/>
        <w:jc w:val="both"/>
        <w:rPr>
          <w:rFonts w:ascii="Calibri" w:hAnsi="Calibri" w:cs="Arial"/>
          <w:b/>
          <w:color w:val="000000"/>
        </w:rPr>
      </w:pPr>
      <w:r w:rsidRPr="004A0958">
        <w:rPr>
          <w:rFonts w:ascii="Calibri" w:hAnsi="Calibri" w:cs="Arial"/>
          <w:b/>
          <w:color w:val="000000"/>
        </w:rPr>
        <w:t xml:space="preserve">  </w:t>
      </w:r>
      <w:bookmarkStart w:id="3" w:name="OLE_LINK1"/>
      <w:r w:rsidRPr="004A0958">
        <w:rPr>
          <w:rFonts w:ascii="Calibri" w:hAnsi="Calibri" w:cs="Arial"/>
          <w:b/>
          <w:color w:val="000000"/>
        </w:rPr>
        <w:t xml:space="preserve">Compliances with regard to International Financial Reporting Standards </w:t>
      </w:r>
      <w:bookmarkEnd w:id="3"/>
      <w:r w:rsidRPr="004A0958">
        <w:rPr>
          <w:rFonts w:ascii="Calibri" w:hAnsi="Calibri" w:cs="Arial"/>
          <w:b/>
          <w:color w:val="000000"/>
        </w:rPr>
        <w:t>(IFRSs)</w:t>
      </w:r>
    </w:p>
    <w:p w:rsidR="00D31F42" w:rsidRPr="004A0958" w:rsidRDefault="00D31F42" w:rsidP="0043355D">
      <w:pPr>
        <w:jc w:val="both"/>
        <w:rPr>
          <w:rFonts w:ascii="Calibri" w:hAnsi="Calibri" w:cs="Arial"/>
          <w:lang w:val="en-US"/>
        </w:rPr>
      </w:pPr>
    </w:p>
    <w:p w:rsidR="00D31F42" w:rsidRPr="004A0958" w:rsidRDefault="00D31F42" w:rsidP="00F7611C">
      <w:pPr>
        <w:numPr>
          <w:ilvl w:val="0"/>
          <w:numId w:val="20"/>
        </w:numPr>
        <w:tabs>
          <w:tab w:val="left" w:pos="1980"/>
        </w:tabs>
        <w:ind w:left="1800" w:hanging="180"/>
        <w:jc w:val="both"/>
        <w:rPr>
          <w:rFonts w:ascii="Calibri" w:hAnsi="Calibri"/>
          <w:lang w:val="en-US"/>
        </w:rPr>
      </w:pPr>
      <w:r w:rsidRPr="004A0958">
        <w:rPr>
          <w:rFonts w:ascii="Calibri" w:hAnsi="Calibri"/>
          <w:lang w:val="en-US"/>
        </w:rPr>
        <w:t xml:space="preserve">  IAS</w:t>
      </w:r>
      <w:r w:rsidRPr="004A0958">
        <w:rPr>
          <w:rFonts w:ascii="Calibri" w:hAnsi="Calibri" w:cs="Arial"/>
          <w:lang w:val="en-US"/>
        </w:rPr>
        <w:t xml:space="preserve"> 1, Presentation of Financial Statements</w:t>
      </w:r>
    </w:p>
    <w:p w:rsidR="00D31F42" w:rsidRPr="004A0958" w:rsidRDefault="00D31F42" w:rsidP="009F76B7">
      <w:pPr>
        <w:ind w:left="1080"/>
        <w:jc w:val="both"/>
        <w:rPr>
          <w:rFonts w:ascii="Calibri" w:hAnsi="Calibri"/>
          <w:lang w:val="en-US"/>
        </w:rPr>
      </w:pPr>
    </w:p>
    <w:p w:rsidR="00D31F42" w:rsidRDefault="00D31F42" w:rsidP="00CB1362">
      <w:pPr>
        <w:ind w:left="2070"/>
        <w:jc w:val="both"/>
        <w:rPr>
          <w:rFonts w:ascii="Calibri" w:hAnsi="Calibri"/>
          <w:b/>
          <w:lang w:val="en-US"/>
        </w:rPr>
      </w:pPr>
      <w:r w:rsidRPr="004A0958">
        <w:rPr>
          <w:rFonts w:ascii="Calibri" w:hAnsi="Calibri"/>
          <w:b/>
          <w:lang w:val="en-US"/>
        </w:rPr>
        <w:t xml:space="preserve">FRC </w:t>
      </w:r>
      <w:r>
        <w:rPr>
          <w:rFonts w:ascii="Calibri" w:hAnsi="Calibri"/>
          <w:b/>
          <w:lang w:val="en-US"/>
        </w:rPr>
        <w:t>informed</w:t>
      </w:r>
      <w:r w:rsidRPr="004A0958">
        <w:rPr>
          <w:rFonts w:ascii="Calibri" w:hAnsi="Calibri"/>
          <w:b/>
          <w:lang w:val="en-US"/>
        </w:rPr>
        <w:t xml:space="preserve"> </w:t>
      </w:r>
      <w:r w:rsidRPr="004A0958">
        <w:rPr>
          <w:rFonts w:ascii="Calibri" w:hAnsi="Calibri"/>
          <w:b/>
        </w:rPr>
        <w:t>7 PIEs</w:t>
      </w:r>
      <w:r w:rsidRPr="004A0958">
        <w:rPr>
          <w:rFonts w:ascii="Calibri" w:hAnsi="Calibri"/>
        </w:rPr>
        <w:t xml:space="preserve"> [2 listed in Others, 1 regulated by FSC and 4 PIEs in Category 4] </w:t>
      </w:r>
      <w:r w:rsidRPr="004A0958">
        <w:rPr>
          <w:rFonts w:ascii="Calibri" w:hAnsi="Calibri"/>
          <w:b/>
        </w:rPr>
        <w:t>within the group</w:t>
      </w:r>
      <w:r>
        <w:rPr>
          <w:rFonts w:ascii="Calibri" w:hAnsi="Calibri" w:cs="Arial"/>
        </w:rPr>
        <w:t xml:space="preserve"> </w:t>
      </w:r>
      <w:r w:rsidRPr="00ED5BE2">
        <w:rPr>
          <w:rFonts w:ascii="Calibri" w:hAnsi="Calibri" w:cs="Arial"/>
          <w:b/>
        </w:rPr>
        <w:t xml:space="preserve">of </w:t>
      </w:r>
      <w:r>
        <w:rPr>
          <w:rFonts w:ascii="Calibri" w:hAnsi="Calibri"/>
          <w:b/>
          <w:lang w:val="en-US"/>
        </w:rPr>
        <w:t>non-compliances</w:t>
      </w:r>
      <w:r w:rsidRPr="004A0958">
        <w:rPr>
          <w:rFonts w:ascii="Calibri" w:hAnsi="Calibri"/>
          <w:b/>
          <w:lang w:val="en-US"/>
        </w:rPr>
        <w:t xml:space="preserve"> in respect of </w:t>
      </w:r>
      <w:r>
        <w:rPr>
          <w:rFonts w:ascii="Calibri" w:hAnsi="Calibri"/>
          <w:b/>
          <w:lang w:val="en-US"/>
        </w:rPr>
        <w:t xml:space="preserve">the following requirements of </w:t>
      </w:r>
      <w:r w:rsidRPr="004A0958">
        <w:rPr>
          <w:rFonts w:ascii="Calibri" w:hAnsi="Calibri"/>
          <w:b/>
          <w:lang w:val="en-US"/>
        </w:rPr>
        <w:t>IAS 1:</w:t>
      </w:r>
    </w:p>
    <w:p w:rsidR="00D31F42" w:rsidRPr="004A0958" w:rsidRDefault="00D31F42" w:rsidP="00CB1362">
      <w:pPr>
        <w:ind w:left="2070"/>
        <w:jc w:val="both"/>
        <w:rPr>
          <w:rFonts w:ascii="Calibri" w:hAnsi="Calibri"/>
          <w:b/>
          <w:lang w:val="en-US"/>
        </w:rPr>
      </w:pPr>
    </w:p>
    <w:p w:rsidR="00D31F42" w:rsidRPr="004A0958" w:rsidRDefault="00D31F42" w:rsidP="00F7611C">
      <w:pPr>
        <w:numPr>
          <w:ilvl w:val="0"/>
          <w:numId w:val="19"/>
        </w:numPr>
        <w:tabs>
          <w:tab w:val="left" w:pos="2340"/>
        </w:tabs>
        <w:ind w:left="2340" w:hanging="270"/>
        <w:jc w:val="both"/>
        <w:rPr>
          <w:rFonts w:ascii="Calibri" w:hAnsi="Calibri"/>
          <w:lang w:val="en-US"/>
        </w:rPr>
      </w:pPr>
      <w:r w:rsidRPr="004A0958">
        <w:rPr>
          <w:rFonts w:ascii="Calibri" w:hAnsi="Calibri"/>
          <w:lang w:val="en-US"/>
        </w:rPr>
        <w:t>Accounting policies on borrowing costs,</w:t>
      </w:r>
      <w:r w:rsidRPr="004A0958">
        <w:rPr>
          <w:rFonts w:ascii="Calibri" w:hAnsi="Calibri"/>
        </w:rPr>
        <w:t xml:space="preserve"> </w:t>
      </w:r>
      <w:r w:rsidRPr="004A0958">
        <w:rPr>
          <w:rFonts w:ascii="Calibri" w:hAnsi="Calibri"/>
          <w:lang w:val="en-US"/>
        </w:rPr>
        <w:t>revenue, redemption of shares and interest income;</w:t>
      </w:r>
    </w:p>
    <w:p w:rsidR="00D31F42" w:rsidRPr="004A0958" w:rsidRDefault="00D31F42" w:rsidP="00F7611C">
      <w:pPr>
        <w:numPr>
          <w:ilvl w:val="0"/>
          <w:numId w:val="19"/>
        </w:numPr>
        <w:tabs>
          <w:tab w:val="left" w:pos="2340"/>
        </w:tabs>
        <w:ind w:left="2340" w:hanging="270"/>
        <w:jc w:val="both"/>
        <w:rPr>
          <w:rFonts w:ascii="Calibri" w:hAnsi="Calibri"/>
          <w:lang w:val="en-US"/>
        </w:rPr>
      </w:pPr>
      <w:r w:rsidRPr="004A0958">
        <w:rPr>
          <w:rFonts w:ascii="Calibri" w:hAnsi="Calibri"/>
          <w:lang w:val="en-US"/>
        </w:rPr>
        <w:t>Detailed information on rental income, other income and subordinated loan;</w:t>
      </w:r>
    </w:p>
    <w:p w:rsidR="00D31F42" w:rsidRPr="004A0958" w:rsidRDefault="00D31F42" w:rsidP="00F7611C">
      <w:pPr>
        <w:numPr>
          <w:ilvl w:val="0"/>
          <w:numId w:val="19"/>
        </w:numPr>
        <w:tabs>
          <w:tab w:val="left" w:pos="2340"/>
        </w:tabs>
        <w:ind w:left="2340" w:hanging="270"/>
        <w:jc w:val="both"/>
        <w:rPr>
          <w:rFonts w:ascii="Calibri" w:hAnsi="Calibri"/>
          <w:lang w:val="en-US"/>
        </w:rPr>
      </w:pPr>
      <w:r w:rsidRPr="004A0958">
        <w:rPr>
          <w:rFonts w:ascii="Calibri" w:hAnsi="Calibri"/>
          <w:lang w:val="en-US"/>
        </w:rPr>
        <w:t>Description of the nature and purpose of each reserve within equity; and</w:t>
      </w:r>
    </w:p>
    <w:p w:rsidR="00D31F42" w:rsidRPr="004A0958" w:rsidRDefault="00D31F42" w:rsidP="00F7611C">
      <w:pPr>
        <w:numPr>
          <w:ilvl w:val="0"/>
          <w:numId w:val="19"/>
        </w:numPr>
        <w:tabs>
          <w:tab w:val="left" w:pos="2340"/>
        </w:tabs>
        <w:ind w:left="2340" w:hanging="270"/>
        <w:jc w:val="both"/>
        <w:rPr>
          <w:rFonts w:ascii="Calibri" w:hAnsi="Calibri"/>
          <w:lang w:val="en-US"/>
        </w:rPr>
      </w:pPr>
      <w:r w:rsidRPr="004A0958">
        <w:rPr>
          <w:rFonts w:ascii="Calibri" w:hAnsi="Calibri"/>
          <w:lang w:val="en-US"/>
        </w:rPr>
        <w:t>Description of items grouped under items that will not be reclassified to P&amp;L.</w:t>
      </w:r>
    </w:p>
    <w:p w:rsidR="00D31F42" w:rsidRPr="004A0958" w:rsidRDefault="00D31F42" w:rsidP="00DD3E4D">
      <w:pPr>
        <w:jc w:val="both"/>
        <w:rPr>
          <w:rFonts w:ascii="Calibri" w:hAnsi="Calibri"/>
          <w:lang w:val="en-US"/>
        </w:rPr>
      </w:pPr>
    </w:p>
    <w:p w:rsidR="00D31F42" w:rsidRPr="004A0958" w:rsidRDefault="00D31F42" w:rsidP="00F7611C">
      <w:pPr>
        <w:numPr>
          <w:ilvl w:val="0"/>
          <w:numId w:val="20"/>
        </w:numPr>
        <w:tabs>
          <w:tab w:val="left" w:pos="2070"/>
        </w:tabs>
        <w:ind w:left="1800" w:hanging="180"/>
        <w:jc w:val="both"/>
        <w:rPr>
          <w:rFonts w:ascii="Calibri" w:hAnsi="Calibri"/>
          <w:lang w:val="en-US"/>
        </w:rPr>
      </w:pPr>
      <w:r w:rsidRPr="004A0958">
        <w:rPr>
          <w:rFonts w:ascii="Calibri" w:hAnsi="Calibri"/>
          <w:lang w:val="en-US"/>
        </w:rPr>
        <w:t>IAS 17, Leases</w:t>
      </w:r>
    </w:p>
    <w:p w:rsidR="00D31F42" w:rsidRPr="004A0958" w:rsidRDefault="00D31F42" w:rsidP="00783DB1">
      <w:pPr>
        <w:ind w:left="1080"/>
        <w:jc w:val="both"/>
        <w:rPr>
          <w:rFonts w:ascii="Calibri" w:hAnsi="Calibri"/>
          <w:lang w:val="en-US"/>
        </w:rPr>
      </w:pPr>
    </w:p>
    <w:p w:rsidR="00D31F42" w:rsidRPr="004A0958" w:rsidRDefault="00D31F42" w:rsidP="00CB1362">
      <w:pPr>
        <w:tabs>
          <w:tab w:val="left" w:pos="2070"/>
        </w:tabs>
        <w:ind w:left="2070"/>
        <w:jc w:val="both"/>
        <w:rPr>
          <w:rFonts w:ascii="Calibri" w:hAnsi="Calibri"/>
          <w:lang w:val="en-US"/>
        </w:rPr>
      </w:pPr>
      <w:r w:rsidRPr="004A0958">
        <w:rPr>
          <w:rFonts w:ascii="Calibri" w:hAnsi="Calibri"/>
          <w:b/>
          <w:lang w:val="en-US"/>
        </w:rPr>
        <w:t>FRC raised IAS 17</w:t>
      </w:r>
      <w:r>
        <w:rPr>
          <w:rFonts w:ascii="Calibri" w:hAnsi="Calibri"/>
          <w:b/>
          <w:lang w:val="en-US"/>
        </w:rPr>
        <w:t xml:space="preserve"> issues </w:t>
      </w:r>
      <w:r w:rsidRPr="004A0958">
        <w:rPr>
          <w:rFonts w:ascii="Calibri" w:hAnsi="Calibri"/>
          <w:b/>
          <w:lang w:val="en-US"/>
        </w:rPr>
        <w:t>for 3 PIEs</w:t>
      </w:r>
      <w:r w:rsidRPr="004A0958">
        <w:rPr>
          <w:rFonts w:ascii="Calibri" w:hAnsi="Calibri"/>
          <w:lang w:val="en-US"/>
        </w:rPr>
        <w:t xml:space="preserve"> [1 listed in Investment and 2 PIEs in Category 4] </w:t>
      </w:r>
      <w:r w:rsidRPr="004A0958">
        <w:rPr>
          <w:rFonts w:ascii="Calibri" w:hAnsi="Calibri"/>
          <w:b/>
          <w:lang w:val="en-US"/>
        </w:rPr>
        <w:t xml:space="preserve">within the group, </w:t>
      </w:r>
      <w:r>
        <w:rPr>
          <w:rFonts w:ascii="Calibri" w:hAnsi="Calibri"/>
          <w:b/>
          <w:lang w:val="en-US"/>
        </w:rPr>
        <w:t>with regard to the following</w:t>
      </w:r>
      <w:r w:rsidRPr="004A0958">
        <w:rPr>
          <w:rFonts w:ascii="Calibri" w:hAnsi="Calibri"/>
          <w:b/>
          <w:lang w:val="en-US"/>
        </w:rPr>
        <w:t>:</w:t>
      </w:r>
    </w:p>
    <w:p w:rsidR="00D31F42" w:rsidRPr="004A0958" w:rsidRDefault="00D31F42" w:rsidP="00656178">
      <w:pPr>
        <w:tabs>
          <w:tab w:val="left" w:pos="2070"/>
        </w:tabs>
        <w:ind w:left="2070" w:hanging="180"/>
        <w:jc w:val="both"/>
        <w:rPr>
          <w:rFonts w:ascii="Calibri" w:hAnsi="Calibri"/>
          <w:lang w:val="en-US"/>
        </w:rPr>
      </w:pPr>
    </w:p>
    <w:p w:rsidR="00D31F42" w:rsidRPr="004A0958" w:rsidRDefault="00D31F42" w:rsidP="00F7611C">
      <w:pPr>
        <w:numPr>
          <w:ilvl w:val="0"/>
          <w:numId w:val="19"/>
        </w:numPr>
        <w:tabs>
          <w:tab w:val="left" w:pos="2340"/>
        </w:tabs>
        <w:ind w:left="2340" w:hanging="270"/>
        <w:jc w:val="both"/>
        <w:rPr>
          <w:rFonts w:ascii="Calibri" w:hAnsi="Calibri"/>
          <w:lang w:val="en-US"/>
        </w:rPr>
      </w:pPr>
      <w:r w:rsidRPr="004A0958">
        <w:rPr>
          <w:rFonts w:ascii="Calibri" w:hAnsi="Calibri"/>
          <w:lang w:val="en-US"/>
        </w:rPr>
        <w:t>Description of the lessor’s material leasing arrangements; and</w:t>
      </w:r>
    </w:p>
    <w:p w:rsidR="00D31F42" w:rsidRPr="004A0958" w:rsidRDefault="00D31F42" w:rsidP="00F7611C">
      <w:pPr>
        <w:numPr>
          <w:ilvl w:val="0"/>
          <w:numId w:val="19"/>
        </w:numPr>
        <w:tabs>
          <w:tab w:val="left" w:pos="2340"/>
        </w:tabs>
        <w:ind w:left="2340" w:hanging="270"/>
        <w:jc w:val="both"/>
        <w:rPr>
          <w:rFonts w:ascii="Calibri" w:hAnsi="Calibri"/>
          <w:lang w:val="en-US"/>
        </w:rPr>
      </w:pPr>
      <w:r w:rsidRPr="004A0958">
        <w:rPr>
          <w:rFonts w:ascii="Calibri" w:hAnsi="Calibri"/>
          <w:lang w:val="en-US"/>
        </w:rPr>
        <w:t>Breakdown of the future minimum lease payments under non-cancellable operating leases.</w:t>
      </w:r>
    </w:p>
    <w:p w:rsidR="00D31F42" w:rsidRPr="004A0958" w:rsidRDefault="00D31F42" w:rsidP="00DD3E4D">
      <w:pPr>
        <w:tabs>
          <w:tab w:val="left" w:pos="2070"/>
        </w:tabs>
        <w:ind w:left="1890" w:hanging="180"/>
        <w:jc w:val="both"/>
        <w:rPr>
          <w:rFonts w:ascii="Calibri" w:hAnsi="Calibri"/>
          <w:lang w:val="en-US"/>
        </w:rPr>
      </w:pPr>
    </w:p>
    <w:p w:rsidR="00D31F42" w:rsidRPr="004A0958" w:rsidRDefault="00D31F42" w:rsidP="00F7611C">
      <w:pPr>
        <w:numPr>
          <w:ilvl w:val="0"/>
          <w:numId w:val="20"/>
        </w:numPr>
        <w:tabs>
          <w:tab w:val="left" w:pos="2070"/>
        </w:tabs>
        <w:ind w:left="1800" w:hanging="180"/>
        <w:jc w:val="both"/>
        <w:rPr>
          <w:rFonts w:ascii="Calibri" w:hAnsi="Calibri"/>
          <w:lang w:val="en-US"/>
        </w:rPr>
      </w:pPr>
      <w:r w:rsidRPr="004A0958">
        <w:rPr>
          <w:rFonts w:ascii="Calibri" w:hAnsi="Calibri"/>
          <w:lang w:val="en-US"/>
        </w:rPr>
        <w:t>IAS 19, Employee Benefits</w:t>
      </w:r>
    </w:p>
    <w:p w:rsidR="00D31F42" w:rsidRPr="004A0958" w:rsidRDefault="00D31F42" w:rsidP="00AF70A8">
      <w:pPr>
        <w:ind w:left="1080"/>
        <w:jc w:val="both"/>
        <w:rPr>
          <w:rFonts w:ascii="Calibri" w:hAnsi="Calibri"/>
          <w:lang w:val="en-US"/>
        </w:rPr>
      </w:pPr>
    </w:p>
    <w:p w:rsidR="00D31F42" w:rsidRPr="004A0958" w:rsidRDefault="00D31F42" w:rsidP="00CB1362">
      <w:pPr>
        <w:tabs>
          <w:tab w:val="left" w:pos="1620"/>
          <w:tab w:val="left" w:pos="1710"/>
        </w:tabs>
        <w:ind w:left="2070"/>
        <w:jc w:val="both"/>
        <w:rPr>
          <w:rFonts w:ascii="Calibri" w:hAnsi="Calibri"/>
          <w:lang w:val="en-US"/>
        </w:rPr>
      </w:pPr>
      <w:r w:rsidRPr="004A0958">
        <w:rPr>
          <w:rFonts w:ascii="Calibri" w:hAnsi="Calibri"/>
          <w:b/>
          <w:lang w:val="en-US"/>
        </w:rPr>
        <w:t>With regard to IAS 19</w:t>
      </w:r>
      <w:r>
        <w:rPr>
          <w:rFonts w:ascii="Calibri" w:hAnsi="Calibri"/>
          <w:b/>
          <w:lang w:val="en-US"/>
        </w:rPr>
        <w:t xml:space="preserve">, </w:t>
      </w:r>
      <w:r w:rsidRPr="004A0958">
        <w:rPr>
          <w:rFonts w:ascii="Calibri" w:hAnsi="Calibri"/>
          <w:b/>
          <w:lang w:val="en-US"/>
        </w:rPr>
        <w:t>FRC queried 6 PIEs</w:t>
      </w:r>
      <w:r w:rsidRPr="004A0958">
        <w:rPr>
          <w:rFonts w:ascii="Calibri" w:hAnsi="Calibri"/>
          <w:lang w:val="en-US"/>
        </w:rPr>
        <w:t xml:space="preserve"> [2 listed in Investment and 4 PIEs in Category 4] </w:t>
      </w:r>
      <w:r w:rsidRPr="004A0958">
        <w:rPr>
          <w:rFonts w:ascii="Calibri" w:hAnsi="Calibri"/>
          <w:b/>
          <w:lang w:val="en-US"/>
        </w:rPr>
        <w:t>reviewed within the group</w:t>
      </w:r>
      <w:r w:rsidRPr="004A0958">
        <w:rPr>
          <w:rFonts w:ascii="Calibri" w:hAnsi="Calibri"/>
          <w:lang w:val="en-US"/>
        </w:rPr>
        <w:t xml:space="preserve"> </w:t>
      </w:r>
      <w:r w:rsidRPr="004A0958">
        <w:rPr>
          <w:rFonts w:ascii="Calibri" w:hAnsi="Calibri"/>
          <w:b/>
          <w:lang w:val="en-US"/>
        </w:rPr>
        <w:t>in respect of the following:</w:t>
      </w:r>
    </w:p>
    <w:p w:rsidR="00D31F42" w:rsidRPr="004A0958" w:rsidRDefault="00D31F42" w:rsidP="00656178">
      <w:pPr>
        <w:tabs>
          <w:tab w:val="left" w:pos="1620"/>
          <w:tab w:val="left" w:pos="1710"/>
        </w:tabs>
        <w:ind w:left="1800"/>
        <w:jc w:val="both"/>
        <w:rPr>
          <w:rFonts w:ascii="Calibri" w:hAnsi="Calibri"/>
          <w:lang w:val="en-US"/>
        </w:rPr>
      </w:pPr>
    </w:p>
    <w:p w:rsidR="00D31F42" w:rsidRPr="004A0958" w:rsidRDefault="00D31F42" w:rsidP="00F7611C">
      <w:pPr>
        <w:numPr>
          <w:ilvl w:val="0"/>
          <w:numId w:val="19"/>
        </w:numPr>
        <w:tabs>
          <w:tab w:val="left" w:pos="2340"/>
        </w:tabs>
        <w:ind w:left="2340" w:hanging="270"/>
        <w:jc w:val="both"/>
        <w:rPr>
          <w:rFonts w:ascii="Calibri" w:hAnsi="Calibri"/>
          <w:lang w:val="en-US"/>
        </w:rPr>
      </w:pPr>
      <w:r w:rsidRPr="004A0958">
        <w:rPr>
          <w:rFonts w:ascii="Calibri" w:hAnsi="Calibri"/>
          <w:lang w:val="en-US"/>
        </w:rPr>
        <w:t>The significant risks to which the entity was exposed through its defined benefit plan;</w:t>
      </w:r>
    </w:p>
    <w:p w:rsidR="00D31F42" w:rsidRPr="004A0958" w:rsidRDefault="00D31F42" w:rsidP="000B315F">
      <w:pPr>
        <w:numPr>
          <w:ilvl w:val="0"/>
          <w:numId w:val="19"/>
        </w:numPr>
        <w:tabs>
          <w:tab w:val="left" w:pos="2340"/>
        </w:tabs>
        <w:ind w:left="2340" w:hanging="270"/>
        <w:jc w:val="both"/>
        <w:rPr>
          <w:rFonts w:ascii="Calibri" w:hAnsi="Calibri"/>
          <w:lang w:val="en-US"/>
        </w:rPr>
      </w:pPr>
      <w:r w:rsidRPr="004A0958">
        <w:rPr>
          <w:rFonts w:ascii="Calibri" w:hAnsi="Calibri"/>
          <w:lang w:val="en-US"/>
        </w:rPr>
        <w:lastRenderedPageBreak/>
        <w:t>Explanation of amounts in the financial statements for present value of the defined benefit obligation;</w:t>
      </w:r>
    </w:p>
    <w:p w:rsidR="00D31F42" w:rsidRPr="004A0958" w:rsidRDefault="00D31F42" w:rsidP="00F7611C">
      <w:pPr>
        <w:numPr>
          <w:ilvl w:val="0"/>
          <w:numId w:val="19"/>
        </w:numPr>
        <w:tabs>
          <w:tab w:val="left" w:pos="2340"/>
        </w:tabs>
        <w:ind w:left="2340" w:hanging="270"/>
        <w:jc w:val="both"/>
        <w:rPr>
          <w:rFonts w:ascii="Calibri" w:hAnsi="Calibri"/>
          <w:lang w:val="en-US"/>
        </w:rPr>
      </w:pPr>
      <w:r w:rsidRPr="004A0958">
        <w:rPr>
          <w:rFonts w:ascii="Calibri" w:hAnsi="Calibri"/>
          <w:lang w:val="en-US"/>
        </w:rPr>
        <w:t>Description of any funding arrangements and funding policy that affect future contributions and the expected contributions to the plan for the next annual reporting period; and</w:t>
      </w:r>
    </w:p>
    <w:p w:rsidR="00D31F42" w:rsidRPr="004A0958" w:rsidRDefault="00D31F42" w:rsidP="00F7611C">
      <w:pPr>
        <w:numPr>
          <w:ilvl w:val="0"/>
          <w:numId w:val="19"/>
        </w:numPr>
        <w:tabs>
          <w:tab w:val="left" w:pos="2340"/>
        </w:tabs>
        <w:ind w:left="2340" w:hanging="270"/>
        <w:jc w:val="both"/>
        <w:rPr>
          <w:rFonts w:ascii="Calibri" w:hAnsi="Calibri"/>
          <w:lang w:val="en-US"/>
        </w:rPr>
      </w:pPr>
      <w:r w:rsidRPr="004A0958">
        <w:rPr>
          <w:rFonts w:ascii="Calibri" w:hAnsi="Calibri"/>
          <w:lang w:val="en-US"/>
        </w:rPr>
        <w:t xml:space="preserve">Sensitivity analysis for actuarial assumption. </w:t>
      </w:r>
    </w:p>
    <w:p w:rsidR="00D31F42" w:rsidRPr="00BF45F9" w:rsidRDefault="00D31F42" w:rsidP="00656178">
      <w:pPr>
        <w:tabs>
          <w:tab w:val="left" w:pos="2340"/>
        </w:tabs>
        <w:ind w:left="2340"/>
        <w:jc w:val="both"/>
        <w:rPr>
          <w:rFonts w:ascii="Calibri" w:hAnsi="Calibri"/>
          <w:sz w:val="20"/>
          <w:lang w:val="en-US"/>
        </w:rPr>
      </w:pPr>
    </w:p>
    <w:p w:rsidR="00D31F42" w:rsidRPr="004A0958" w:rsidRDefault="00D31F42" w:rsidP="00F7611C">
      <w:pPr>
        <w:numPr>
          <w:ilvl w:val="0"/>
          <w:numId w:val="20"/>
        </w:numPr>
        <w:tabs>
          <w:tab w:val="left" w:pos="2070"/>
        </w:tabs>
        <w:ind w:left="1800" w:hanging="180"/>
        <w:jc w:val="both"/>
        <w:rPr>
          <w:rFonts w:ascii="Calibri" w:hAnsi="Calibri"/>
          <w:lang w:val="en-US"/>
        </w:rPr>
      </w:pPr>
      <w:r w:rsidRPr="004A0958">
        <w:rPr>
          <w:rFonts w:ascii="Calibri" w:hAnsi="Calibri"/>
          <w:lang w:val="en-US"/>
        </w:rPr>
        <w:t>IAS 24, Related Parties</w:t>
      </w:r>
    </w:p>
    <w:p w:rsidR="00D31F42" w:rsidRPr="00BF45F9" w:rsidRDefault="00D31F42" w:rsidP="00745C32">
      <w:pPr>
        <w:jc w:val="both"/>
        <w:rPr>
          <w:rFonts w:ascii="Calibri" w:hAnsi="Calibri"/>
          <w:sz w:val="20"/>
          <w:lang w:val="en-US"/>
        </w:rPr>
      </w:pPr>
    </w:p>
    <w:p w:rsidR="00D31F42" w:rsidRPr="004A0958" w:rsidRDefault="00D31F42" w:rsidP="00CB1362">
      <w:pPr>
        <w:ind w:left="2070"/>
        <w:jc w:val="both"/>
        <w:rPr>
          <w:rFonts w:ascii="Calibri" w:hAnsi="Calibri"/>
          <w:lang w:val="en-US"/>
        </w:rPr>
      </w:pPr>
      <w:r w:rsidRPr="004A0958">
        <w:rPr>
          <w:rFonts w:ascii="Calibri" w:hAnsi="Calibri"/>
          <w:b/>
          <w:lang w:val="en-US"/>
        </w:rPr>
        <w:t xml:space="preserve">FRC </w:t>
      </w:r>
      <w:r>
        <w:rPr>
          <w:rFonts w:ascii="Calibri" w:hAnsi="Calibri"/>
          <w:b/>
          <w:lang w:val="en-US"/>
        </w:rPr>
        <w:t>informed</w:t>
      </w:r>
      <w:r w:rsidRPr="004A0958">
        <w:rPr>
          <w:rFonts w:ascii="Calibri" w:hAnsi="Calibri"/>
          <w:b/>
          <w:lang w:val="en-US"/>
        </w:rPr>
        <w:t xml:space="preserve"> 5 PIEs in the group</w:t>
      </w:r>
      <w:r w:rsidRPr="004A0958">
        <w:rPr>
          <w:rFonts w:ascii="Calibri" w:hAnsi="Calibri"/>
          <w:lang w:val="en-US"/>
        </w:rPr>
        <w:t xml:space="preserve"> [2 listed (1 Investment and 1 Others) and 3 PIEs in Category 4]</w:t>
      </w:r>
      <w:r w:rsidRPr="008F08D2">
        <w:rPr>
          <w:rFonts w:ascii="Calibri" w:hAnsi="Calibri"/>
          <w:b/>
          <w:lang w:val="en-US"/>
        </w:rPr>
        <w:t xml:space="preserve"> of issues</w:t>
      </w:r>
      <w:r>
        <w:rPr>
          <w:rFonts w:ascii="Calibri" w:hAnsi="Calibri"/>
          <w:b/>
          <w:lang w:val="en-US"/>
        </w:rPr>
        <w:t xml:space="preserve"> relating to</w:t>
      </w:r>
      <w:r w:rsidRPr="004A0958">
        <w:rPr>
          <w:rFonts w:ascii="Calibri" w:hAnsi="Calibri"/>
          <w:b/>
          <w:lang w:val="en-US"/>
        </w:rPr>
        <w:t xml:space="preserve"> IAS 24</w:t>
      </w:r>
      <w:r>
        <w:rPr>
          <w:rFonts w:ascii="Calibri" w:hAnsi="Calibri"/>
          <w:b/>
          <w:lang w:val="en-US"/>
        </w:rPr>
        <w:t xml:space="preserve"> requirements:</w:t>
      </w:r>
    </w:p>
    <w:p w:rsidR="00D31F42" w:rsidRPr="004A0958" w:rsidRDefault="00D31F42" w:rsidP="00CB1362">
      <w:pPr>
        <w:ind w:left="2070"/>
        <w:jc w:val="both"/>
        <w:rPr>
          <w:rFonts w:ascii="Calibri" w:hAnsi="Calibri"/>
          <w:lang w:val="en-US"/>
        </w:rPr>
      </w:pPr>
    </w:p>
    <w:p w:rsidR="00D31F42" w:rsidRPr="004A0958" w:rsidRDefault="00D31F42" w:rsidP="00F7611C">
      <w:pPr>
        <w:numPr>
          <w:ilvl w:val="0"/>
          <w:numId w:val="19"/>
        </w:numPr>
        <w:tabs>
          <w:tab w:val="left" w:pos="2340"/>
        </w:tabs>
        <w:ind w:left="2340" w:hanging="270"/>
        <w:jc w:val="both"/>
        <w:rPr>
          <w:rFonts w:ascii="Calibri" w:hAnsi="Calibri"/>
          <w:lang w:val="en-US"/>
        </w:rPr>
      </w:pPr>
      <w:r w:rsidRPr="004A0958">
        <w:rPr>
          <w:rFonts w:ascii="Calibri" w:hAnsi="Calibri"/>
          <w:lang w:val="en-US"/>
        </w:rPr>
        <w:t>Classification of key management compensation; and</w:t>
      </w:r>
    </w:p>
    <w:p w:rsidR="00D31F42" w:rsidRPr="004A0958" w:rsidRDefault="00D31F42" w:rsidP="00F7611C">
      <w:pPr>
        <w:numPr>
          <w:ilvl w:val="0"/>
          <w:numId w:val="19"/>
        </w:numPr>
        <w:tabs>
          <w:tab w:val="left" w:pos="2340"/>
        </w:tabs>
        <w:ind w:left="2340" w:hanging="270"/>
        <w:jc w:val="both"/>
        <w:rPr>
          <w:rFonts w:ascii="Calibri" w:hAnsi="Calibri"/>
          <w:lang w:val="en-US"/>
        </w:rPr>
      </w:pPr>
      <w:r w:rsidRPr="004A0958">
        <w:rPr>
          <w:rFonts w:ascii="Calibri" w:hAnsi="Calibri"/>
          <w:lang w:val="en-US"/>
        </w:rPr>
        <w:t>Nature and purpose of management fees.</w:t>
      </w:r>
    </w:p>
    <w:p w:rsidR="00D31F42" w:rsidRPr="00BF45F9" w:rsidRDefault="00D31F42" w:rsidP="00656178">
      <w:pPr>
        <w:ind w:left="2250" w:hanging="360"/>
        <w:jc w:val="both"/>
        <w:rPr>
          <w:rFonts w:ascii="Calibri" w:hAnsi="Calibri"/>
          <w:sz w:val="20"/>
          <w:lang w:val="en-US"/>
        </w:rPr>
      </w:pPr>
    </w:p>
    <w:p w:rsidR="00D31F42" w:rsidRPr="004A0958" w:rsidRDefault="00D31F42" w:rsidP="00F7611C">
      <w:pPr>
        <w:numPr>
          <w:ilvl w:val="0"/>
          <w:numId w:val="20"/>
        </w:numPr>
        <w:tabs>
          <w:tab w:val="left" w:pos="2070"/>
        </w:tabs>
        <w:ind w:left="1800" w:hanging="180"/>
        <w:jc w:val="both"/>
        <w:rPr>
          <w:rFonts w:ascii="Calibri" w:hAnsi="Calibri"/>
          <w:lang w:val="en-US"/>
        </w:rPr>
      </w:pPr>
      <w:r w:rsidRPr="004A0958">
        <w:rPr>
          <w:rFonts w:ascii="Calibri" w:hAnsi="Calibri"/>
          <w:lang w:val="en-US"/>
        </w:rPr>
        <w:t>IFRS 3, Business Combinations</w:t>
      </w:r>
    </w:p>
    <w:p w:rsidR="00D31F42" w:rsidRPr="004A0958" w:rsidRDefault="00D31F42" w:rsidP="00745C32">
      <w:pPr>
        <w:ind w:left="1080"/>
        <w:jc w:val="both"/>
        <w:rPr>
          <w:rFonts w:ascii="Calibri" w:hAnsi="Calibri"/>
        </w:rPr>
      </w:pPr>
    </w:p>
    <w:p w:rsidR="00D31F42" w:rsidRPr="004A0958" w:rsidRDefault="00D31F42" w:rsidP="00CB1362">
      <w:pPr>
        <w:ind w:left="2070"/>
        <w:jc w:val="both"/>
        <w:rPr>
          <w:rFonts w:ascii="Calibri" w:hAnsi="Calibri"/>
          <w:b/>
        </w:rPr>
      </w:pPr>
      <w:r w:rsidRPr="004A0958">
        <w:rPr>
          <w:rFonts w:ascii="Calibri" w:hAnsi="Calibri"/>
          <w:b/>
        </w:rPr>
        <w:t xml:space="preserve">FRC observed that 2 listed PIEs </w:t>
      </w:r>
      <w:r w:rsidRPr="004A0958">
        <w:rPr>
          <w:rFonts w:ascii="Calibri" w:hAnsi="Calibri"/>
        </w:rPr>
        <w:t>involved in the Investment sector</w:t>
      </w:r>
      <w:r w:rsidRPr="004A0958">
        <w:rPr>
          <w:rFonts w:ascii="Calibri" w:hAnsi="Calibri"/>
          <w:b/>
        </w:rPr>
        <w:t xml:space="preserve"> within the group, had </w:t>
      </w:r>
      <w:r>
        <w:rPr>
          <w:rFonts w:ascii="Calibri" w:hAnsi="Calibri"/>
          <w:b/>
        </w:rPr>
        <w:t>not complied with</w:t>
      </w:r>
      <w:r w:rsidRPr="004A0958">
        <w:rPr>
          <w:rFonts w:ascii="Calibri" w:hAnsi="Calibri"/>
          <w:b/>
        </w:rPr>
        <w:t xml:space="preserve"> IFRS 3</w:t>
      </w:r>
      <w:r>
        <w:rPr>
          <w:rFonts w:ascii="Calibri" w:hAnsi="Calibri"/>
          <w:b/>
        </w:rPr>
        <w:t>, in respect of the following</w:t>
      </w:r>
      <w:r w:rsidRPr="004A0958">
        <w:rPr>
          <w:rFonts w:ascii="Calibri" w:hAnsi="Calibri"/>
          <w:b/>
        </w:rPr>
        <w:t>:</w:t>
      </w:r>
    </w:p>
    <w:p w:rsidR="00D31F42" w:rsidRPr="004A0958" w:rsidRDefault="00D31F42" w:rsidP="006745CB">
      <w:pPr>
        <w:ind w:left="1440"/>
        <w:jc w:val="both"/>
        <w:rPr>
          <w:rFonts w:ascii="Calibri" w:hAnsi="Calibri"/>
        </w:rPr>
      </w:pPr>
    </w:p>
    <w:p w:rsidR="00D31F42" w:rsidRPr="004A0958" w:rsidRDefault="00D31F42" w:rsidP="00F7611C">
      <w:pPr>
        <w:numPr>
          <w:ilvl w:val="0"/>
          <w:numId w:val="19"/>
        </w:numPr>
        <w:tabs>
          <w:tab w:val="left" w:pos="2340"/>
        </w:tabs>
        <w:ind w:left="2340" w:hanging="270"/>
        <w:jc w:val="both"/>
        <w:rPr>
          <w:rFonts w:ascii="Calibri" w:hAnsi="Calibri"/>
          <w:lang w:val="en-US"/>
        </w:rPr>
      </w:pPr>
      <w:r w:rsidRPr="004A0958">
        <w:rPr>
          <w:rFonts w:ascii="Calibri" w:hAnsi="Calibri"/>
          <w:lang w:val="en-US"/>
        </w:rPr>
        <w:t>Primary reasons for the business combination; and</w:t>
      </w:r>
    </w:p>
    <w:p w:rsidR="00D31F42" w:rsidRPr="004A0958" w:rsidRDefault="00D31F42" w:rsidP="00F7611C">
      <w:pPr>
        <w:numPr>
          <w:ilvl w:val="0"/>
          <w:numId w:val="19"/>
        </w:numPr>
        <w:tabs>
          <w:tab w:val="left" w:pos="2340"/>
        </w:tabs>
        <w:ind w:left="2340" w:hanging="270"/>
        <w:jc w:val="both"/>
        <w:rPr>
          <w:rFonts w:ascii="Calibri" w:hAnsi="Calibri"/>
          <w:lang w:val="en-US"/>
        </w:rPr>
      </w:pPr>
      <w:r w:rsidRPr="004A0958">
        <w:rPr>
          <w:rFonts w:ascii="Calibri" w:hAnsi="Calibri"/>
          <w:lang w:val="en-US"/>
        </w:rPr>
        <w:t>Qualitative description of the factors that make up the goodwill recognised.</w:t>
      </w:r>
    </w:p>
    <w:p w:rsidR="00D31F42" w:rsidRPr="004A0958" w:rsidRDefault="00D31F42" w:rsidP="006745CB">
      <w:pPr>
        <w:ind w:left="1800"/>
        <w:jc w:val="both"/>
        <w:rPr>
          <w:rFonts w:ascii="Calibri" w:hAnsi="Calibri"/>
          <w:lang w:val="en-US"/>
        </w:rPr>
      </w:pPr>
    </w:p>
    <w:p w:rsidR="00D31F42" w:rsidRPr="004A0958" w:rsidRDefault="00D31F42" w:rsidP="00F7611C">
      <w:pPr>
        <w:numPr>
          <w:ilvl w:val="0"/>
          <w:numId w:val="20"/>
        </w:numPr>
        <w:tabs>
          <w:tab w:val="left" w:pos="2070"/>
        </w:tabs>
        <w:ind w:left="1800" w:hanging="180"/>
        <w:jc w:val="both"/>
        <w:rPr>
          <w:rFonts w:ascii="Calibri" w:hAnsi="Calibri"/>
          <w:lang w:val="en-US"/>
        </w:rPr>
      </w:pPr>
      <w:r w:rsidRPr="004A0958">
        <w:rPr>
          <w:rFonts w:ascii="Calibri" w:hAnsi="Calibri"/>
          <w:lang w:val="en-US"/>
        </w:rPr>
        <w:t>IFRS 7, Financial Instruments: Disclosures</w:t>
      </w:r>
    </w:p>
    <w:p w:rsidR="00D31F42" w:rsidRPr="004A0958" w:rsidRDefault="00D31F42" w:rsidP="00FF2BD2">
      <w:pPr>
        <w:jc w:val="both"/>
        <w:rPr>
          <w:rFonts w:ascii="Calibri" w:hAnsi="Calibri"/>
          <w:lang w:val="en-US"/>
        </w:rPr>
      </w:pPr>
    </w:p>
    <w:p w:rsidR="00D31F42" w:rsidRPr="004A0958" w:rsidRDefault="00D31F42" w:rsidP="0063568C">
      <w:pPr>
        <w:tabs>
          <w:tab w:val="left" w:pos="1710"/>
        </w:tabs>
        <w:ind w:left="2070"/>
        <w:jc w:val="both"/>
        <w:rPr>
          <w:rFonts w:ascii="Calibri" w:hAnsi="Calibri"/>
          <w:lang w:val="en-US"/>
        </w:rPr>
      </w:pPr>
      <w:r w:rsidRPr="004A0958">
        <w:rPr>
          <w:rFonts w:ascii="Calibri" w:hAnsi="Calibri"/>
          <w:b/>
          <w:lang w:val="en-US"/>
        </w:rPr>
        <w:t xml:space="preserve">FRC </w:t>
      </w:r>
      <w:r>
        <w:rPr>
          <w:rFonts w:ascii="Calibri" w:hAnsi="Calibri"/>
          <w:b/>
          <w:lang w:val="en-US"/>
        </w:rPr>
        <w:t>informed</w:t>
      </w:r>
      <w:r w:rsidRPr="004A0958">
        <w:rPr>
          <w:rFonts w:ascii="Calibri" w:hAnsi="Calibri"/>
          <w:b/>
          <w:lang w:val="en-US"/>
        </w:rPr>
        <w:t xml:space="preserve"> 5 PIEs</w:t>
      </w:r>
      <w:r w:rsidRPr="004A0958">
        <w:rPr>
          <w:rFonts w:ascii="Calibri" w:hAnsi="Calibri"/>
          <w:lang w:val="en-US"/>
        </w:rPr>
        <w:t xml:space="preserve"> [2 listed (1 Investment and 1 Others) and 3 PIEs in Category 4] </w:t>
      </w:r>
      <w:r>
        <w:rPr>
          <w:rFonts w:ascii="Calibri" w:hAnsi="Calibri"/>
          <w:b/>
          <w:lang w:val="en-US"/>
        </w:rPr>
        <w:t xml:space="preserve">within </w:t>
      </w:r>
      <w:r w:rsidRPr="004A0958">
        <w:rPr>
          <w:rFonts w:ascii="Calibri" w:hAnsi="Calibri"/>
          <w:b/>
          <w:lang w:val="en-US"/>
        </w:rPr>
        <w:t>the group</w:t>
      </w:r>
      <w:r>
        <w:rPr>
          <w:rFonts w:ascii="Calibri" w:hAnsi="Calibri"/>
          <w:b/>
          <w:lang w:val="en-US"/>
        </w:rPr>
        <w:t>, of their non-compliances with the following</w:t>
      </w:r>
      <w:r w:rsidRPr="0063568C">
        <w:rPr>
          <w:rFonts w:ascii="Calibri" w:hAnsi="Calibri"/>
          <w:b/>
          <w:lang w:val="en-US"/>
        </w:rPr>
        <w:t xml:space="preserve"> </w:t>
      </w:r>
      <w:r>
        <w:rPr>
          <w:rFonts w:ascii="Calibri" w:hAnsi="Calibri"/>
          <w:b/>
          <w:lang w:val="en-US"/>
        </w:rPr>
        <w:t>IFRS 7 requirements</w:t>
      </w:r>
      <w:r w:rsidRPr="004A0958">
        <w:rPr>
          <w:rFonts w:ascii="Calibri" w:hAnsi="Calibri"/>
          <w:lang w:val="en-US"/>
        </w:rPr>
        <w:t>:</w:t>
      </w:r>
    </w:p>
    <w:p w:rsidR="00D31F42" w:rsidRPr="004A0958" w:rsidRDefault="00D31F42" w:rsidP="00CB1362">
      <w:pPr>
        <w:ind w:left="2160"/>
        <w:jc w:val="both"/>
        <w:rPr>
          <w:rFonts w:ascii="Calibri" w:hAnsi="Calibri"/>
          <w:lang w:val="en-US"/>
        </w:rPr>
      </w:pPr>
    </w:p>
    <w:p w:rsidR="00D31F42" w:rsidRPr="004A0958" w:rsidRDefault="00D31F42" w:rsidP="00F7611C">
      <w:pPr>
        <w:numPr>
          <w:ilvl w:val="0"/>
          <w:numId w:val="19"/>
        </w:numPr>
        <w:tabs>
          <w:tab w:val="left" w:pos="2340"/>
        </w:tabs>
        <w:ind w:left="2340" w:hanging="270"/>
        <w:jc w:val="both"/>
        <w:rPr>
          <w:rFonts w:ascii="Calibri" w:hAnsi="Calibri"/>
          <w:lang w:val="en-US"/>
        </w:rPr>
      </w:pPr>
      <w:r w:rsidRPr="004A0958">
        <w:rPr>
          <w:rFonts w:ascii="Calibri" w:hAnsi="Calibri"/>
          <w:lang w:val="en-US"/>
        </w:rPr>
        <w:t>Fair value of the collateral held, sold or repledged and the terms and conditions associated with its use  of the collateral;</w:t>
      </w:r>
    </w:p>
    <w:p w:rsidR="00D31F42" w:rsidRPr="004A0958" w:rsidRDefault="00D31F42" w:rsidP="00F7611C">
      <w:pPr>
        <w:numPr>
          <w:ilvl w:val="0"/>
          <w:numId w:val="19"/>
        </w:numPr>
        <w:tabs>
          <w:tab w:val="left" w:pos="2340"/>
        </w:tabs>
        <w:ind w:left="2340" w:hanging="270"/>
        <w:jc w:val="both"/>
        <w:rPr>
          <w:rFonts w:ascii="Calibri" w:hAnsi="Calibri"/>
          <w:lang w:val="en-US"/>
        </w:rPr>
      </w:pPr>
      <w:r w:rsidRPr="004A0958">
        <w:rPr>
          <w:rFonts w:ascii="Calibri" w:hAnsi="Calibri"/>
          <w:lang w:val="en-US"/>
        </w:rPr>
        <w:t>Policies and processes for managing interest rate risk; and</w:t>
      </w:r>
    </w:p>
    <w:p w:rsidR="00D31F42" w:rsidRPr="004A0958" w:rsidRDefault="00D31F42" w:rsidP="00F7611C">
      <w:pPr>
        <w:numPr>
          <w:ilvl w:val="0"/>
          <w:numId w:val="19"/>
        </w:numPr>
        <w:tabs>
          <w:tab w:val="left" w:pos="2340"/>
        </w:tabs>
        <w:ind w:left="2340" w:hanging="270"/>
        <w:jc w:val="both"/>
        <w:rPr>
          <w:rFonts w:ascii="Calibri" w:hAnsi="Calibri"/>
          <w:lang w:val="en-US"/>
        </w:rPr>
      </w:pPr>
      <w:r w:rsidRPr="004A0958">
        <w:rPr>
          <w:rFonts w:ascii="Calibri" w:hAnsi="Calibri"/>
          <w:lang w:val="en-US"/>
        </w:rPr>
        <w:t>Information on cash flow hedge.</w:t>
      </w:r>
    </w:p>
    <w:p w:rsidR="00D31F42" w:rsidRPr="004A0958" w:rsidRDefault="00D31F42" w:rsidP="006745CB">
      <w:pPr>
        <w:tabs>
          <w:tab w:val="left" w:pos="1080"/>
        </w:tabs>
        <w:ind w:left="2520"/>
        <w:jc w:val="both"/>
        <w:rPr>
          <w:rFonts w:ascii="Calibri" w:hAnsi="Calibri"/>
        </w:rPr>
      </w:pPr>
    </w:p>
    <w:p w:rsidR="00D31F42" w:rsidRPr="004A0958" w:rsidRDefault="00B97652" w:rsidP="00F7611C">
      <w:pPr>
        <w:numPr>
          <w:ilvl w:val="0"/>
          <w:numId w:val="20"/>
        </w:numPr>
        <w:tabs>
          <w:tab w:val="left" w:pos="2070"/>
        </w:tabs>
        <w:ind w:left="1800" w:hanging="180"/>
        <w:jc w:val="both"/>
        <w:rPr>
          <w:rFonts w:ascii="Calibri" w:hAnsi="Calibri"/>
          <w:lang w:val="en-US"/>
        </w:rPr>
      </w:pPr>
      <w:hyperlink r:id="rId8" w:history="1">
        <w:r w:rsidR="00D31F42" w:rsidRPr="004A0958">
          <w:rPr>
            <w:rFonts w:ascii="Calibri" w:hAnsi="Calibri"/>
            <w:lang w:val="en-US"/>
          </w:rPr>
          <w:t>IFRS 13, Fair Value Measurement</w:t>
        </w:r>
      </w:hyperlink>
      <w:r w:rsidR="00D31F42" w:rsidRPr="004A0958">
        <w:rPr>
          <w:rFonts w:ascii="Calibri" w:hAnsi="Calibri"/>
          <w:lang w:val="en-US"/>
        </w:rPr>
        <w:t xml:space="preserve"> </w:t>
      </w:r>
    </w:p>
    <w:p w:rsidR="00D31F42" w:rsidRPr="004A0958" w:rsidRDefault="00D31F42" w:rsidP="00FF2BD2">
      <w:pPr>
        <w:ind w:left="1080"/>
        <w:rPr>
          <w:rFonts w:ascii="Calibri" w:hAnsi="Calibri"/>
          <w:lang w:val="en-US"/>
        </w:rPr>
      </w:pPr>
    </w:p>
    <w:p w:rsidR="00D31F42" w:rsidRPr="004A0958" w:rsidRDefault="00D31F42" w:rsidP="00CD5F6A">
      <w:pPr>
        <w:tabs>
          <w:tab w:val="left" w:pos="1710"/>
        </w:tabs>
        <w:ind w:left="2070"/>
        <w:jc w:val="both"/>
        <w:rPr>
          <w:rFonts w:ascii="Calibri" w:hAnsi="Calibri"/>
          <w:lang w:val="en-US"/>
        </w:rPr>
      </w:pPr>
      <w:r w:rsidRPr="004A0958">
        <w:rPr>
          <w:rFonts w:ascii="Calibri" w:hAnsi="Calibri"/>
          <w:b/>
          <w:lang w:val="en-US"/>
        </w:rPr>
        <w:t>From the annual reports of 4 PIEs</w:t>
      </w:r>
      <w:r w:rsidRPr="004A0958">
        <w:rPr>
          <w:rFonts w:ascii="Calibri" w:hAnsi="Calibri"/>
          <w:lang w:val="en-US"/>
        </w:rPr>
        <w:t xml:space="preserve"> [1 listed involved in Others and 3 PIEs in Category 4] </w:t>
      </w:r>
      <w:r w:rsidRPr="004A0958">
        <w:rPr>
          <w:rFonts w:ascii="Calibri" w:hAnsi="Calibri"/>
          <w:b/>
          <w:lang w:val="en-US"/>
        </w:rPr>
        <w:t>of the group, FRC identified issues</w:t>
      </w:r>
      <w:r>
        <w:rPr>
          <w:rFonts w:ascii="Calibri" w:hAnsi="Calibri"/>
          <w:b/>
          <w:lang w:val="en-US"/>
        </w:rPr>
        <w:t>,</w:t>
      </w:r>
      <w:r w:rsidRPr="004A0958">
        <w:rPr>
          <w:rFonts w:ascii="Calibri" w:hAnsi="Calibri"/>
          <w:b/>
          <w:lang w:val="en-US"/>
        </w:rPr>
        <w:t xml:space="preserve"> </w:t>
      </w:r>
      <w:r>
        <w:rPr>
          <w:rFonts w:ascii="Calibri" w:hAnsi="Calibri"/>
          <w:b/>
          <w:lang w:val="en-US"/>
        </w:rPr>
        <w:t xml:space="preserve">which related to the following requirements of </w:t>
      </w:r>
      <w:r w:rsidRPr="004A0958">
        <w:rPr>
          <w:rFonts w:ascii="Calibri" w:hAnsi="Calibri"/>
          <w:b/>
          <w:lang w:val="en-US"/>
        </w:rPr>
        <w:t>IFRS 13:</w:t>
      </w:r>
    </w:p>
    <w:p w:rsidR="00D31F42" w:rsidRPr="004A0958" w:rsidRDefault="00D31F42" w:rsidP="00F7611C">
      <w:pPr>
        <w:numPr>
          <w:ilvl w:val="0"/>
          <w:numId w:val="19"/>
        </w:numPr>
        <w:tabs>
          <w:tab w:val="left" w:pos="2340"/>
        </w:tabs>
        <w:ind w:left="2340" w:hanging="270"/>
        <w:jc w:val="both"/>
        <w:rPr>
          <w:rFonts w:ascii="Calibri" w:hAnsi="Calibri"/>
          <w:lang w:val="en-US"/>
        </w:rPr>
      </w:pPr>
      <w:r w:rsidRPr="004A0958">
        <w:rPr>
          <w:rFonts w:ascii="Calibri" w:hAnsi="Calibri"/>
          <w:lang w:val="en-US"/>
        </w:rPr>
        <w:lastRenderedPageBreak/>
        <w:t>The level of the fair value hierarchy within which the fair value measurements of assets and liabilities are categorised in their entirety; and</w:t>
      </w:r>
    </w:p>
    <w:p w:rsidR="00D31F42" w:rsidRPr="004A0958" w:rsidRDefault="00D31F42" w:rsidP="00F7611C">
      <w:pPr>
        <w:numPr>
          <w:ilvl w:val="0"/>
          <w:numId w:val="19"/>
        </w:numPr>
        <w:tabs>
          <w:tab w:val="left" w:pos="2340"/>
        </w:tabs>
        <w:ind w:left="2340" w:hanging="270"/>
        <w:jc w:val="both"/>
        <w:rPr>
          <w:rFonts w:ascii="Calibri" w:hAnsi="Calibri"/>
          <w:lang w:val="en-US"/>
        </w:rPr>
      </w:pPr>
      <w:r w:rsidRPr="004A0958">
        <w:rPr>
          <w:rFonts w:ascii="Calibri" w:hAnsi="Calibri"/>
          <w:lang w:val="en-US"/>
        </w:rPr>
        <w:t>Description of the valuation technique(s) and the inputs used in fair value measurement.</w:t>
      </w:r>
    </w:p>
    <w:p w:rsidR="00D31F42" w:rsidRPr="004A0958" w:rsidRDefault="00D31F42" w:rsidP="006745CB">
      <w:pPr>
        <w:ind w:left="360"/>
        <w:jc w:val="both"/>
        <w:rPr>
          <w:rFonts w:ascii="Calibri" w:hAnsi="Calibri"/>
          <w:b/>
          <w:lang w:val="en-US"/>
        </w:rPr>
      </w:pPr>
    </w:p>
    <w:p w:rsidR="00D31F42" w:rsidRPr="004A0958" w:rsidRDefault="00D31F42" w:rsidP="00F7611C">
      <w:pPr>
        <w:numPr>
          <w:ilvl w:val="1"/>
          <w:numId w:val="26"/>
        </w:numPr>
        <w:ind w:left="1530" w:hanging="450"/>
        <w:jc w:val="both"/>
        <w:rPr>
          <w:rFonts w:ascii="Calibri" w:hAnsi="Calibri" w:cs="Arial"/>
          <w:b/>
          <w:color w:val="000000"/>
        </w:rPr>
      </w:pPr>
      <w:bookmarkStart w:id="4" w:name="Other"/>
      <w:r w:rsidRPr="004A0958">
        <w:rPr>
          <w:rFonts w:ascii="Calibri" w:hAnsi="Calibri" w:cs="Arial"/>
          <w:b/>
          <w:color w:val="000000"/>
        </w:rPr>
        <w:t xml:space="preserve">  Other issues </w:t>
      </w:r>
    </w:p>
    <w:bookmarkEnd w:id="4"/>
    <w:p w:rsidR="00D31F42" w:rsidRPr="004A0958" w:rsidRDefault="00D31F42" w:rsidP="00EF063C">
      <w:pPr>
        <w:ind w:left="1080"/>
        <w:jc w:val="both"/>
        <w:rPr>
          <w:rFonts w:ascii="Calibri" w:hAnsi="Calibri"/>
          <w:b/>
          <w:lang w:val="en-US"/>
        </w:rPr>
      </w:pPr>
    </w:p>
    <w:p w:rsidR="00D31F42" w:rsidRPr="004A0958" w:rsidRDefault="00D31F42" w:rsidP="00CB1362">
      <w:pPr>
        <w:tabs>
          <w:tab w:val="left" w:pos="1710"/>
        </w:tabs>
        <w:ind w:left="1530"/>
        <w:jc w:val="both"/>
        <w:rPr>
          <w:rFonts w:ascii="Calibri" w:hAnsi="Calibri"/>
          <w:lang w:val="en-US"/>
        </w:rPr>
      </w:pPr>
      <w:r w:rsidRPr="004A0958">
        <w:rPr>
          <w:rFonts w:ascii="Calibri" w:hAnsi="Calibri"/>
          <w:lang w:val="en-US"/>
        </w:rPr>
        <w:t>The following differences were noted in respect of the accounting policies and accounting estimates of the company as compared to that of the ultimate holding company for</w:t>
      </w:r>
      <w:r w:rsidRPr="004A0958">
        <w:rPr>
          <w:rFonts w:ascii="Calibri" w:hAnsi="Calibri"/>
          <w:b/>
          <w:lang w:val="en-US"/>
        </w:rPr>
        <w:t xml:space="preserve"> 4 PIEs within the group </w:t>
      </w:r>
      <w:r w:rsidRPr="004A0958">
        <w:rPr>
          <w:rFonts w:ascii="Calibri" w:hAnsi="Calibri"/>
          <w:lang w:val="en-US"/>
        </w:rPr>
        <w:t>[2 listed involved in Others and 2 PIEs in Category 4]:</w:t>
      </w:r>
    </w:p>
    <w:p w:rsidR="00D31F42" w:rsidRPr="004A0958" w:rsidRDefault="00D31F42" w:rsidP="004C3FDC">
      <w:pPr>
        <w:ind w:left="1080"/>
        <w:jc w:val="both"/>
        <w:rPr>
          <w:rFonts w:ascii="Calibri" w:hAnsi="Calibri"/>
          <w:b/>
          <w:lang w:val="en-US"/>
        </w:rPr>
      </w:pPr>
    </w:p>
    <w:p w:rsidR="00D31F42" w:rsidRPr="00CD5F6A" w:rsidRDefault="00D31F42" w:rsidP="00F7611C">
      <w:pPr>
        <w:numPr>
          <w:ilvl w:val="0"/>
          <w:numId w:val="27"/>
        </w:numPr>
        <w:tabs>
          <w:tab w:val="left" w:pos="1890"/>
        </w:tabs>
        <w:ind w:left="1890"/>
        <w:jc w:val="both"/>
        <w:rPr>
          <w:rFonts w:ascii="Calibri" w:hAnsi="Calibri"/>
          <w:lang w:val="en-US"/>
        </w:rPr>
      </w:pPr>
      <w:r w:rsidRPr="00CD5F6A">
        <w:rPr>
          <w:rFonts w:ascii="Calibri" w:hAnsi="Calibri"/>
          <w:lang w:val="en-US"/>
        </w:rPr>
        <w:t>Depreciation rates of the entity were not in the same range as that of the ultimate holding company; and</w:t>
      </w:r>
    </w:p>
    <w:p w:rsidR="00D31F42" w:rsidRPr="00CD5F6A" w:rsidRDefault="00D31F42" w:rsidP="00734288">
      <w:pPr>
        <w:tabs>
          <w:tab w:val="left" w:pos="1890"/>
        </w:tabs>
        <w:ind w:left="1890"/>
        <w:jc w:val="both"/>
        <w:rPr>
          <w:rFonts w:ascii="Calibri" w:hAnsi="Calibri"/>
          <w:lang w:val="en-US"/>
        </w:rPr>
      </w:pPr>
    </w:p>
    <w:p w:rsidR="00D31F42" w:rsidRPr="00CD5F6A" w:rsidRDefault="00D31F42" w:rsidP="00F7611C">
      <w:pPr>
        <w:numPr>
          <w:ilvl w:val="0"/>
          <w:numId w:val="27"/>
        </w:numPr>
        <w:tabs>
          <w:tab w:val="left" w:pos="1890"/>
        </w:tabs>
        <w:ind w:left="1890"/>
        <w:jc w:val="both"/>
        <w:rPr>
          <w:rFonts w:ascii="Calibri" w:hAnsi="Calibri"/>
          <w:lang w:val="en-US"/>
        </w:rPr>
      </w:pPr>
      <w:r w:rsidRPr="00CD5F6A">
        <w:rPr>
          <w:rFonts w:ascii="Calibri" w:hAnsi="Calibri"/>
          <w:lang w:val="en-US"/>
        </w:rPr>
        <w:t>IFRS 9 Financial Instruments (Hedge Accounting and amendments to IFRS 9, IFRS 7 and IAS 39) had been adopted by the entity while this had not been early applied by its ultimate holding company.</w:t>
      </w:r>
    </w:p>
    <w:p w:rsidR="00D31F42" w:rsidRPr="004A0958" w:rsidRDefault="00D31F42" w:rsidP="005755DC">
      <w:pPr>
        <w:jc w:val="both"/>
        <w:rPr>
          <w:rFonts w:ascii="Calibri" w:hAnsi="Calibri"/>
          <w:lang w:val="en-US"/>
        </w:rPr>
      </w:pPr>
    </w:p>
    <w:p w:rsidR="00D31F42" w:rsidRPr="004A0958" w:rsidRDefault="00D31F42" w:rsidP="00F7611C">
      <w:pPr>
        <w:numPr>
          <w:ilvl w:val="1"/>
          <w:numId w:val="26"/>
        </w:numPr>
        <w:tabs>
          <w:tab w:val="left" w:pos="1530"/>
        </w:tabs>
        <w:ind w:left="1260" w:hanging="180"/>
        <w:jc w:val="both"/>
        <w:rPr>
          <w:rFonts w:ascii="Calibri" w:hAnsi="Calibri" w:cs="Arial"/>
          <w:b/>
          <w:color w:val="000000"/>
        </w:rPr>
      </w:pPr>
      <w:bookmarkStart w:id="5" w:name="Issues"/>
      <w:r w:rsidRPr="004A0958">
        <w:rPr>
          <w:rFonts w:ascii="Calibri" w:hAnsi="Calibri" w:cs="Arial"/>
          <w:b/>
          <w:color w:val="000000"/>
        </w:rPr>
        <w:t>Issues raised with auditors</w:t>
      </w:r>
    </w:p>
    <w:bookmarkEnd w:id="5"/>
    <w:p w:rsidR="00D31F42" w:rsidRPr="004A0958" w:rsidRDefault="00D31F42" w:rsidP="002766C9">
      <w:pPr>
        <w:ind w:left="1080"/>
        <w:jc w:val="both"/>
        <w:rPr>
          <w:rFonts w:ascii="Calibri" w:hAnsi="Calibri" w:cs="Arial"/>
          <w:b/>
          <w:color w:val="000000"/>
        </w:rPr>
      </w:pPr>
    </w:p>
    <w:p w:rsidR="00D31F42" w:rsidRPr="004A0958" w:rsidRDefault="00D31F42" w:rsidP="00F0390B">
      <w:pPr>
        <w:ind w:left="1530"/>
        <w:jc w:val="both"/>
        <w:rPr>
          <w:rFonts w:ascii="Calibri" w:hAnsi="Calibri" w:cs="Arial"/>
          <w:color w:val="000000"/>
        </w:rPr>
      </w:pPr>
      <w:r w:rsidRPr="004A0958">
        <w:rPr>
          <w:rFonts w:ascii="Calibri" w:hAnsi="Calibri" w:cs="Arial"/>
          <w:color w:val="000000"/>
        </w:rPr>
        <w:t xml:space="preserve">FRC also monitored the services provided by the auditors as well as other issues involving the work of the auditor. </w:t>
      </w:r>
    </w:p>
    <w:p w:rsidR="00D31F42" w:rsidRPr="004A0958" w:rsidRDefault="00D31F42" w:rsidP="00F0390B">
      <w:pPr>
        <w:ind w:left="1530"/>
        <w:jc w:val="both"/>
        <w:rPr>
          <w:rFonts w:ascii="Calibri" w:hAnsi="Calibri" w:cs="Arial"/>
          <w:color w:val="000000"/>
        </w:rPr>
      </w:pPr>
    </w:p>
    <w:p w:rsidR="00D31F42" w:rsidRPr="004A0958" w:rsidRDefault="00D31F42" w:rsidP="00F0390B">
      <w:pPr>
        <w:ind w:left="1530"/>
        <w:jc w:val="both"/>
        <w:rPr>
          <w:rFonts w:ascii="Calibri" w:hAnsi="Calibri" w:cs="Arial"/>
          <w:b/>
          <w:color w:val="000000"/>
        </w:rPr>
      </w:pPr>
      <w:r w:rsidRPr="004A0958">
        <w:rPr>
          <w:rFonts w:ascii="Calibri" w:hAnsi="Calibri" w:cs="Arial"/>
          <w:b/>
          <w:color w:val="000000"/>
        </w:rPr>
        <w:t>During the course of its review, FRC informed the auditors of 4 PIEs</w:t>
      </w:r>
      <w:r w:rsidRPr="004A0958">
        <w:rPr>
          <w:rFonts w:ascii="Calibri" w:hAnsi="Calibri" w:cs="Arial"/>
          <w:color w:val="000000"/>
        </w:rPr>
        <w:t xml:space="preserve"> </w:t>
      </w:r>
      <w:r w:rsidRPr="004A0958">
        <w:rPr>
          <w:rFonts w:ascii="Calibri" w:hAnsi="Calibri" w:cs="Arial"/>
          <w:b/>
          <w:color w:val="000000"/>
        </w:rPr>
        <w:t>within the group</w:t>
      </w:r>
      <w:r w:rsidRPr="004A0958">
        <w:rPr>
          <w:rFonts w:ascii="Calibri" w:hAnsi="Calibri" w:cs="Arial"/>
          <w:color w:val="000000"/>
        </w:rPr>
        <w:t xml:space="preserve"> [3 listed (1 Investment, 1 Leisure &amp; Hotels and 1 Others) and 1 Category 4 PIE] </w:t>
      </w:r>
      <w:r w:rsidRPr="004A0958">
        <w:rPr>
          <w:rFonts w:ascii="Calibri" w:hAnsi="Calibri" w:cs="Arial"/>
          <w:b/>
          <w:color w:val="000000"/>
        </w:rPr>
        <w:t>of the following issues noted from their audit reports:</w:t>
      </w:r>
    </w:p>
    <w:p w:rsidR="00D31F42" w:rsidRPr="004A0958" w:rsidRDefault="00D31F42" w:rsidP="002766C9">
      <w:pPr>
        <w:jc w:val="both"/>
        <w:rPr>
          <w:rFonts w:ascii="Calibri" w:hAnsi="Calibri"/>
          <w:b/>
          <w:lang w:val="en-US"/>
        </w:rPr>
      </w:pPr>
    </w:p>
    <w:p w:rsidR="00D31F42" w:rsidRPr="004A0958" w:rsidRDefault="00D31F42" w:rsidP="00F7611C">
      <w:pPr>
        <w:numPr>
          <w:ilvl w:val="0"/>
          <w:numId w:val="23"/>
        </w:numPr>
        <w:tabs>
          <w:tab w:val="left" w:pos="1890"/>
        </w:tabs>
        <w:ind w:left="1620" w:hanging="90"/>
        <w:jc w:val="both"/>
        <w:rPr>
          <w:rFonts w:ascii="Calibri" w:hAnsi="Calibri"/>
          <w:lang w:val="en-US"/>
        </w:rPr>
      </w:pPr>
      <w:r w:rsidRPr="004A0958">
        <w:rPr>
          <w:rFonts w:ascii="Calibri" w:hAnsi="Calibri"/>
          <w:lang w:val="en-US"/>
        </w:rPr>
        <w:t>Provision of other services</w:t>
      </w:r>
    </w:p>
    <w:p w:rsidR="00D31F42" w:rsidRPr="004A0958" w:rsidRDefault="00D31F42" w:rsidP="00920F4E">
      <w:pPr>
        <w:ind w:left="1620"/>
        <w:jc w:val="both"/>
        <w:rPr>
          <w:rFonts w:ascii="Calibri" w:hAnsi="Calibri"/>
          <w:lang w:val="en-US"/>
        </w:rPr>
      </w:pPr>
    </w:p>
    <w:p w:rsidR="00D31F42" w:rsidRPr="004A0958" w:rsidRDefault="00D31F42" w:rsidP="00F0390B">
      <w:pPr>
        <w:ind w:left="1890"/>
        <w:jc w:val="both"/>
        <w:rPr>
          <w:rFonts w:ascii="Calibri" w:hAnsi="Calibri"/>
          <w:lang w:val="en-US"/>
        </w:rPr>
      </w:pPr>
      <w:r w:rsidRPr="004A0958">
        <w:rPr>
          <w:rFonts w:ascii="Calibri" w:hAnsi="Calibri"/>
          <w:lang w:val="en-US"/>
        </w:rPr>
        <w:t xml:space="preserve">FRC noted that the auditors of </w:t>
      </w:r>
      <w:r w:rsidRPr="004A0958">
        <w:rPr>
          <w:rFonts w:ascii="Calibri" w:hAnsi="Calibri" w:cs="Arial"/>
          <w:color w:val="000000"/>
        </w:rPr>
        <w:t xml:space="preserve">4 PIEs of the group </w:t>
      </w:r>
      <w:r w:rsidRPr="004A0958">
        <w:rPr>
          <w:rFonts w:ascii="Calibri" w:hAnsi="Calibri"/>
          <w:lang w:val="en-US"/>
        </w:rPr>
        <w:t xml:space="preserve">had provided other services such as internal audit fees, independent advisory fees and tax advisory services.  </w:t>
      </w:r>
    </w:p>
    <w:p w:rsidR="00D31F42" w:rsidRPr="004A0958" w:rsidRDefault="00D31F42" w:rsidP="00925027">
      <w:pPr>
        <w:jc w:val="both"/>
        <w:rPr>
          <w:rFonts w:ascii="Calibri" w:hAnsi="Calibri"/>
          <w:lang w:val="en-US"/>
        </w:rPr>
      </w:pPr>
    </w:p>
    <w:p w:rsidR="00D31F42" w:rsidRPr="004A0958" w:rsidRDefault="00D31F42" w:rsidP="00F7611C">
      <w:pPr>
        <w:numPr>
          <w:ilvl w:val="0"/>
          <w:numId w:val="23"/>
        </w:numPr>
        <w:tabs>
          <w:tab w:val="left" w:pos="1890"/>
        </w:tabs>
        <w:ind w:left="1620" w:hanging="90"/>
        <w:jc w:val="both"/>
        <w:rPr>
          <w:rFonts w:ascii="Calibri" w:hAnsi="Calibri"/>
          <w:lang w:val="en-US"/>
        </w:rPr>
      </w:pPr>
      <w:r w:rsidRPr="004A0958">
        <w:rPr>
          <w:rFonts w:ascii="Calibri" w:hAnsi="Calibri"/>
          <w:lang w:val="en-US"/>
        </w:rPr>
        <w:t>Going concern risk</w:t>
      </w:r>
    </w:p>
    <w:p w:rsidR="00D31F42" w:rsidRPr="004A0958" w:rsidRDefault="00D31F42" w:rsidP="00920F4E">
      <w:pPr>
        <w:ind w:left="1620"/>
        <w:jc w:val="both"/>
        <w:rPr>
          <w:rFonts w:ascii="Calibri" w:hAnsi="Calibri"/>
          <w:lang w:val="en-US"/>
        </w:rPr>
      </w:pPr>
    </w:p>
    <w:p w:rsidR="00D31F42" w:rsidRPr="004A0958" w:rsidRDefault="00D31F42" w:rsidP="00F0390B">
      <w:pPr>
        <w:ind w:left="1890"/>
        <w:jc w:val="both"/>
        <w:rPr>
          <w:rFonts w:ascii="Calibri" w:hAnsi="Calibri"/>
          <w:lang w:val="en-US"/>
        </w:rPr>
      </w:pPr>
      <w:r w:rsidRPr="004A0958">
        <w:rPr>
          <w:rFonts w:ascii="Calibri" w:hAnsi="Calibri"/>
          <w:lang w:val="en-US"/>
        </w:rPr>
        <w:t xml:space="preserve">From the review of the Annual Report of </w:t>
      </w:r>
      <w:r w:rsidRPr="004A0958">
        <w:rPr>
          <w:rFonts w:ascii="Calibri" w:hAnsi="Calibri" w:cs="Arial"/>
          <w:color w:val="000000"/>
        </w:rPr>
        <w:t>1 Category 4 PIE in the group</w:t>
      </w:r>
      <w:r w:rsidRPr="004A0958">
        <w:rPr>
          <w:rFonts w:ascii="Calibri" w:hAnsi="Calibri"/>
          <w:lang w:val="en-US"/>
        </w:rPr>
        <w:t xml:space="preserve">, FRC observed that there were indicators of going concern risks that may cast doubt on the entity’s ability to continue as a going concern. </w:t>
      </w:r>
    </w:p>
    <w:p w:rsidR="00D31F42" w:rsidRDefault="00D31F42" w:rsidP="00BF45F9">
      <w:pPr>
        <w:jc w:val="both"/>
        <w:rPr>
          <w:rFonts w:ascii="Calibri" w:hAnsi="Calibri"/>
          <w:lang w:val="en-US"/>
        </w:rPr>
      </w:pPr>
    </w:p>
    <w:p w:rsidR="00D31F42" w:rsidRPr="004A0958" w:rsidRDefault="00D31F42" w:rsidP="00F7611C">
      <w:pPr>
        <w:numPr>
          <w:ilvl w:val="0"/>
          <w:numId w:val="23"/>
        </w:numPr>
        <w:tabs>
          <w:tab w:val="left" w:pos="1890"/>
        </w:tabs>
        <w:ind w:left="1620" w:hanging="90"/>
        <w:jc w:val="both"/>
        <w:rPr>
          <w:rFonts w:ascii="Calibri" w:hAnsi="Calibri"/>
          <w:lang w:val="en-US"/>
        </w:rPr>
      </w:pPr>
      <w:r w:rsidRPr="004A0958">
        <w:rPr>
          <w:rFonts w:ascii="Calibri" w:hAnsi="Calibri"/>
          <w:lang w:val="en-US"/>
        </w:rPr>
        <w:lastRenderedPageBreak/>
        <w:t>Date of auditor’s report</w:t>
      </w:r>
    </w:p>
    <w:p w:rsidR="00D31F42" w:rsidRPr="004A0958" w:rsidRDefault="00D31F42" w:rsidP="00920F4E">
      <w:pPr>
        <w:ind w:left="1620"/>
        <w:jc w:val="both"/>
        <w:rPr>
          <w:rFonts w:ascii="Calibri" w:hAnsi="Calibri"/>
          <w:lang w:val="en-US"/>
        </w:rPr>
      </w:pPr>
    </w:p>
    <w:p w:rsidR="00D31F42" w:rsidRPr="004A0958" w:rsidRDefault="00D31F42" w:rsidP="00F0390B">
      <w:pPr>
        <w:ind w:left="1890"/>
        <w:jc w:val="both"/>
        <w:rPr>
          <w:rFonts w:ascii="Calibri" w:hAnsi="Calibri"/>
          <w:lang w:val="en-US"/>
        </w:rPr>
      </w:pPr>
      <w:r w:rsidRPr="004A0958">
        <w:rPr>
          <w:rFonts w:ascii="Calibri" w:hAnsi="Calibri"/>
          <w:lang w:val="en-US"/>
        </w:rPr>
        <w:t xml:space="preserve">FRC informed the holding company of the group of companies (a listed company engaged in Investment), that the date of its Audit Report was earlier than that of its subsidiary companies.  </w:t>
      </w:r>
    </w:p>
    <w:p w:rsidR="00D31F42" w:rsidRPr="004A0958" w:rsidRDefault="00D31F42" w:rsidP="00925027">
      <w:pPr>
        <w:jc w:val="both"/>
        <w:rPr>
          <w:rFonts w:ascii="Calibri" w:hAnsi="Calibri"/>
          <w:b/>
          <w:lang w:val="en-US"/>
        </w:rPr>
      </w:pPr>
    </w:p>
    <w:p w:rsidR="00D31F42" w:rsidRPr="004A0958" w:rsidRDefault="00D31F42" w:rsidP="00171EB2">
      <w:pPr>
        <w:jc w:val="both"/>
        <w:rPr>
          <w:rFonts w:ascii="Calibri" w:hAnsi="Calibri"/>
          <w:b/>
          <w:lang w:val="en-US"/>
        </w:rPr>
      </w:pPr>
    </w:p>
    <w:p w:rsidR="00D31F42" w:rsidRPr="004A0958" w:rsidRDefault="00D31F42" w:rsidP="00F7611C">
      <w:pPr>
        <w:numPr>
          <w:ilvl w:val="0"/>
          <w:numId w:val="35"/>
        </w:numPr>
        <w:tabs>
          <w:tab w:val="left" w:pos="720"/>
          <w:tab w:val="left" w:pos="1080"/>
        </w:tabs>
        <w:ind w:hanging="180"/>
        <w:jc w:val="both"/>
        <w:rPr>
          <w:rFonts w:ascii="Calibri" w:hAnsi="Calibri" w:cs="Arial"/>
          <w:b/>
          <w:color w:val="0000FF"/>
          <w:sz w:val="28"/>
          <w:szCs w:val="28"/>
        </w:rPr>
      </w:pPr>
      <w:r w:rsidRPr="004A0958">
        <w:rPr>
          <w:rFonts w:ascii="Calibri" w:hAnsi="Calibri" w:cs="Arial"/>
          <w:b/>
          <w:color w:val="0000FF"/>
          <w:sz w:val="28"/>
          <w:szCs w:val="28"/>
        </w:rPr>
        <w:t xml:space="preserve">Main findings from </w:t>
      </w:r>
      <w:r>
        <w:rPr>
          <w:rFonts w:ascii="Calibri" w:hAnsi="Calibri" w:cs="Arial"/>
          <w:b/>
          <w:color w:val="0000FF"/>
          <w:sz w:val="28"/>
          <w:szCs w:val="28"/>
        </w:rPr>
        <w:t xml:space="preserve">review of </w:t>
      </w:r>
      <w:r w:rsidRPr="004A0958">
        <w:rPr>
          <w:rFonts w:ascii="Calibri" w:hAnsi="Calibri" w:cs="Arial"/>
          <w:b/>
          <w:color w:val="0000FF"/>
          <w:sz w:val="28"/>
          <w:szCs w:val="28"/>
        </w:rPr>
        <w:t xml:space="preserve">other entities </w:t>
      </w:r>
    </w:p>
    <w:p w:rsidR="00D31F42" w:rsidRPr="004A0958" w:rsidRDefault="00D31F42" w:rsidP="007F7E6C">
      <w:pPr>
        <w:tabs>
          <w:tab w:val="left" w:pos="720"/>
        </w:tabs>
        <w:jc w:val="both"/>
        <w:rPr>
          <w:rFonts w:ascii="Calibri" w:hAnsi="Calibri" w:cs="Arial"/>
          <w:b/>
          <w:color w:val="0000FF"/>
        </w:rPr>
      </w:pPr>
    </w:p>
    <w:p w:rsidR="00D31F42" w:rsidRPr="004A0958" w:rsidRDefault="00D31F42" w:rsidP="00F27752">
      <w:pPr>
        <w:ind w:left="1080"/>
        <w:jc w:val="both"/>
        <w:rPr>
          <w:rFonts w:ascii="Calibri" w:hAnsi="Calibri" w:cs="Arial"/>
        </w:rPr>
      </w:pPr>
      <w:r w:rsidRPr="004A0958">
        <w:rPr>
          <w:rFonts w:ascii="Calibri" w:hAnsi="Calibri" w:cs="Arial"/>
        </w:rPr>
        <w:t>For the six months ended 30 June 2016, FRC reviewed the annual reports of 13 other PIEs. The table below illustrates this type of PIEs per sector:</w:t>
      </w:r>
    </w:p>
    <w:p w:rsidR="00D31F42" w:rsidRPr="004A0958" w:rsidRDefault="00D31F42" w:rsidP="00125BEC">
      <w:pPr>
        <w:jc w:val="both"/>
        <w:rPr>
          <w:rFonts w:ascii="Calibri" w:hAnsi="Calibri" w:cs="Arial"/>
          <w:highlight w:val="yellow"/>
        </w:rPr>
      </w:pPr>
    </w:p>
    <w:tbl>
      <w:tblPr>
        <w:tblpPr w:leftFromText="180" w:rightFromText="180" w:vertAnchor="text" w:tblpX="1206" w:tblpY="1"/>
        <w:tblOverlap w:val="never"/>
        <w:tblW w:w="7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0"/>
        <w:gridCol w:w="990"/>
        <w:gridCol w:w="1098"/>
        <w:gridCol w:w="882"/>
        <w:gridCol w:w="1098"/>
        <w:gridCol w:w="900"/>
        <w:gridCol w:w="882"/>
      </w:tblGrid>
      <w:tr w:rsidR="00D31F42" w:rsidRPr="004A0958" w:rsidTr="00C11F5B">
        <w:trPr>
          <w:trHeight w:val="270"/>
        </w:trPr>
        <w:tc>
          <w:tcPr>
            <w:tcW w:w="1260" w:type="dxa"/>
            <w:vMerge w:val="restart"/>
            <w:shd w:val="clear" w:color="auto" w:fill="EAF1DD"/>
            <w:vAlign w:val="bottom"/>
          </w:tcPr>
          <w:p w:rsidR="00D31F42" w:rsidRPr="004A0958" w:rsidRDefault="00D31F42" w:rsidP="00F27752">
            <w:pPr>
              <w:jc w:val="center"/>
              <w:rPr>
                <w:rFonts w:ascii="Calibri" w:hAnsi="Calibri" w:cs="Arial"/>
                <w:b/>
                <w:bCs/>
                <w:sz w:val="18"/>
                <w:szCs w:val="20"/>
              </w:rPr>
            </w:pPr>
            <w:r w:rsidRPr="004A0958">
              <w:rPr>
                <w:rFonts w:ascii="Calibri" w:hAnsi="Calibri" w:cs="Arial"/>
                <w:b/>
                <w:bCs/>
                <w:sz w:val="18"/>
                <w:szCs w:val="20"/>
              </w:rPr>
              <w:t>Types of PIEs</w:t>
            </w:r>
          </w:p>
        </w:tc>
        <w:tc>
          <w:tcPr>
            <w:tcW w:w="5850" w:type="dxa"/>
            <w:gridSpan w:val="6"/>
            <w:shd w:val="clear" w:color="auto" w:fill="EAF1DD"/>
            <w:vAlign w:val="bottom"/>
          </w:tcPr>
          <w:p w:rsidR="00D31F42" w:rsidRPr="004A0958" w:rsidRDefault="00D31F42" w:rsidP="00F27752">
            <w:pPr>
              <w:jc w:val="center"/>
              <w:rPr>
                <w:rFonts w:ascii="Calibri" w:hAnsi="Calibri" w:cs="Arial"/>
                <w:b/>
                <w:bCs/>
                <w:sz w:val="18"/>
                <w:szCs w:val="20"/>
              </w:rPr>
            </w:pPr>
            <w:r w:rsidRPr="004A0958">
              <w:rPr>
                <w:rFonts w:ascii="Calibri" w:hAnsi="Calibri" w:cs="Arial"/>
                <w:b/>
                <w:bCs/>
                <w:sz w:val="18"/>
                <w:szCs w:val="20"/>
              </w:rPr>
              <w:t>Sectors</w:t>
            </w:r>
          </w:p>
        </w:tc>
      </w:tr>
      <w:tr w:rsidR="00D31F42" w:rsidRPr="004A0958" w:rsidTr="00C11F5B">
        <w:trPr>
          <w:trHeight w:val="735"/>
        </w:trPr>
        <w:tc>
          <w:tcPr>
            <w:tcW w:w="1260" w:type="dxa"/>
            <w:vMerge/>
            <w:shd w:val="clear" w:color="auto" w:fill="EAF1DD"/>
            <w:vAlign w:val="bottom"/>
          </w:tcPr>
          <w:p w:rsidR="00D31F42" w:rsidRPr="004A0958" w:rsidRDefault="00D31F42" w:rsidP="00F27752">
            <w:pPr>
              <w:jc w:val="center"/>
              <w:rPr>
                <w:rFonts w:ascii="Calibri" w:hAnsi="Calibri" w:cs="Arial"/>
                <w:b/>
                <w:bCs/>
                <w:sz w:val="18"/>
                <w:szCs w:val="20"/>
              </w:rPr>
            </w:pPr>
          </w:p>
        </w:tc>
        <w:tc>
          <w:tcPr>
            <w:tcW w:w="990" w:type="dxa"/>
            <w:shd w:val="clear" w:color="auto" w:fill="EAF1DD"/>
            <w:vAlign w:val="bottom"/>
          </w:tcPr>
          <w:p w:rsidR="00D31F42" w:rsidRPr="004A0958" w:rsidRDefault="00D31F42" w:rsidP="00F27752">
            <w:pPr>
              <w:jc w:val="center"/>
              <w:rPr>
                <w:rFonts w:ascii="Calibri" w:hAnsi="Calibri" w:cs="Arial"/>
                <w:b/>
                <w:bCs/>
                <w:sz w:val="18"/>
                <w:szCs w:val="20"/>
              </w:rPr>
            </w:pPr>
            <w:r w:rsidRPr="004A0958">
              <w:rPr>
                <w:rFonts w:ascii="Calibri" w:hAnsi="Calibri" w:cs="Arial"/>
                <w:b/>
                <w:bCs/>
                <w:sz w:val="18"/>
                <w:szCs w:val="20"/>
              </w:rPr>
              <w:t>BIF</w:t>
            </w:r>
          </w:p>
        </w:tc>
        <w:tc>
          <w:tcPr>
            <w:tcW w:w="1098" w:type="dxa"/>
            <w:shd w:val="clear" w:color="auto" w:fill="EAF1DD"/>
            <w:vAlign w:val="bottom"/>
          </w:tcPr>
          <w:p w:rsidR="00D31F42" w:rsidRPr="004A0958" w:rsidRDefault="00D31F42" w:rsidP="00F27752">
            <w:pPr>
              <w:rPr>
                <w:rFonts w:ascii="Calibri" w:hAnsi="Calibri" w:cs="Arial"/>
                <w:b/>
                <w:bCs/>
                <w:sz w:val="18"/>
                <w:szCs w:val="20"/>
              </w:rPr>
            </w:pPr>
            <w:r w:rsidRPr="004A0958">
              <w:rPr>
                <w:rFonts w:ascii="Calibri" w:hAnsi="Calibri" w:cs="Arial"/>
                <w:b/>
                <w:bCs/>
                <w:sz w:val="18"/>
                <w:szCs w:val="20"/>
              </w:rPr>
              <w:t>Commerce</w:t>
            </w:r>
          </w:p>
        </w:tc>
        <w:tc>
          <w:tcPr>
            <w:tcW w:w="882" w:type="dxa"/>
            <w:shd w:val="clear" w:color="auto" w:fill="EAF1DD"/>
            <w:vAlign w:val="bottom"/>
          </w:tcPr>
          <w:p w:rsidR="00D31F42" w:rsidRPr="004A0958" w:rsidRDefault="00D31F42" w:rsidP="00F27752">
            <w:pPr>
              <w:jc w:val="center"/>
              <w:rPr>
                <w:rFonts w:ascii="Calibri" w:hAnsi="Calibri" w:cs="Arial"/>
                <w:b/>
                <w:bCs/>
                <w:sz w:val="18"/>
                <w:szCs w:val="20"/>
              </w:rPr>
            </w:pPr>
            <w:r w:rsidRPr="004A0958">
              <w:rPr>
                <w:rFonts w:ascii="Calibri" w:hAnsi="Calibri" w:cs="Arial"/>
                <w:b/>
                <w:bCs/>
                <w:sz w:val="18"/>
                <w:szCs w:val="20"/>
              </w:rPr>
              <w:t>Industry</w:t>
            </w:r>
          </w:p>
        </w:tc>
        <w:tc>
          <w:tcPr>
            <w:tcW w:w="1098" w:type="dxa"/>
            <w:shd w:val="clear" w:color="auto" w:fill="EAF1DD"/>
            <w:vAlign w:val="bottom"/>
          </w:tcPr>
          <w:p w:rsidR="00D31F42" w:rsidRPr="004A0958" w:rsidRDefault="00D31F42" w:rsidP="00F27752">
            <w:pPr>
              <w:jc w:val="center"/>
              <w:rPr>
                <w:rFonts w:ascii="Calibri" w:hAnsi="Calibri" w:cs="Arial"/>
                <w:b/>
                <w:bCs/>
                <w:sz w:val="18"/>
                <w:szCs w:val="20"/>
              </w:rPr>
            </w:pPr>
            <w:r w:rsidRPr="004A0958">
              <w:rPr>
                <w:rFonts w:ascii="Calibri" w:hAnsi="Calibri" w:cs="Arial"/>
                <w:b/>
                <w:bCs/>
                <w:sz w:val="18"/>
                <w:szCs w:val="20"/>
              </w:rPr>
              <w:t>Investment</w:t>
            </w:r>
          </w:p>
        </w:tc>
        <w:tc>
          <w:tcPr>
            <w:tcW w:w="900" w:type="dxa"/>
            <w:shd w:val="clear" w:color="auto" w:fill="EAF1DD"/>
            <w:vAlign w:val="bottom"/>
          </w:tcPr>
          <w:p w:rsidR="00D31F42" w:rsidRPr="004A0958" w:rsidRDefault="00D31F42" w:rsidP="00F27752">
            <w:pPr>
              <w:jc w:val="center"/>
              <w:rPr>
                <w:rFonts w:ascii="Calibri" w:hAnsi="Calibri" w:cs="Arial"/>
                <w:b/>
                <w:bCs/>
                <w:sz w:val="18"/>
                <w:szCs w:val="20"/>
              </w:rPr>
            </w:pPr>
            <w:r w:rsidRPr="004A0958">
              <w:rPr>
                <w:rFonts w:ascii="Calibri" w:hAnsi="Calibri" w:cs="Arial"/>
                <w:b/>
                <w:bCs/>
                <w:sz w:val="18"/>
                <w:szCs w:val="20"/>
              </w:rPr>
              <w:t>Leisure &amp; Hotels</w:t>
            </w:r>
          </w:p>
        </w:tc>
        <w:tc>
          <w:tcPr>
            <w:tcW w:w="882" w:type="dxa"/>
            <w:shd w:val="clear" w:color="auto" w:fill="EAF1DD"/>
            <w:vAlign w:val="bottom"/>
          </w:tcPr>
          <w:p w:rsidR="00D31F42" w:rsidRPr="004A0958" w:rsidRDefault="00D31F42" w:rsidP="00F27752">
            <w:pPr>
              <w:jc w:val="center"/>
              <w:rPr>
                <w:rFonts w:ascii="Calibri" w:hAnsi="Calibri" w:cs="Arial"/>
                <w:b/>
                <w:bCs/>
                <w:sz w:val="18"/>
                <w:szCs w:val="20"/>
              </w:rPr>
            </w:pPr>
            <w:r w:rsidRPr="004A0958">
              <w:rPr>
                <w:rFonts w:ascii="Calibri" w:hAnsi="Calibri" w:cs="Arial"/>
                <w:b/>
                <w:bCs/>
                <w:sz w:val="18"/>
                <w:szCs w:val="20"/>
              </w:rPr>
              <w:t>Total</w:t>
            </w:r>
          </w:p>
        </w:tc>
      </w:tr>
      <w:tr w:rsidR="00D31F42" w:rsidRPr="004A0958" w:rsidTr="00C11F5B">
        <w:trPr>
          <w:trHeight w:val="270"/>
        </w:trPr>
        <w:tc>
          <w:tcPr>
            <w:tcW w:w="1260" w:type="dxa"/>
            <w:vAlign w:val="bottom"/>
          </w:tcPr>
          <w:p w:rsidR="00D31F42" w:rsidRPr="004A0958" w:rsidRDefault="00D31F42" w:rsidP="00F27752">
            <w:pPr>
              <w:rPr>
                <w:rFonts w:ascii="Calibri" w:hAnsi="Calibri" w:cs="Arial"/>
                <w:sz w:val="18"/>
                <w:szCs w:val="20"/>
              </w:rPr>
            </w:pPr>
            <w:r w:rsidRPr="004A0958">
              <w:rPr>
                <w:rFonts w:ascii="Calibri" w:hAnsi="Calibri" w:cs="Arial"/>
                <w:sz w:val="18"/>
                <w:szCs w:val="20"/>
              </w:rPr>
              <w:t>Listed on SEM</w:t>
            </w:r>
          </w:p>
        </w:tc>
        <w:tc>
          <w:tcPr>
            <w:tcW w:w="990" w:type="dxa"/>
            <w:noWrap/>
            <w:vAlign w:val="bottom"/>
          </w:tcPr>
          <w:p w:rsidR="00D31F42" w:rsidRPr="004A0958" w:rsidRDefault="00D31F42" w:rsidP="00F27752">
            <w:pPr>
              <w:jc w:val="center"/>
              <w:rPr>
                <w:rFonts w:ascii="Calibri" w:hAnsi="Calibri" w:cs="Arial"/>
                <w:sz w:val="18"/>
                <w:szCs w:val="20"/>
              </w:rPr>
            </w:pPr>
            <w:r w:rsidRPr="004A0958">
              <w:rPr>
                <w:rFonts w:ascii="Calibri" w:hAnsi="Calibri" w:cs="Arial"/>
                <w:sz w:val="18"/>
                <w:szCs w:val="20"/>
              </w:rPr>
              <w:t>-</w:t>
            </w:r>
          </w:p>
        </w:tc>
        <w:tc>
          <w:tcPr>
            <w:tcW w:w="1098" w:type="dxa"/>
            <w:vAlign w:val="bottom"/>
          </w:tcPr>
          <w:p w:rsidR="00D31F42" w:rsidRPr="004A0958" w:rsidRDefault="00D31F42" w:rsidP="00F27752">
            <w:pPr>
              <w:jc w:val="center"/>
              <w:rPr>
                <w:rFonts w:ascii="Calibri" w:hAnsi="Calibri" w:cs="Arial"/>
                <w:sz w:val="18"/>
                <w:szCs w:val="20"/>
              </w:rPr>
            </w:pPr>
            <w:r w:rsidRPr="004A0958">
              <w:rPr>
                <w:rFonts w:ascii="Calibri" w:hAnsi="Calibri" w:cs="Arial"/>
                <w:sz w:val="18"/>
                <w:szCs w:val="20"/>
              </w:rPr>
              <w:t>1</w:t>
            </w:r>
          </w:p>
        </w:tc>
        <w:tc>
          <w:tcPr>
            <w:tcW w:w="882" w:type="dxa"/>
            <w:noWrap/>
            <w:vAlign w:val="bottom"/>
          </w:tcPr>
          <w:p w:rsidR="00D31F42" w:rsidRPr="004A0958" w:rsidRDefault="00D31F42" w:rsidP="00F27752">
            <w:pPr>
              <w:jc w:val="center"/>
              <w:rPr>
                <w:rFonts w:ascii="Calibri" w:hAnsi="Calibri" w:cs="Arial"/>
                <w:sz w:val="18"/>
                <w:szCs w:val="20"/>
              </w:rPr>
            </w:pPr>
            <w:r w:rsidRPr="004A0958">
              <w:rPr>
                <w:rFonts w:ascii="Calibri" w:hAnsi="Calibri" w:cs="Arial"/>
                <w:sz w:val="18"/>
                <w:szCs w:val="20"/>
              </w:rPr>
              <w:t>2</w:t>
            </w:r>
          </w:p>
        </w:tc>
        <w:tc>
          <w:tcPr>
            <w:tcW w:w="1098" w:type="dxa"/>
            <w:noWrap/>
            <w:vAlign w:val="bottom"/>
          </w:tcPr>
          <w:p w:rsidR="00D31F42" w:rsidRPr="004A0958" w:rsidRDefault="00D31F42" w:rsidP="00F27752">
            <w:pPr>
              <w:jc w:val="center"/>
              <w:rPr>
                <w:rFonts w:ascii="Calibri" w:hAnsi="Calibri" w:cs="Arial"/>
                <w:sz w:val="18"/>
                <w:szCs w:val="20"/>
              </w:rPr>
            </w:pPr>
            <w:r w:rsidRPr="004A0958">
              <w:rPr>
                <w:rFonts w:ascii="Calibri" w:hAnsi="Calibri" w:cs="Arial"/>
                <w:sz w:val="18"/>
                <w:szCs w:val="20"/>
              </w:rPr>
              <w:t>2</w:t>
            </w:r>
          </w:p>
        </w:tc>
        <w:tc>
          <w:tcPr>
            <w:tcW w:w="900" w:type="dxa"/>
            <w:noWrap/>
            <w:vAlign w:val="bottom"/>
          </w:tcPr>
          <w:p w:rsidR="00D31F42" w:rsidRPr="004A0958" w:rsidRDefault="00D31F42" w:rsidP="00F27752">
            <w:pPr>
              <w:jc w:val="center"/>
              <w:rPr>
                <w:rFonts w:ascii="Calibri" w:hAnsi="Calibri" w:cs="Arial"/>
                <w:sz w:val="18"/>
                <w:szCs w:val="20"/>
              </w:rPr>
            </w:pPr>
            <w:r w:rsidRPr="004A0958">
              <w:rPr>
                <w:rFonts w:ascii="Calibri" w:hAnsi="Calibri" w:cs="Arial"/>
                <w:sz w:val="18"/>
                <w:szCs w:val="20"/>
              </w:rPr>
              <w:t>-</w:t>
            </w:r>
          </w:p>
        </w:tc>
        <w:tc>
          <w:tcPr>
            <w:tcW w:w="882" w:type="dxa"/>
            <w:noWrap/>
            <w:vAlign w:val="bottom"/>
          </w:tcPr>
          <w:p w:rsidR="00D31F42" w:rsidRPr="004A0958" w:rsidRDefault="00D31F42" w:rsidP="00F27752">
            <w:pPr>
              <w:jc w:val="center"/>
              <w:rPr>
                <w:rFonts w:ascii="Calibri" w:hAnsi="Calibri" w:cs="Arial"/>
                <w:b/>
                <w:sz w:val="18"/>
                <w:szCs w:val="20"/>
              </w:rPr>
            </w:pPr>
            <w:r w:rsidRPr="004A0958">
              <w:rPr>
                <w:rFonts w:ascii="Calibri" w:hAnsi="Calibri" w:cs="Arial"/>
                <w:b/>
                <w:sz w:val="18"/>
                <w:szCs w:val="20"/>
              </w:rPr>
              <w:t>5</w:t>
            </w:r>
          </w:p>
        </w:tc>
      </w:tr>
      <w:tr w:rsidR="00D31F42" w:rsidRPr="004A0958" w:rsidTr="00C11F5B">
        <w:trPr>
          <w:trHeight w:val="808"/>
        </w:trPr>
        <w:tc>
          <w:tcPr>
            <w:tcW w:w="1260" w:type="dxa"/>
            <w:vAlign w:val="bottom"/>
          </w:tcPr>
          <w:p w:rsidR="00D31F42" w:rsidRPr="004A0958" w:rsidRDefault="00D31F42" w:rsidP="00F27752">
            <w:pPr>
              <w:rPr>
                <w:rFonts w:ascii="Calibri" w:hAnsi="Calibri" w:cs="Arial"/>
                <w:sz w:val="18"/>
                <w:szCs w:val="20"/>
              </w:rPr>
            </w:pPr>
            <w:r w:rsidRPr="004A0958">
              <w:rPr>
                <w:rFonts w:ascii="Calibri" w:hAnsi="Calibri" w:cs="Arial"/>
                <w:sz w:val="18"/>
                <w:szCs w:val="20"/>
              </w:rPr>
              <w:t>Financial institutions regulated by BOM</w:t>
            </w:r>
          </w:p>
        </w:tc>
        <w:tc>
          <w:tcPr>
            <w:tcW w:w="990" w:type="dxa"/>
            <w:noWrap/>
            <w:vAlign w:val="bottom"/>
          </w:tcPr>
          <w:p w:rsidR="00D31F42" w:rsidRPr="004A0958" w:rsidRDefault="00D31F42" w:rsidP="00F27752">
            <w:pPr>
              <w:jc w:val="center"/>
              <w:rPr>
                <w:rFonts w:ascii="Calibri" w:hAnsi="Calibri" w:cs="Arial"/>
                <w:sz w:val="18"/>
                <w:szCs w:val="20"/>
              </w:rPr>
            </w:pPr>
            <w:r w:rsidRPr="004A0958">
              <w:rPr>
                <w:rFonts w:ascii="Calibri" w:hAnsi="Calibri" w:cs="Arial"/>
                <w:sz w:val="18"/>
                <w:szCs w:val="20"/>
              </w:rPr>
              <w:t>1</w:t>
            </w:r>
          </w:p>
        </w:tc>
        <w:tc>
          <w:tcPr>
            <w:tcW w:w="1098" w:type="dxa"/>
            <w:vAlign w:val="bottom"/>
          </w:tcPr>
          <w:p w:rsidR="00D31F42" w:rsidRPr="004A0958" w:rsidRDefault="00D31F42" w:rsidP="00F27752">
            <w:pPr>
              <w:jc w:val="center"/>
              <w:rPr>
                <w:rFonts w:ascii="Calibri" w:hAnsi="Calibri" w:cs="Arial"/>
                <w:sz w:val="18"/>
                <w:szCs w:val="20"/>
              </w:rPr>
            </w:pPr>
            <w:r w:rsidRPr="004A0958">
              <w:rPr>
                <w:rFonts w:ascii="Calibri" w:hAnsi="Calibri" w:cs="Arial"/>
                <w:sz w:val="18"/>
                <w:szCs w:val="20"/>
              </w:rPr>
              <w:t>-</w:t>
            </w:r>
          </w:p>
        </w:tc>
        <w:tc>
          <w:tcPr>
            <w:tcW w:w="882" w:type="dxa"/>
            <w:noWrap/>
            <w:vAlign w:val="bottom"/>
          </w:tcPr>
          <w:p w:rsidR="00D31F42" w:rsidRPr="004A0958" w:rsidRDefault="00D31F42" w:rsidP="00F27752">
            <w:pPr>
              <w:jc w:val="center"/>
              <w:rPr>
                <w:rFonts w:ascii="Calibri" w:hAnsi="Calibri" w:cs="Arial"/>
                <w:sz w:val="18"/>
                <w:szCs w:val="20"/>
              </w:rPr>
            </w:pPr>
            <w:r w:rsidRPr="004A0958">
              <w:rPr>
                <w:rFonts w:ascii="Calibri" w:hAnsi="Calibri" w:cs="Arial"/>
                <w:sz w:val="18"/>
                <w:szCs w:val="20"/>
              </w:rPr>
              <w:t>-</w:t>
            </w:r>
          </w:p>
        </w:tc>
        <w:tc>
          <w:tcPr>
            <w:tcW w:w="1098" w:type="dxa"/>
            <w:noWrap/>
            <w:vAlign w:val="bottom"/>
          </w:tcPr>
          <w:p w:rsidR="00D31F42" w:rsidRPr="004A0958" w:rsidRDefault="00D31F42" w:rsidP="00F27752">
            <w:pPr>
              <w:jc w:val="center"/>
              <w:rPr>
                <w:rFonts w:ascii="Calibri" w:hAnsi="Calibri" w:cs="Arial"/>
                <w:sz w:val="18"/>
                <w:szCs w:val="20"/>
              </w:rPr>
            </w:pPr>
            <w:r w:rsidRPr="004A0958">
              <w:rPr>
                <w:rFonts w:ascii="Calibri" w:hAnsi="Calibri" w:cs="Arial"/>
                <w:sz w:val="18"/>
                <w:szCs w:val="20"/>
              </w:rPr>
              <w:t>-</w:t>
            </w:r>
          </w:p>
        </w:tc>
        <w:tc>
          <w:tcPr>
            <w:tcW w:w="900" w:type="dxa"/>
            <w:noWrap/>
            <w:vAlign w:val="bottom"/>
          </w:tcPr>
          <w:p w:rsidR="00D31F42" w:rsidRPr="004A0958" w:rsidRDefault="00D31F42" w:rsidP="00F27752">
            <w:pPr>
              <w:jc w:val="center"/>
              <w:rPr>
                <w:rFonts w:ascii="Calibri" w:hAnsi="Calibri" w:cs="Arial"/>
                <w:sz w:val="18"/>
                <w:szCs w:val="20"/>
              </w:rPr>
            </w:pPr>
            <w:r w:rsidRPr="004A0958">
              <w:rPr>
                <w:rFonts w:ascii="Calibri" w:hAnsi="Calibri" w:cs="Arial"/>
                <w:sz w:val="18"/>
                <w:szCs w:val="20"/>
              </w:rPr>
              <w:t>-</w:t>
            </w:r>
          </w:p>
        </w:tc>
        <w:tc>
          <w:tcPr>
            <w:tcW w:w="882" w:type="dxa"/>
            <w:noWrap/>
            <w:vAlign w:val="bottom"/>
          </w:tcPr>
          <w:p w:rsidR="00D31F42" w:rsidRPr="004A0958" w:rsidRDefault="00D31F42" w:rsidP="00F27752">
            <w:pPr>
              <w:jc w:val="center"/>
              <w:rPr>
                <w:rFonts w:ascii="Calibri" w:hAnsi="Calibri" w:cs="Arial"/>
                <w:b/>
                <w:sz w:val="18"/>
                <w:szCs w:val="20"/>
              </w:rPr>
            </w:pPr>
            <w:r w:rsidRPr="004A0958">
              <w:rPr>
                <w:rFonts w:ascii="Calibri" w:hAnsi="Calibri" w:cs="Arial"/>
                <w:b/>
                <w:sz w:val="18"/>
                <w:szCs w:val="20"/>
              </w:rPr>
              <w:t>1</w:t>
            </w:r>
          </w:p>
        </w:tc>
      </w:tr>
      <w:tr w:rsidR="00D31F42" w:rsidRPr="004A0958" w:rsidTr="00C11F5B">
        <w:trPr>
          <w:trHeight w:val="270"/>
        </w:trPr>
        <w:tc>
          <w:tcPr>
            <w:tcW w:w="1260" w:type="dxa"/>
            <w:vAlign w:val="bottom"/>
          </w:tcPr>
          <w:p w:rsidR="00D31F42" w:rsidRPr="004A0958" w:rsidRDefault="00D31F42" w:rsidP="00F27752">
            <w:pPr>
              <w:rPr>
                <w:rFonts w:ascii="Calibri" w:hAnsi="Calibri" w:cs="Arial"/>
                <w:sz w:val="18"/>
                <w:szCs w:val="20"/>
              </w:rPr>
            </w:pPr>
            <w:r w:rsidRPr="004A0958">
              <w:rPr>
                <w:rFonts w:ascii="Calibri" w:hAnsi="Calibri" w:cs="Arial"/>
                <w:sz w:val="18"/>
                <w:szCs w:val="20"/>
              </w:rPr>
              <w:t>Category 4 PIEs as per the FRA</w:t>
            </w:r>
          </w:p>
        </w:tc>
        <w:tc>
          <w:tcPr>
            <w:tcW w:w="990" w:type="dxa"/>
            <w:noWrap/>
            <w:vAlign w:val="bottom"/>
          </w:tcPr>
          <w:p w:rsidR="00D31F42" w:rsidRPr="004A0958" w:rsidRDefault="00D31F42" w:rsidP="00F27752">
            <w:pPr>
              <w:jc w:val="center"/>
              <w:rPr>
                <w:rFonts w:ascii="Calibri" w:hAnsi="Calibri" w:cs="Arial"/>
                <w:sz w:val="18"/>
                <w:szCs w:val="20"/>
              </w:rPr>
            </w:pPr>
            <w:r w:rsidRPr="004A0958">
              <w:rPr>
                <w:rFonts w:ascii="Calibri" w:hAnsi="Calibri" w:cs="Arial"/>
                <w:sz w:val="18"/>
                <w:szCs w:val="20"/>
              </w:rPr>
              <w:t>-</w:t>
            </w:r>
          </w:p>
        </w:tc>
        <w:tc>
          <w:tcPr>
            <w:tcW w:w="1098" w:type="dxa"/>
            <w:vAlign w:val="bottom"/>
          </w:tcPr>
          <w:p w:rsidR="00D31F42" w:rsidRPr="004A0958" w:rsidRDefault="00D31F42" w:rsidP="00F27752">
            <w:pPr>
              <w:jc w:val="center"/>
              <w:rPr>
                <w:rFonts w:ascii="Calibri" w:hAnsi="Calibri" w:cs="Arial"/>
                <w:sz w:val="18"/>
                <w:szCs w:val="20"/>
              </w:rPr>
            </w:pPr>
            <w:r w:rsidRPr="004A0958">
              <w:rPr>
                <w:rFonts w:ascii="Calibri" w:hAnsi="Calibri" w:cs="Arial"/>
                <w:sz w:val="18"/>
                <w:szCs w:val="20"/>
              </w:rPr>
              <w:t>2</w:t>
            </w:r>
          </w:p>
        </w:tc>
        <w:tc>
          <w:tcPr>
            <w:tcW w:w="882" w:type="dxa"/>
            <w:noWrap/>
            <w:vAlign w:val="bottom"/>
          </w:tcPr>
          <w:p w:rsidR="00D31F42" w:rsidRPr="004A0958" w:rsidRDefault="00D31F42" w:rsidP="00F27752">
            <w:pPr>
              <w:jc w:val="center"/>
              <w:rPr>
                <w:rFonts w:ascii="Calibri" w:hAnsi="Calibri" w:cs="Arial"/>
                <w:sz w:val="18"/>
                <w:szCs w:val="20"/>
              </w:rPr>
            </w:pPr>
            <w:r w:rsidRPr="004A0958">
              <w:rPr>
                <w:rFonts w:ascii="Calibri" w:hAnsi="Calibri" w:cs="Arial"/>
                <w:sz w:val="18"/>
                <w:szCs w:val="20"/>
              </w:rPr>
              <w:t>2</w:t>
            </w:r>
          </w:p>
        </w:tc>
        <w:tc>
          <w:tcPr>
            <w:tcW w:w="1098" w:type="dxa"/>
            <w:noWrap/>
            <w:vAlign w:val="bottom"/>
          </w:tcPr>
          <w:p w:rsidR="00D31F42" w:rsidRPr="004A0958" w:rsidRDefault="00D31F42" w:rsidP="00F27752">
            <w:pPr>
              <w:jc w:val="center"/>
              <w:rPr>
                <w:rFonts w:ascii="Calibri" w:hAnsi="Calibri" w:cs="Arial"/>
                <w:sz w:val="18"/>
                <w:szCs w:val="20"/>
              </w:rPr>
            </w:pPr>
            <w:r w:rsidRPr="004A0958">
              <w:rPr>
                <w:rFonts w:ascii="Calibri" w:hAnsi="Calibri" w:cs="Arial"/>
                <w:sz w:val="18"/>
                <w:szCs w:val="20"/>
              </w:rPr>
              <w:t>-</w:t>
            </w:r>
          </w:p>
        </w:tc>
        <w:tc>
          <w:tcPr>
            <w:tcW w:w="900" w:type="dxa"/>
            <w:noWrap/>
            <w:vAlign w:val="bottom"/>
          </w:tcPr>
          <w:p w:rsidR="00D31F42" w:rsidRPr="004A0958" w:rsidRDefault="00D31F42" w:rsidP="00F27752">
            <w:pPr>
              <w:jc w:val="center"/>
              <w:rPr>
                <w:rFonts w:ascii="Calibri" w:hAnsi="Calibri" w:cs="Arial"/>
                <w:sz w:val="18"/>
                <w:szCs w:val="20"/>
              </w:rPr>
            </w:pPr>
            <w:r w:rsidRPr="004A0958">
              <w:rPr>
                <w:rFonts w:ascii="Calibri" w:hAnsi="Calibri" w:cs="Arial"/>
                <w:sz w:val="18"/>
                <w:szCs w:val="20"/>
              </w:rPr>
              <w:t>-</w:t>
            </w:r>
          </w:p>
        </w:tc>
        <w:tc>
          <w:tcPr>
            <w:tcW w:w="882" w:type="dxa"/>
            <w:noWrap/>
            <w:vAlign w:val="bottom"/>
          </w:tcPr>
          <w:p w:rsidR="00D31F42" w:rsidRPr="004A0958" w:rsidRDefault="00D31F42" w:rsidP="00F27752">
            <w:pPr>
              <w:jc w:val="center"/>
              <w:rPr>
                <w:rFonts w:ascii="Calibri" w:hAnsi="Calibri" w:cs="Arial"/>
                <w:b/>
                <w:sz w:val="18"/>
                <w:szCs w:val="20"/>
              </w:rPr>
            </w:pPr>
            <w:r w:rsidRPr="004A0958">
              <w:rPr>
                <w:rFonts w:ascii="Calibri" w:hAnsi="Calibri" w:cs="Arial"/>
                <w:b/>
                <w:sz w:val="18"/>
                <w:szCs w:val="20"/>
              </w:rPr>
              <w:t>4</w:t>
            </w:r>
          </w:p>
        </w:tc>
      </w:tr>
      <w:tr w:rsidR="00D31F42" w:rsidRPr="004A0958" w:rsidTr="00C11F5B">
        <w:trPr>
          <w:trHeight w:val="270"/>
        </w:trPr>
        <w:tc>
          <w:tcPr>
            <w:tcW w:w="1260" w:type="dxa"/>
            <w:vAlign w:val="bottom"/>
          </w:tcPr>
          <w:p w:rsidR="00D31F42" w:rsidRPr="004A0958" w:rsidRDefault="00B8629A" w:rsidP="00F27752">
            <w:pPr>
              <w:jc w:val="both"/>
              <w:rPr>
                <w:rFonts w:ascii="Calibri" w:hAnsi="Calibri" w:cs="Arial"/>
                <w:bCs/>
                <w:sz w:val="18"/>
                <w:szCs w:val="20"/>
              </w:rPr>
            </w:pPr>
            <w:r>
              <w:rPr>
                <w:rFonts w:ascii="Calibri" w:hAnsi="Calibri" w:cs="Arial"/>
                <w:sz w:val="18"/>
                <w:szCs w:val="20"/>
              </w:rPr>
              <w:t xml:space="preserve">SOEs as per the </w:t>
            </w:r>
            <w:r w:rsidR="00D31F42" w:rsidRPr="004A0958">
              <w:rPr>
                <w:rFonts w:ascii="Calibri" w:hAnsi="Calibri" w:cs="Arial"/>
                <w:sz w:val="18"/>
                <w:szCs w:val="20"/>
              </w:rPr>
              <w:t>First Schedule of FRA</w:t>
            </w:r>
          </w:p>
        </w:tc>
        <w:tc>
          <w:tcPr>
            <w:tcW w:w="990" w:type="dxa"/>
            <w:noWrap/>
            <w:vAlign w:val="bottom"/>
          </w:tcPr>
          <w:p w:rsidR="00D31F42" w:rsidRPr="004A0958" w:rsidRDefault="00D31F42" w:rsidP="00F27752">
            <w:pPr>
              <w:jc w:val="center"/>
              <w:rPr>
                <w:rFonts w:ascii="Calibri" w:hAnsi="Calibri" w:cs="Arial"/>
                <w:bCs/>
                <w:sz w:val="18"/>
                <w:szCs w:val="20"/>
              </w:rPr>
            </w:pPr>
            <w:r w:rsidRPr="004A0958">
              <w:rPr>
                <w:rFonts w:ascii="Calibri" w:hAnsi="Calibri" w:cs="Arial"/>
                <w:bCs/>
                <w:sz w:val="18"/>
                <w:szCs w:val="20"/>
              </w:rPr>
              <w:t>1</w:t>
            </w:r>
          </w:p>
        </w:tc>
        <w:tc>
          <w:tcPr>
            <w:tcW w:w="1098" w:type="dxa"/>
            <w:vAlign w:val="bottom"/>
          </w:tcPr>
          <w:p w:rsidR="00D31F42" w:rsidRPr="004A0958" w:rsidRDefault="00D31F42" w:rsidP="00F27752">
            <w:pPr>
              <w:jc w:val="center"/>
              <w:rPr>
                <w:rFonts w:ascii="Calibri" w:hAnsi="Calibri" w:cs="Arial"/>
                <w:bCs/>
                <w:sz w:val="18"/>
                <w:szCs w:val="20"/>
              </w:rPr>
            </w:pPr>
            <w:r w:rsidRPr="004A0958">
              <w:rPr>
                <w:rFonts w:ascii="Calibri" w:hAnsi="Calibri" w:cs="Arial"/>
                <w:bCs/>
                <w:sz w:val="18"/>
                <w:szCs w:val="20"/>
              </w:rPr>
              <w:t>1</w:t>
            </w:r>
          </w:p>
        </w:tc>
        <w:tc>
          <w:tcPr>
            <w:tcW w:w="882" w:type="dxa"/>
            <w:noWrap/>
            <w:vAlign w:val="bottom"/>
          </w:tcPr>
          <w:p w:rsidR="00D31F42" w:rsidRPr="004A0958" w:rsidRDefault="00D31F42" w:rsidP="00F27752">
            <w:pPr>
              <w:jc w:val="center"/>
              <w:rPr>
                <w:rFonts w:ascii="Calibri" w:hAnsi="Calibri" w:cs="Arial"/>
                <w:bCs/>
                <w:sz w:val="18"/>
                <w:szCs w:val="20"/>
              </w:rPr>
            </w:pPr>
            <w:r w:rsidRPr="004A0958">
              <w:rPr>
                <w:rFonts w:ascii="Calibri" w:hAnsi="Calibri" w:cs="Arial"/>
                <w:bCs/>
                <w:sz w:val="18"/>
                <w:szCs w:val="20"/>
              </w:rPr>
              <w:t>-</w:t>
            </w:r>
          </w:p>
        </w:tc>
        <w:tc>
          <w:tcPr>
            <w:tcW w:w="1098" w:type="dxa"/>
            <w:noWrap/>
            <w:vAlign w:val="bottom"/>
          </w:tcPr>
          <w:p w:rsidR="00D31F42" w:rsidRPr="004A0958" w:rsidRDefault="00D31F42" w:rsidP="00F27752">
            <w:pPr>
              <w:jc w:val="center"/>
              <w:rPr>
                <w:rFonts w:ascii="Calibri" w:hAnsi="Calibri" w:cs="Arial"/>
                <w:bCs/>
                <w:sz w:val="18"/>
                <w:szCs w:val="20"/>
              </w:rPr>
            </w:pPr>
            <w:r w:rsidRPr="004A0958">
              <w:rPr>
                <w:rFonts w:ascii="Calibri" w:hAnsi="Calibri" w:cs="Arial"/>
                <w:bCs/>
                <w:sz w:val="18"/>
                <w:szCs w:val="20"/>
              </w:rPr>
              <w:t>-</w:t>
            </w:r>
          </w:p>
        </w:tc>
        <w:tc>
          <w:tcPr>
            <w:tcW w:w="900" w:type="dxa"/>
            <w:noWrap/>
            <w:vAlign w:val="bottom"/>
          </w:tcPr>
          <w:p w:rsidR="00D31F42" w:rsidRPr="004A0958" w:rsidRDefault="00D31F42" w:rsidP="00F27752">
            <w:pPr>
              <w:jc w:val="center"/>
              <w:rPr>
                <w:rFonts w:ascii="Calibri" w:hAnsi="Calibri" w:cs="Arial"/>
                <w:bCs/>
                <w:sz w:val="18"/>
                <w:szCs w:val="20"/>
              </w:rPr>
            </w:pPr>
            <w:r w:rsidRPr="004A0958">
              <w:rPr>
                <w:rFonts w:ascii="Calibri" w:hAnsi="Calibri" w:cs="Arial"/>
                <w:bCs/>
                <w:sz w:val="18"/>
                <w:szCs w:val="20"/>
              </w:rPr>
              <w:t>1</w:t>
            </w:r>
          </w:p>
        </w:tc>
        <w:tc>
          <w:tcPr>
            <w:tcW w:w="882" w:type="dxa"/>
            <w:noWrap/>
            <w:vAlign w:val="bottom"/>
          </w:tcPr>
          <w:p w:rsidR="00D31F42" w:rsidRPr="004A0958" w:rsidRDefault="00D31F42" w:rsidP="00F27752">
            <w:pPr>
              <w:jc w:val="center"/>
              <w:rPr>
                <w:rFonts w:ascii="Calibri" w:hAnsi="Calibri" w:cs="Arial"/>
                <w:b/>
                <w:bCs/>
                <w:sz w:val="18"/>
                <w:szCs w:val="20"/>
              </w:rPr>
            </w:pPr>
            <w:r w:rsidRPr="004A0958">
              <w:rPr>
                <w:rFonts w:ascii="Calibri" w:hAnsi="Calibri" w:cs="Arial"/>
                <w:b/>
                <w:bCs/>
                <w:sz w:val="18"/>
                <w:szCs w:val="20"/>
              </w:rPr>
              <w:t>3</w:t>
            </w:r>
          </w:p>
        </w:tc>
      </w:tr>
      <w:tr w:rsidR="00D31F42" w:rsidRPr="004A0958" w:rsidTr="00C11F5B">
        <w:trPr>
          <w:trHeight w:val="223"/>
        </w:trPr>
        <w:tc>
          <w:tcPr>
            <w:tcW w:w="1260" w:type="dxa"/>
            <w:vAlign w:val="bottom"/>
          </w:tcPr>
          <w:p w:rsidR="00D31F42" w:rsidRPr="004A0958" w:rsidRDefault="00D31F42" w:rsidP="00F27752">
            <w:pPr>
              <w:jc w:val="center"/>
              <w:rPr>
                <w:rFonts w:ascii="Calibri" w:hAnsi="Calibri" w:cs="Arial"/>
                <w:b/>
                <w:bCs/>
                <w:sz w:val="18"/>
                <w:szCs w:val="20"/>
              </w:rPr>
            </w:pPr>
            <w:r w:rsidRPr="004A0958">
              <w:rPr>
                <w:rFonts w:ascii="Calibri" w:hAnsi="Calibri" w:cs="Arial"/>
                <w:b/>
                <w:bCs/>
                <w:sz w:val="18"/>
                <w:szCs w:val="20"/>
              </w:rPr>
              <w:t>Total</w:t>
            </w:r>
          </w:p>
        </w:tc>
        <w:tc>
          <w:tcPr>
            <w:tcW w:w="990" w:type="dxa"/>
            <w:noWrap/>
            <w:vAlign w:val="bottom"/>
          </w:tcPr>
          <w:p w:rsidR="00D31F42" w:rsidRPr="004A0958" w:rsidRDefault="00D31F42" w:rsidP="00F27752">
            <w:pPr>
              <w:jc w:val="center"/>
              <w:rPr>
                <w:rFonts w:ascii="Calibri" w:hAnsi="Calibri" w:cs="Arial"/>
                <w:b/>
                <w:bCs/>
                <w:sz w:val="18"/>
                <w:szCs w:val="20"/>
              </w:rPr>
            </w:pPr>
            <w:r w:rsidRPr="004A0958">
              <w:rPr>
                <w:rFonts w:ascii="Calibri" w:hAnsi="Calibri" w:cs="Arial"/>
                <w:b/>
                <w:bCs/>
                <w:sz w:val="18"/>
                <w:szCs w:val="20"/>
              </w:rPr>
              <w:t>2</w:t>
            </w:r>
          </w:p>
        </w:tc>
        <w:tc>
          <w:tcPr>
            <w:tcW w:w="1098" w:type="dxa"/>
            <w:vAlign w:val="bottom"/>
          </w:tcPr>
          <w:p w:rsidR="00D31F42" w:rsidRPr="004A0958" w:rsidRDefault="00D31F42" w:rsidP="00F27752">
            <w:pPr>
              <w:jc w:val="center"/>
              <w:rPr>
                <w:rFonts w:ascii="Calibri" w:hAnsi="Calibri" w:cs="Arial"/>
                <w:b/>
                <w:bCs/>
                <w:sz w:val="18"/>
                <w:szCs w:val="20"/>
              </w:rPr>
            </w:pPr>
            <w:r w:rsidRPr="004A0958">
              <w:rPr>
                <w:rFonts w:ascii="Calibri" w:hAnsi="Calibri" w:cs="Arial"/>
                <w:b/>
                <w:bCs/>
                <w:sz w:val="18"/>
                <w:szCs w:val="20"/>
              </w:rPr>
              <w:t>4</w:t>
            </w:r>
          </w:p>
        </w:tc>
        <w:tc>
          <w:tcPr>
            <w:tcW w:w="882" w:type="dxa"/>
            <w:noWrap/>
            <w:vAlign w:val="bottom"/>
          </w:tcPr>
          <w:p w:rsidR="00D31F42" w:rsidRPr="004A0958" w:rsidRDefault="00D31F42" w:rsidP="00F27752">
            <w:pPr>
              <w:jc w:val="center"/>
              <w:rPr>
                <w:rFonts w:ascii="Calibri" w:hAnsi="Calibri" w:cs="Arial"/>
                <w:b/>
                <w:bCs/>
                <w:sz w:val="18"/>
                <w:szCs w:val="20"/>
              </w:rPr>
            </w:pPr>
            <w:r w:rsidRPr="004A0958">
              <w:rPr>
                <w:rFonts w:ascii="Calibri" w:hAnsi="Calibri" w:cs="Arial"/>
                <w:b/>
                <w:bCs/>
                <w:sz w:val="18"/>
                <w:szCs w:val="20"/>
              </w:rPr>
              <w:t>4</w:t>
            </w:r>
          </w:p>
        </w:tc>
        <w:tc>
          <w:tcPr>
            <w:tcW w:w="1098" w:type="dxa"/>
            <w:noWrap/>
            <w:vAlign w:val="bottom"/>
          </w:tcPr>
          <w:p w:rsidR="00D31F42" w:rsidRPr="004A0958" w:rsidRDefault="00D31F42" w:rsidP="00F27752">
            <w:pPr>
              <w:jc w:val="center"/>
              <w:rPr>
                <w:rFonts w:ascii="Calibri" w:hAnsi="Calibri" w:cs="Arial"/>
                <w:b/>
                <w:bCs/>
                <w:sz w:val="18"/>
                <w:szCs w:val="20"/>
              </w:rPr>
            </w:pPr>
            <w:r w:rsidRPr="004A0958">
              <w:rPr>
                <w:rFonts w:ascii="Calibri" w:hAnsi="Calibri" w:cs="Arial"/>
                <w:b/>
                <w:bCs/>
                <w:sz w:val="18"/>
                <w:szCs w:val="20"/>
              </w:rPr>
              <w:t>2</w:t>
            </w:r>
          </w:p>
        </w:tc>
        <w:tc>
          <w:tcPr>
            <w:tcW w:w="900" w:type="dxa"/>
            <w:noWrap/>
            <w:vAlign w:val="bottom"/>
          </w:tcPr>
          <w:p w:rsidR="00D31F42" w:rsidRPr="004A0958" w:rsidRDefault="00D31F42" w:rsidP="00F27752">
            <w:pPr>
              <w:jc w:val="center"/>
              <w:rPr>
                <w:rFonts w:ascii="Calibri" w:hAnsi="Calibri" w:cs="Arial"/>
                <w:b/>
                <w:bCs/>
                <w:sz w:val="18"/>
                <w:szCs w:val="20"/>
              </w:rPr>
            </w:pPr>
            <w:r w:rsidRPr="004A0958">
              <w:rPr>
                <w:rFonts w:ascii="Calibri" w:hAnsi="Calibri" w:cs="Arial"/>
                <w:b/>
                <w:bCs/>
                <w:sz w:val="18"/>
                <w:szCs w:val="20"/>
              </w:rPr>
              <w:t>1</w:t>
            </w:r>
          </w:p>
        </w:tc>
        <w:tc>
          <w:tcPr>
            <w:tcW w:w="882" w:type="dxa"/>
            <w:noWrap/>
            <w:vAlign w:val="bottom"/>
          </w:tcPr>
          <w:p w:rsidR="00D31F42" w:rsidRPr="004A0958" w:rsidRDefault="00D31F42" w:rsidP="00F27752">
            <w:pPr>
              <w:jc w:val="center"/>
              <w:rPr>
                <w:rFonts w:ascii="Calibri" w:hAnsi="Calibri" w:cs="Arial"/>
                <w:b/>
                <w:bCs/>
                <w:sz w:val="18"/>
                <w:szCs w:val="20"/>
              </w:rPr>
            </w:pPr>
            <w:r w:rsidRPr="004A0958">
              <w:rPr>
                <w:rFonts w:ascii="Calibri" w:hAnsi="Calibri" w:cs="Arial"/>
                <w:b/>
                <w:bCs/>
                <w:sz w:val="18"/>
                <w:szCs w:val="20"/>
              </w:rPr>
              <w:t>13</w:t>
            </w:r>
          </w:p>
        </w:tc>
      </w:tr>
    </w:tbl>
    <w:p w:rsidR="00D31F42" w:rsidRPr="004A0958" w:rsidRDefault="00D31F42" w:rsidP="00BF0628">
      <w:pPr>
        <w:tabs>
          <w:tab w:val="left" w:pos="720"/>
        </w:tabs>
        <w:jc w:val="both"/>
        <w:rPr>
          <w:rFonts w:ascii="Calibri" w:hAnsi="Calibri" w:cs="Arial"/>
          <w:b/>
          <w:color w:val="0000FF"/>
          <w:sz w:val="28"/>
          <w:szCs w:val="28"/>
        </w:rPr>
      </w:pPr>
    </w:p>
    <w:p w:rsidR="00D31F42" w:rsidRPr="004A0958" w:rsidRDefault="00D31F42" w:rsidP="00BF0628">
      <w:pPr>
        <w:tabs>
          <w:tab w:val="left" w:pos="720"/>
        </w:tabs>
        <w:jc w:val="both"/>
        <w:rPr>
          <w:rFonts w:ascii="Calibri" w:hAnsi="Calibri" w:cs="Arial"/>
          <w:b/>
          <w:color w:val="0000FF"/>
          <w:sz w:val="28"/>
          <w:szCs w:val="28"/>
        </w:rPr>
      </w:pPr>
    </w:p>
    <w:p w:rsidR="00D31F42" w:rsidRPr="004A0958" w:rsidRDefault="00D31F42" w:rsidP="00BF0628">
      <w:pPr>
        <w:tabs>
          <w:tab w:val="left" w:pos="720"/>
        </w:tabs>
        <w:jc w:val="both"/>
        <w:rPr>
          <w:rFonts w:ascii="Calibri" w:hAnsi="Calibri" w:cs="Arial"/>
          <w:b/>
          <w:color w:val="0000FF"/>
          <w:sz w:val="28"/>
          <w:szCs w:val="28"/>
        </w:rPr>
      </w:pPr>
    </w:p>
    <w:p w:rsidR="00D31F42" w:rsidRPr="004A0958" w:rsidRDefault="00D31F42" w:rsidP="00BF0628">
      <w:pPr>
        <w:tabs>
          <w:tab w:val="left" w:pos="720"/>
        </w:tabs>
        <w:jc w:val="both"/>
        <w:rPr>
          <w:rFonts w:ascii="Calibri" w:hAnsi="Calibri" w:cs="Arial"/>
          <w:b/>
          <w:color w:val="0000FF"/>
          <w:sz w:val="28"/>
          <w:szCs w:val="28"/>
        </w:rPr>
      </w:pPr>
    </w:p>
    <w:p w:rsidR="00D31F42" w:rsidRPr="004A0958" w:rsidRDefault="00D31F42" w:rsidP="00BF0628">
      <w:pPr>
        <w:tabs>
          <w:tab w:val="left" w:pos="720"/>
        </w:tabs>
        <w:jc w:val="both"/>
        <w:rPr>
          <w:rFonts w:ascii="Calibri" w:hAnsi="Calibri" w:cs="Arial"/>
          <w:b/>
          <w:color w:val="0000FF"/>
          <w:sz w:val="28"/>
          <w:szCs w:val="28"/>
        </w:rPr>
      </w:pPr>
    </w:p>
    <w:p w:rsidR="00D31F42" w:rsidRPr="004A0958" w:rsidRDefault="00D31F42" w:rsidP="00BF0628">
      <w:pPr>
        <w:tabs>
          <w:tab w:val="left" w:pos="720"/>
        </w:tabs>
        <w:jc w:val="both"/>
        <w:rPr>
          <w:rFonts w:ascii="Calibri" w:hAnsi="Calibri" w:cs="Arial"/>
          <w:b/>
          <w:color w:val="0000FF"/>
          <w:sz w:val="28"/>
          <w:szCs w:val="28"/>
        </w:rPr>
      </w:pPr>
    </w:p>
    <w:p w:rsidR="00D31F42" w:rsidRPr="004A0958" w:rsidRDefault="00D31F42" w:rsidP="00BF0628">
      <w:pPr>
        <w:tabs>
          <w:tab w:val="left" w:pos="720"/>
        </w:tabs>
        <w:jc w:val="both"/>
        <w:rPr>
          <w:rFonts w:ascii="Calibri" w:hAnsi="Calibri" w:cs="Arial"/>
          <w:b/>
          <w:color w:val="0000FF"/>
          <w:sz w:val="28"/>
          <w:szCs w:val="28"/>
        </w:rPr>
      </w:pPr>
    </w:p>
    <w:p w:rsidR="00D31F42" w:rsidRPr="004A0958" w:rsidRDefault="00D31F42" w:rsidP="00BF0628">
      <w:pPr>
        <w:tabs>
          <w:tab w:val="left" w:pos="720"/>
        </w:tabs>
        <w:jc w:val="both"/>
        <w:rPr>
          <w:rFonts w:ascii="Calibri" w:hAnsi="Calibri" w:cs="Arial"/>
          <w:b/>
          <w:color w:val="0000FF"/>
          <w:sz w:val="28"/>
          <w:szCs w:val="28"/>
        </w:rPr>
      </w:pPr>
    </w:p>
    <w:p w:rsidR="00D31F42" w:rsidRPr="004A0958" w:rsidRDefault="00D31F42" w:rsidP="00BF0628">
      <w:pPr>
        <w:tabs>
          <w:tab w:val="left" w:pos="720"/>
        </w:tabs>
        <w:jc w:val="both"/>
        <w:rPr>
          <w:rFonts w:ascii="Calibri" w:hAnsi="Calibri" w:cs="Arial"/>
          <w:b/>
          <w:color w:val="0000FF"/>
          <w:sz w:val="28"/>
          <w:szCs w:val="28"/>
        </w:rPr>
      </w:pPr>
    </w:p>
    <w:p w:rsidR="00D31F42" w:rsidRPr="004A0958" w:rsidRDefault="00D31F42" w:rsidP="00BF0628">
      <w:pPr>
        <w:tabs>
          <w:tab w:val="left" w:pos="720"/>
        </w:tabs>
        <w:jc w:val="both"/>
        <w:rPr>
          <w:rFonts w:ascii="Calibri" w:hAnsi="Calibri" w:cs="Arial"/>
          <w:b/>
          <w:color w:val="0000FF"/>
          <w:sz w:val="28"/>
          <w:szCs w:val="28"/>
        </w:rPr>
      </w:pPr>
    </w:p>
    <w:p w:rsidR="00D31F42" w:rsidRPr="004A0958" w:rsidRDefault="00D31F42" w:rsidP="00BF0628">
      <w:pPr>
        <w:tabs>
          <w:tab w:val="left" w:pos="720"/>
        </w:tabs>
        <w:jc w:val="both"/>
        <w:rPr>
          <w:rFonts w:ascii="Calibri" w:hAnsi="Calibri" w:cs="Arial"/>
          <w:b/>
          <w:color w:val="0000FF"/>
          <w:sz w:val="28"/>
          <w:szCs w:val="28"/>
        </w:rPr>
      </w:pPr>
    </w:p>
    <w:p w:rsidR="00D31F42" w:rsidRPr="004A0958" w:rsidRDefault="00D31F42" w:rsidP="001D29E1">
      <w:pPr>
        <w:ind w:left="720" w:hanging="720"/>
        <w:jc w:val="both"/>
        <w:rPr>
          <w:rFonts w:ascii="Calibri" w:hAnsi="Calibri" w:cs="Arial"/>
        </w:rPr>
      </w:pPr>
    </w:p>
    <w:p w:rsidR="001E04F4" w:rsidRDefault="001E04F4" w:rsidP="0076722A">
      <w:pPr>
        <w:ind w:left="1080"/>
        <w:jc w:val="both"/>
        <w:rPr>
          <w:rFonts w:ascii="Calibri" w:hAnsi="Calibri"/>
          <w:highlight w:val="yellow"/>
        </w:rPr>
      </w:pPr>
    </w:p>
    <w:p w:rsidR="00D31F42" w:rsidRPr="004A0958" w:rsidRDefault="00F244A0" w:rsidP="0076722A">
      <w:pPr>
        <w:ind w:left="1080"/>
        <w:jc w:val="both"/>
        <w:rPr>
          <w:rFonts w:ascii="Calibri" w:hAnsi="Calibri"/>
        </w:rPr>
      </w:pPr>
      <w:r>
        <w:rPr>
          <w:rFonts w:ascii="Calibri" w:hAnsi="Calibri"/>
        </w:rPr>
        <w:t>With respect to these PIEs,</w:t>
      </w:r>
      <w:r w:rsidRPr="00DE3FCD">
        <w:rPr>
          <w:rFonts w:ascii="Calibri" w:hAnsi="Calibri"/>
        </w:rPr>
        <w:t xml:space="preserve"> </w:t>
      </w:r>
      <w:r w:rsidR="00D31F42" w:rsidRPr="00DE3FCD">
        <w:rPr>
          <w:rFonts w:ascii="Calibri" w:hAnsi="Calibri"/>
        </w:rPr>
        <w:t xml:space="preserve">FRC </w:t>
      </w:r>
      <w:r w:rsidR="0057010B" w:rsidRPr="00DE3FCD">
        <w:rPr>
          <w:rFonts w:ascii="Calibri" w:hAnsi="Calibri"/>
        </w:rPr>
        <w:t>identified</w:t>
      </w:r>
      <w:r w:rsidR="006C5C83" w:rsidRPr="00DE3FCD">
        <w:rPr>
          <w:rFonts w:ascii="Calibri" w:hAnsi="Calibri"/>
        </w:rPr>
        <w:t xml:space="preserve"> issues </w:t>
      </w:r>
      <w:r w:rsidR="0057010B" w:rsidRPr="00DE3FCD">
        <w:rPr>
          <w:rFonts w:ascii="Calibri" w:hAnsi="Calibri"/>
        </w:rPr>
        <w:t>relating to</w:t>
      </w:r>
      <w:r w:rsidR="006C5C83" w:rsidRPr="00DE3FCD">
        <w:rPr>
          <w:rFonts w:ascii="Calibri" w:hAnsi="Calibri"/>
        </w:rPr>
        <w:t xml:space="preserve"> </w:t>
      </w:r>
      <w:r w:rsidR="00D31F42" w:rsidRPr="00DE3FCD">
        <w:rPr>
          <w:rFonts w:ascii="Calibri" w:hAnsi="Calibri"/>
        </w:rPr>
        <w:t>the following areas of corporate reporting during the six months ended 30 June 2016</w:t>
      </w:r>
      <w:r>
        <w:rPr>
          <w:rFonts w:ascii="Calibri" w:hAnsi="Calibri"/>
        </w:rPr>
        <w:t>:</w:t>
      </w:r>
    </w:p>
    <w:p w:rsidR="00D31F42" w:rsidRPr="004A0958" w:rsidRDefault="00D31F42" w:rsidP="00256BC3">
      <w:pPr>
        <w:jc w:val="both"/>
        <w:rPr>
          <w:rFonts w:ascii="Calibri" w:hAnsi="Calibri" w:cs="Arial"/>
          <w:b/>
        </w:rPr>
      </w:pPr>
    </w:p>
    <w:p w:rsidR="00D31F42" w:rsidRPr="004A0958" w:rsidRDefault="00D31F42" w:rsidP="00F7611C">
      <w:pPr>
        <w:numPr>
          <w:ilvl w:val="1"/>
          <w:numId w:val="35"/>
        </w:numPr>
        <w:ind w:left="1530" w:hanging="450"/>
        <w:jc w:val="both"/>
        <w:rPr>
          <w:rFonts w:ascii="Calibri" w:hAnsi="Calibri" w:cs="Arial"/>
          <w:b/>
        </w:rPr>
      </w:pPr>
      <w:bookmarkStart w:id="6" w:name="Compliances"/>
      <w:r w:rsidRPr="004A0958">
        <w:rPr>
          <w:rFonts w:ascii="Calibri" w:hAnsi="Calibri" w:cs="Arial"/>
          <w:b/>
          <w:color w:val="000000"/>
        </w:rPr>
        <w:t xml:space="preserve">  Compliances</w:t>
      </w:r>
      <w:r w:rsidRPr="004A0958">
        <w:rPr>
          <w:rFonts w:ascii="Calibri" w:hAnsi="Calibri" w:cs="Arial"/>
          <w:b/>
        </w:rPr>
        <w:t xml:space="preserve"> with International Financial Reporting Standards (IFRSs)</w:t>
      </w:r>
    </w:p>
    <w:bookmarkEnd w:id="6"/>
    <w:p w:rsidR="00D31F42" w:rsidRPr="004A0958" w:rsidRDefault="00D31F42" w:rsidP="00256BC3">
      <w:pPr>
        <w:ind w:left="720"/>
        <w:jc w:val="both"/>
        <w:rPr>
          <w:rFonts w:ascii="Calibri" w:hAnsi="Calibri" w:cs="Arial"/>
          <w:b/>
        </w:rPr>
      </w:pPr>
    </w:p>
    <w:p w:rsidR="00D31F42" w:rsidRPr="004A0958" w:rsidRDefault="00D31F42" w:rsidP="00F7611C">
      <w:pPr>
        <w:numPr>
          <w:ilvl w:val="0"/>
          <w:numId w:val="28"/>
        </w:numPr>
        <w:tabs>
          <w:tab w:val="left" w:pos="1980"/>
        </w:tabs>
        <w:ind w:hanging="90"/>
        <w:jc w:val="both"/>
        <w:rPr>
          <w:rFonts w:ascii="Calibri" w:hAnsi="Calibri"/>
          <w:lang w:val="en-US"/>
        </w:rPr>
      </w:pPr>
      <w:r w:rsidRPr="004A0958">
        <w:rPr>
          <w:rFonts w:ascii="Calibri" w:hAnsi="Calibri"/>
          <w:lang w:val="en-US"/>
        </w:rPr>
        <w:t xml:space="preserve">IAS 1, Presentation of Financial Statements </w:t>
      </w:r>
    </w:p>
    <w:p w:rsidR="00D31F42" w:rsidRPr="004A0958" w:rsidRDefault="00D31F42" w:rsidP="00256BC3">
      <w:pPr>
        <w:ind w:left="1440"/>
        <w:jc w:val="both"/>
        <w:rPr>
          <w:rFonts w:ascii="Calibri" w:hAnsi="Calibri" w:cs="Arial"/>
          <w:b/>
        </w:rPr>
      </w:pPr>
    </w:p>
    <w:p w:rsidR="00D31F42" w:rsidRDefault="00D31F42" w:rsidP="0076722A">
      <w:pPr>
        <w:ind w:left="1980"/>
        <w:jc w:val="both"/>
        <w:rPr>
          <w:rFonts w:ascii="Calibri" w:hAnsi="Calibri" w:cs="Arial"/>
          <w:b/>
        </w:rPr>
      </w:pPr>
      <w:r w:rsidRPr="004A0958">
        <w:rPr>
          <w:rFonts w:ascii="Calibri" w:hAnsi="Calibri" w:cs="Arial"/>
          <w:b/>
        </w:rPr>
        <w:t>7 other entities</w:t>
      </w:r>
      <w:r w:rsidRPr="004A0958">
        <w:rPr>
          <w:rFonts w:ascii="Calibri" w:hAnsi="Calibri" w:cs="Arial"/>
        </w:rPr>
        <w:t xml:space="preserve"> </w:t>
      </w:r>
      <w:r w:rsidRPr="004A0958">
        <w:rPr>
          <w:rFonts w:ascii="Calibri" w:hAnsi="Calibri"/>
          <w:lang w:val="en-US"/>
        </w:rPr>
        <w:t xml:space="preserve">[2 listed (1 Industry and 1 Investment), 3 PIEs in Category 4 and 2 </w:t>
      </w:r>
      <w:r w:rsidR="00461D30" w:rsidRPr="00461D30">
        <w:rPr>
          <w:rFonts w:ascii="Calibri" w:hAnsi="Calibri"/>
          <w:lang w:val="en-US"/>
        </w:rPr>
        <w:t>S</w:t>
      </w:r>
      <w:r w:rsidR="00461D30">
        <w:rPr>
          <w:rFonts w:ascii="Calibri" w:hAnsi="Calibri"/>
          <w:lang w:val="en-US"/>
        </w:rPr>
        <w:t>tate Owned Enterprises</w:t>
      </w:r>
      <w:r w:rsidR="00461D30" w:rsidRPr="00461D30">
        <w:rPr>
          <w:rFonts w:ascii="Calibri" w:hAnsi="Calibri"/>
          <w:lang w:val="en-US"/>
        </w:rPr>
        <w:t xml:space="preserve"> as per the First Schedule of FRA</w:t>
      </w:r>
      <w:r w:rsidRPr="004A0958">
        <w:rPr>
          <w:rFonts w:ascii="Calibri" w:hAnsi="Calibri"/>
          <w:lang w:val="en-US"/>
        </w:rPr>
        <w:t xml:space="preserve">] </w:t>
      </w:r>
      <w:r w:rsidRPr="004A0958">
        <w:rPr>
          <w:rFonts w:ascii="Calibri" w:hAnsi="Calibri" w:cs="Arial"/>
          <w:b/>
        </w:rPr>
        <w:t>had not disclosed the following in their annual reports:</w:t>
      </w:r>
    </w:p>
    <w:p w:rsidR="00D31F42" w:rsidRPr="004A0958" w:rsidRDefault="00D31F42" w:rsidP="0076722A">
      <w:pPr>
        <w:ind w:left="1980"/>
        <w:jc w:val="both"/>
        <w:rPr>
          <w:rFonts w:ascii="Calibri" w:hAnsi="Calibri" w:cs="Arial"/>
          <w:b/>
        </w:rPr>
      </w:pPr>
    </w:p>
    <w:p w:rsidR="00D31F42" w:rsidRPr="004A0958" w:rsidRDefault="00D31F42" w:rsidP="00F7611C">
      <w:pPr>
        <w:numPr>
          <w:ilvl w:val="0"/>
          <w:numId w:val="29"/>
        </w:numPr>
        <w:ind w:hanging="360"/>
        <w:jc w:val="both"/>
        <w:rPr>
          <w:rFonts w:ascii="Calibri" w:hAnsi="Calibri" w:cs="Arial"/>
        </w:rPr>
      </w:pPr>
      <w:r w:rsidRPr="004A0958">
        <w:rPr>
          <w:rFonts w:ascii="Calibri" w:hAnsi="Calibri" w:cs="Arial"/>
        </w:rPr>
        <w:t xml:space="preserve">   Accounting policies for land and buildings, investments, assets repossessed, foreign currency translation, joint ventures and cash and cash equivalents;</w:t>
      </w:r>
    </w:p>
    <w:p w:rsidR="00D31F42" w:rsidRPr="004A0958" w:rsidRDefault="00D31F42" w:rsidP="00F7611C">
      <w:pPr>
        <w:numPr>
          <w:ilvl w:val="0"/>
          <w:numId w:val="29"/>
        </w:numPr>
        <w:ind w:hanging="360"/>
        <w:jc w:val="both"/>
        <w:rPr>
          <w:rFonts w:ascii="Calibri" w:hAnsi="Calibri" w:cs="Arial"/>
        </w:rPr>
      </w:pPr>
      <w:r w:rsidRPr="004A0958">
        <w:rPr>
          <w:rFonts w:ascii="Calibri" w:hAnsi="Calibri" w:cs="Arial"/>
        </w:rPr>
        <w:lastRenderedPageBreak/>
        <w:t xml:space="preserve">   Information on capital risk management;</w:t>
      </w:r>
    </w:p>
    <w:p w:rsidR="00D31F42" w:rsidRPr="004A0958" w:rsidRDefault="00D31F42" w:rsidP="00F7611C">
      <w:pPr>
        <w:numPr>
          <w:ilvl w:val="0"/>
          <w:numId w:val="29"/>
        </w:numPr>
        <w:ind w:hanging="360"/>
        <w:jc w:val="both"/>
        <w:rPr>
          <w:rFonts w:ascii="Calibri" w:hAnsi="Calibri" w:cs="Arial"/>
        </w:rPr>
      </w:pPr>
      <w:r w:rsidRPr="004A0958">
        <w:rPr>
          <w:rFonts w:ascii="Calibri" w:hAnsi="Calibri" w:cs="Arial"/>
        </w:rPr>
        <w:t xml:space="preserve">   Disclosures regarding judgements, estimates and assumptions;</w:t>
      </w:r>
    </w:p>
    <w:p w:rsidR="00D31F42" w:rsidRPr="004A0958" w:rsidRDefault="00D31F42" w:rsidP="00F7611C">
      <w:pPr>
        <w:numPr>
          <w:ilvl w:val="0"/>
          <w:numId w:val="29"/>
        </w:numPr>
        <w:ind w:hanging="360"/>
        <w:jc w:val="both"/>
        <w:rPr>
          <w:rFonts w:ascii="Calibri" w:hAnsi="Calibri" w:cs="Arial"/>
        </w:rPr>
      </w:pPr>
      <w:r w:rsidRPr="004A0958">
        <w:rPr>
          <w:rFonts w:ascii="Calibri" w:hAnsi="Calibri" w:cs="Arial"/>
        </w:rPr>
        <w:t xml:space="preserve">   Disclosure regarding classification of investments;</w:t>
      </w:r>
    </w:p>
    <w:p w:rsidR="00D31F42" w:rsidRPr="004A0958" w:rsidRDefault="00D31F42" w:rsidP="00F7611C">
      <w:pPr>
        <w:numPr>
          <w:ilvl w:val="0"/>
          <w:numId w:val="29"/>
        </w:numPr>
        <w:ind w:hanging="360"/>
        <w:jc w:val="both"/>
        <w:rPr>
          <w:rFonts w:ascii="Calibri" w:hAnsi="Calibri" w:cs="Arial"/>
        </w:rPr>
      </w:pPr>
      <w:r w:rsidRPr="004A0958">
        <w:rPr>
          <w:rFonts w:ascii="Calibri" w:hAnsi="Calibri" w:cs="Arial"/>
        </w:rPr>
        <w:t xml:space="preserve">   Presentation of third statement of financial position;</w:t>
      </w:r>
    </w:p>
    <w:p w:rsidR="00D31F42" w:rsidRPr="004A0958" w:rsidRDefault="00D31F42" w:rsidP="00F7611C">
      <w:pPr>
        <w:numPr>
          <w:ilvl w:val="0"/>
          <w:numId w:val="29"/>
        </w:numPr>
        <w:ind w:hanging="360"/>
        <w:jc w:val="both"/>
        <w:rPr>
          <w:rFonts w:ascii="Calibri" w:hAnsi="Calibri" w:cs="Arial"/>
        </w:rPr>
      </w:pPr>
      <w:r w:rsidRPr="004A0958">
        <w:rPr>
          <w:rFonts w:ascii="Calibri" w:hAnsi="Calibri" w:cs="Arial"/>
        </w:rPr>
        <w:t xml:space="preserve">   Comparative information on motor vehicles under leases, administrative expenses and trade payables;</w:t>
      </w:r>
    </w:p>
    <w:p w:rsidR="00D31F42" w:rsidRPr="004A0958" w:rsidRDefault="00D31F42" w:rsidP="00F7611C">
      <w:pPr>
        <w:numPr>
          <w:ilvl w:val="0"/>
          <w:numId w:val="29"/>
        </w:numPr>
        <w:tabs>
          <w:tab w:val="left" w:pos="2250"/>
        </w:tabs>
        <w:ind w:hanging="360"/>
        <w:jc w:val="both"/>
        <w:rPr>
          <w:rFonts w:ascii="Calibri" w:hAnsi="Calibri" w:cs="Arial"/>
        </w:rPr>
      </w:pPr>
      <w:r w:rsidRPr="004A0958">
        <w:rPr>
          <w:rFonts w:ascii="Calibri" w:hAnsi="Calibri" w:cs="Arial"/>
        </w:rPr>
        <w:t xml:space="preserve"> Description of items grouped under items that will not be reclassified to P&amp;L;</w:t>
      </w:r>
    </w:p>
    <w:p w:rsidR="00D31F42" w:rsidRPr="004A0958" w:rsidRDefault="00D31F42" w:rsidP="00F7611C">
      <w:pPr>
        <w:numPr>
          <w:ilvl w:val="0"/>
          <w:numId w:val="29"/>
        </w:numPr>
        <w:ind w:hanging="360"/>
        <w:jc w:val="both"/>
        <w:rPr>
          <w:rFonts w:ascii="Calibri" w:hAnsi="Calibri" w:cs="Arial"/>
        </w:rPr>
      </w:pPr>
      <w:r w:rsidRPr="004A0958">
        <w:rPr>
          <w:rFonts w:ascii="Calibri" w:hAnsi="Calibri" w:cs="Arial"/>
        </w:rPr>
        <w:t xml:space="preserve">   Disclosure of the par value per share; and</w:t>
      </w:r>
    </w:p>
    <w:p w:rsidR="00D31F42" w:rsidRPr="004A0958" w:rsidRDefault="00D31F42" w:rsidP="00F7611C">
      <w:pPr>
        <w:numPr>
          <w:ilvl w:val="0"/>
          <w:numId w:val="29"/>
        </w:numPr>
        <w:ind w:hanging="360"/>
        <w:jc w:val="both"/>
        <w:rPr>
          <w:rFonts w:ascii="Calibri" w:hAnsi="Calibri" w:cs="Arial"/>
        </w:rPr>
      </w:pPr>
      <w:r w:rsidRPr="004A0958">
        <w:rPr>
          <w:rFonts w:ascii="Calibri" w:hAnsi="Calibri" w:cs="Arial"/>
        </w:rPr>
        <w:t xml:space="preserve">   Information on dividend per share.</w:t>
      </w:r>
    </w:p>
    <w:p w:rsidR="00D31F42" w:rsidRPr="005E020C" w:rsidRDefault="00D31F42" w:rsidP="00C21ADB">
      <w:pPr>
        <w:jc w:val="both"/>
        <w:rPr>
          <w:rFonts w:ascii="Calibri" w:hAnsi="Calibri" w:cs="Arial"/>
          <w:b/>
          <w:highlight w:val="yellow"/>
        </w:rPr>
      </w:pPr>
    </w:p>
    <w:p w:rsidR="00D31F42" w:rsidRPr="005E020C" w:rsidRDefault="00D31F42" w:rsidP="00F7611C">
      <w:pPr>
        <w:numPr>
          <w:ilvl w:val="0"/>
          <w:numId w:val="28"/>
        </w:numPr>
        <w:tabs>
          <w:tab w:val="left" w:pos="1980"/>
        </w:tabs>
        <w:ind w:hanging="90"/>
        <w:jc w:val="both"/>
        <w:rPr>
          <w:rFonts w:ascii="Calibri" w:hAnsi="Calibri"/>
          <w:lang w:val="en-US"/>
        </w:rPr>
      </w:pPr>
      <w:r w:rsidRPr="005E020C">
        <w:rPr>
          <w:rFonts w:ascii="Calibri" w:hAnsi="Calibri"/>
          <w:lang w:val="en-US"/>
        </w:rPr>
        <w:t>IAS 2, Inventories</w:t>
      </w:r>
    </w:p>
    <w:p w:rsidR="00D31F42" w:rsidRPr="005E020C" w:rsidRDefault="00D31F42" w:rsidP="0024075F">
      <w:pPr>
        <w:jc w:val="both"/>
        <w:rPr>
          <w:rFonts w:ascii="Calibri" w:hAnsi="Calibri" w:cs="Arial"/>
          <w:bCs/>
          <w:i/>
        </w:rPr>
      </w:pPr>
    </w:p>
    <w:p w:rsidR="00D31F42" w:rsidRPr="005E020C" w:rsidRDefault="00D31F42" w:rsidP="0076722A">
      <w:pPr>
        <w:ind w:left="1980"/>
        <w:jc w:val="both"/>
        <w:rPr>
          <w:rFonts w:ascii="Calibri" w:hAnsi="Calibri" w:cs="Arial"/>
          <w:b/>
          <w:bCs/>
        </w:rPr>
      </w:pPr>
      <w:r w:rsidRPr="005E020C">
        <w:rPr>
          <w:rFonts w:ascii="Calibri" w:hAnsi="Calibri" w:cs="Arial"/>
          <w:b/>
          <w:bCs/>
        </w:rPr>
        <w:t>FRC noted that 3 PIEs</w:t>
      </w:r>
      <w:r w:rsidRPr="005E020C">
        <w:rPr>
          <w:rFonts w:ascii="Calibri" w:hAnsi="Calibri" w:cs="Arial"/>
          <w:bCs/>
        </w:rPr>
        <w:t xml:space="preserve"> </w:t>
      </w:r>
      <w:r w:rsidRPr="005E020C">
        <w:rPr>
          <w:rFonts w:ascii="Calibri" w:hAnsi="Calibri"/>
          <w:lang w:val="en-US"/>
        </w:rPr>
        <w:t>[2 PIEs in Category 4 and</w:t>
      </w:r>
      <w:r w:rsidR="00461D30">
        <w:rPr>
          <w:rFonts w:ascii="Calibri" w:hAnsi="Calibri"/>
          <w:lang w:val="en-US"/>
        </w:rPr>
        <w:t xml:space="preserve"> 1</w:t>
      </w:r>
      <w:r w:rsidRPr="005E020C">
        <w:rPr>
          <w:rFonts w:ascii="Calibri" w:hAnsi="Calibri"/>
          <w:lang w:val="en-US"/>
        </w:rPr>
        <w:t xml:space="preserve"> </w:t>
      </w:r>
      <w:r w:rsidR="00461D30" w:rsidRPr="00461D30">
        <w:rPr>
          <w:rFonts w:ascii="Calibri" w:hAnsi="Calibri"/>
          <w:lang w:val="en-US"/>
        </w:rPr>
        <w:t>S</w:t>
      </w:r>
      <w:r w:rsidR="00461D30">
        <w:rPr>
          <w:rFonts w:ascii="Calibri" w:hAnsi="Calibri"/>
          <w:lang w:val="en-US"/>
        </w:rPr>
        <w:t>tate Owned Enterprise</w:t>
      </w:r>
      <w:r w:rsidR="00461D30" w:rsidRPr="00461D30">
        <w:rPr>
          <w:rFonts w:ascii="Calibri" w:hAnsi="Calibri"/>
          <w:lang w:val="en-US"/>
        </w:rPr>
        <w:t xml:space="preserve"> as per the First Schedule of FRA</w:t>
      </w:r>
      <w:r w:rsidRPr="005E020C">
        <w:rPr>
          <w:rFonts w:ascii="Calibri" w:hAnsi="Calibri"/>
          <w:lang w:val="en-US"/>
        </w:rPr>
        <w:t xml:space="preserve">] </w:t>
      </w:r>
      <w:r w:rsidRPr="005E020C">
        <w:rPr>
          <w:rFonts w:ascii="Calibri" w:hAnsi="Calibri" w:cs="Arial"/>
          <w:b/>
          <w:bCs/>
        </w:rPr>
        <w:t>had not complied with IAS 2, as detailed below:</w:t>
      </w:r>
    </w:p>
    <w:p w:rsidR="00D31F42" w:rsidRPr="005E020C" w:rsidRDefault="00D31F42" w:rsidP="007B24C1">
      <w:pPr>
        <w:ind w:left="1440"/>
        <w:jc w:val="both"/>
        <w:rPr>
          <w:rFonts w:ascii="Calibri" w:hAnsi="Calibri" w:cs="Arial"/>
          <w:bCs/>
        </w:rPr>
      </w:pPr>
    </w:p>
    <w:p w:rsidR="00D31F42" w:rsidRPr="005E020C" w:rsidRDefault="00D31F42" w:rsidP="00F7611C">
      <w:pPr>
        <w:numPr>
          <w:ilvl w:val="0"/>
          <w:numId w:val="39"/>
        </w:numPr>
        <w:tabs>
          <w:tab w:val="left" w:pos="2340"/>
        </w:tabs>
        <w:ind w:firstLine="180"/>
        <w:jc w:val="both"/>
        <w:rPr>
          <w:rFonts w:ascii="Calibri" w:hAnsi="Calibri" w:cs="Arial"/>
          <w:bCs/>
        </w:rPr>
      </w:pPr>
      <w:r w:rsidRPr="005E020C">
        <w:rPr>
          <w:rFonts w:ascii="Calibri" w:hAnsi="Calibri" w:cs="Arial"/>
          <w:bCs/>
        </w:rPr>
        <w:t>Inadequate disclosures in respect of:</w:t>
      </w:r>
    </w:p>
    <w:p w:rsidR="00D31F42" w:rsidRPr="005E020C" w:rsidRDefault="00D31F42" w:rsidP="00F7611C">
      <w:pPr>
        <w:numPr>
          <w:ilvl w:val="0"/>
          <w:numId w:val="24"/>
        </w:numPr>
        <w:tabs>
          <w:tab w:val="left" w:pos="2610"/>
        </w:tabs>
        <w:ind w:left="2610" w:hanging="270"/>
        <w:jc w:val="both"/>
        <w:rPr>
          <w:rFonts w:ascii="Calibri" w:hAnsi="Calibri" w:cs="Arial"/>
          <w:bCs/>
        </w:rPr>
      </w:pPr>
      <w:r w:rsidRPr="005E020C">
        <w:rPr>
          <w:rFonts w:ascii="Calibri" w:hAnsi="Calibri" w:cs="Arial"/>
          <w:bCs/>
        </w:rPr>
        <w:t>amount of inventories recognised as an expense for the   period under review;</w:t>
      </w:r>
    </w:p>
    <w:p w:rsidR="00D31F42" w:rsidRPr="005E020C" w:rsidRDefault="00D31F42" w:rsidP="00F7611C">
      <w:pPr>
        <w:numPr>
          <w:ilvl w:val="0"/>
          <w:numId w:val="24"/>
        </w:numPr>
        <w:tabs>
          <w:tab w:val="left" w:pos="2610"/>
        </w:tabs>
        <w:ind w:left="2610" w:hanging="270"/>
        <w:jc w:val="both"/>
        <w:rPr>
          <w:rFonts w:ascii="Calibri" w:hAnsi="Calibri" w:cs="Arial"/>
          <w:bCs/>
        </w:rPr>
      </w:pPr>
      <w:r w:rsidRPr="005E020C">
        <w:rPr>
          <w:rFonts w:ascii="Calibri" w:hAnsi="Calibri" w:cs="Arial"/>
          <w:bCs/>
        </w:rPr>
        <w:t>the cost formula used; and</w:t>
      </w:r>
    </w:p>
    <w:p w:rsidR="00D31F42" w:rsidRPr="005E020C" w:rsidRDefault="00D31F42" w:rsidP="00F7611C">
      <w:pPr>
        <w:numPr>
          <w:ilvl w:val="0"/>
          <w:numId w:val="24"/>
        </w:numPr>
        <w:tabs>
          <w:tab w:val="left" w:pos="2610"/>
        </w:tabs>
        <w:ind w:left="2610" w:hanging="270"/>
        <w:jc w:val="both"/>
        <w:rPr>
          <w:rFonts w:ascii="Calibri" w:hAnsi="Calibri" w:cs="Arial"/>
          <w:bCs/>
        </w:rPr>
      </w:pPr>
      <w:r w:rsidRPr="005E020C">
        <w:rPr>
          <w:rFonts w:ascii="Calibri" w:hAnsi="Calibri" w:cs="Arial"/>
          <w:bCs/>
        </w:rPr>
        <w:t>the carrying amount in classification appropriate to the entity;</w:t>
      </w:r>
    </w:p>
    <w:p w:rsidR="00D31F42" w:rsidRPr="005E020C" w:rsidRDefault="00D31F42" w:rsidP="00F7611C">
      <w:pPr>
        <w:numPr>
          <w:ilvl w:val="0"/>
          <w:numId w:val="39"/>
        </w:numPr>
        <w:ind w:left="2340"/>
        <w:jc w:val="both"/>
        <w:rPr>
          <w:rFonts w:ascii="Calibri" w:hAnsi="Calibri" w:cs="Arial"/>
          <w:bCs/>
        </w:rPr>
      </w:pPr>
      <w:r w:rsidRPr="005E020C">
        <w:rPr>
          <w:rFonts w:ascii="Calibri" w:hAnsi="Calibri" w:cs="Arial"/>
          <w:bCs/>
        </w:rPr>
        <w:t xml:space="preserve">   Work in progress arising under construction contracts had been wrongly classified under inventories.</w:t>
      </w:r>
    </w:p>
    <w:p w:rsidR="00D31F42" w:rsidRPr="005E020C" w:rsidRDefault="00D31F42" w:rsidP="0076722A">
      <w:pPr>
        <w:ind w:left="1800"/>
        <w:jc w:val="both"/>
        <w:rPr>
          <w:rFonts w:ascii="Calibri" w:hAnsi="Calibri" w:cs="Arial"/>
          <w:bCs/>
        </w:rPr>
      </w:pPr>
    </w:p>
    <w:p w:rsidR="00D31F42" w:rsidRPr="005E020C" w:rsidRDefault="00D31F42" w:rsidP="00F7611C">
      <w:pPr>
        <w:numPr>
          <w:ilvl w:val="0"/>
          <w:numId w:val="28"/>
        </w:numPr>
        <w:tabs>
          <w:tab w:val="left" w:pos="1980"/>
        </w:tabs>
        <w:ind w:hanging="90"/>
        <w:jc w:val="both"/>
        <w:rPr>
          <w:rFonts w:ascii="Calibri" w:hAnsi="Calibri"/>
          <w:lang w:val="en-US"/>
        </w:rPr>
      </w:pPr>
      <w:r w:rsidRPr="005E020C">
        <w:rPr>
          <w:rFonts w:ascii="Calibri" w:hAnsi="Calibri"/>
          <w:lang w:val="en-US"/>
        </w:rPr>
        <w:t>IAS 17, Leases</w:t>
      </w:r>
    </w:p>
    <w:p w:rsidR="00D31F42" w:rsidRPr="005E020C" w:rsidRDefault="00D31F42" w:rsidP="000B37BF">
      <w:pPr>
        <w:pStyle w:val="ListParagraph"/>
        <w:tabs>
          <w:tab w:val="left" w:pos="1260"/>
        </w:tabs>
        <w:ind w:left="1108" w:hanging="360"/>
        <w:rPr>
          <w:rFonts w:ascii="Calibri" w:hAnsi="Calibri" w:cs="Arial"/>
          <w:bCs/>
          <w:highlight w:val="yellow"/>
        </w:rPr>
      </w:pPr>
    </w:p>
    <w:p w:rsidR="00D31F42" w:rsidRPr="005E020C" w:rsidRDefault="00D31F42" w:rsidP="0076722A">
      <w:pPr>
        <w:ind w:left="1980"/>
        <w:jc w:val="both"/>
        <w:rPr>
          <w:rFonts w:ascii="Calibri" w:hAnsi="Calibri" w:cs="Arial"/>
        </w:rPr>
      </w:pPr>
      <w:r w:rsidRPr="005E020C">
        <w:rPr>
          <w:rFonts w:ascii="Calibri" w:hAnsi="Calibri" w:cs="Arial"/>
          <w:b/>
        </w:rPr>
        <w:t xml:space="preserve">The annual report reviews carried out indicate that 5 PIEs </w:t>
      </w:r>
      <w:r w:rsidRPr="005E020C">
        <w:rPr>
          <w:rFonts w:ascii="Calibri" w:hAnsi="Calibri" w:cs="Arial"/>
        </w:rPr>
        <w:t xml:space="preserve">[1 listed entity in Investment sector, 3 PIEs in Category 4 and </w:t>
      </w:r>
      <w:r w:rsidR="00461D30">
        <w:rPr>
          <w:rFonts w:ascii="Calibri" w:hAnsi="Calibri" w:cs="Arial"/>
        </w:rPr>
        <w:t xml:space="preserve">1 </w:t>
      </w:r>
      <w:r w:rsidR="00461D30" w:rsidRPr="00461D30">
        <w:rPr>
          <w:rFonts w:ascii="Calibri" w:hAnsi="Calibri"/>
          <w:lang w:val="en-US"/>
        </w:rPr>
        <w:t>S</w:t>
      </w:r>
      <w:r w:rsidR="00461D30">
        <w:rPr>
          <w:rFonts w:ascii="Calibri" w:hAnsi="Calibri"/>
          <w:lang w:val="en-US"/>
        </w:rPr>
        <w:t>tate Owned Enterprise</w:t>
      </w:r>
      <w:r w:rsidR="00461D30" w:rsidRPr="00461D30">
        <w:rPr>
          <w:rFonts w:ascii="Calibri" w:hAnsi="Calibri"/>
          <w:lang w:val="en-US"/>
        </w:rPr>
        <w:t xml:space="preserve"> as per the First Schedule of FRA</w:t>
      </w:r>
      <w:r w:rsidRPr="005E020C">
        <w:rPr>
          <w:rFonts w:ascii="Calibri" w:hAnsi="Calibri" w:cs="Arial"/>
        </w:rPr>
        <w:t xml:space="preserve">] </w:t>
      </w:r>
      <w:r w:rsidRPr="005E020C">
        <w:rPr>
          <w:rFonts w:ascii="Calibri" w:hAnsi="Calibri" w:cs="Arial"/>
          <w:b/>
        </w:rPr>
        <w:t xml:space="preserve">had not </w:t>
      </w:r>
      <w:r>
        <w:rPr>
          <w:rFonts w:ascii="Calibri" w:hAnsi="Calibri" w:cs="Arial"/>
          <w:b/>
        </w:rPr>
        <w:t>complied with the following requirements of</w:t>
      </w:r>
      <w:r w:rsidRPr="005E020C">
        <w:rPr>
          <w:rFonts w:ascii="Calibri" w:hAnsi="Calibri" w:cs="Arial"/>
          <w:b/>
        </w:rPr>
        <w:t xml:space="preserve"> IAS 17 Leases</w:t>
      </w:r>
      <w:r w:rsidRPr="005E020C">
        <w:rPr>
          <w:rFonts w:ascii="Calibri" w:hAnsi="Calibri" w:cs="Arial"/>
        </w:rPr>
        <w:t>:</w:t>
      </w:r>
    </w:p>
    <w:p w:rsidR="00D31F42" w:rsidRPr="005E020C" w:rsidRDefault="00D31F42" w:rsidP="00054742">
      <w:pPr>
        <w:ind w:left="720"/>
        <w:jc w:val="both"/>
        <w:rPr>
          <w:rFonts w:ascii="Calibri" w:hAnsi="Calibri" w:cs="Arial"/>
          <w:b/>
        </w:rPr>
      </w:pPr>
    </w:p>
    <w:p w:rsidR="00D31F42" w:rsidRPr="005E020C" w:rsidRDefault="00D31F42" w:rsidP="00F7611C">
      <w:pPr>
        <w:numPr>
          <w:ilvl w:val="0"/>
          <w:numId w:val="39"/>
        </w:numPr>
        <w:ind w:left="2340"/>
        <w:jc w:val="both"/>
        <w:rPr>
          <w:rFonts w:ascii="Calibri" w:hAnsi="Calibri" w:cs="Arial"/>
          <w:bCs/>
        </w:rPr>
      </w:pPr>
      <w:r w:rsidRPr="005E020C">
        <w:rPr>
          <w:rFonts w:ascii="Calibri" w:hAnsi="Calibri" w:cs="Arial"/>
          <w:bCs/>
        </w:rPr>
        <w:t xml:space="preserve">   The total of future </w:t>
      </w:r>
      <w:hyperlink r:id="rId9" w:anchor="SL145300" w:history="1">
        <w:r w:rsidRPr="005E020C">
          <w:rPr>
            <w:rFonts w:ascii="Calibri" w:hAnsi="Calibri" w:cs="Arial"/>
            <w:bCs/>
          </w:rPr>
          <w:t>minimum lease payments</w:t>
        </w:r>
      </w:hyperlink>
      <w:r w:rsidRPr="005E020C">
        <w:rPr>
          <w:rFonts w:ascii="Calibri" w:hAnsi="Calibri" w:cs="Arial"/>
          <w:bCs/>
        </w:rPr>
        <w:t xml:space="preserve"> under </w:t>
      </w:r>
      <w:hyperlink r:id="rId10" w:anchor="SL145282" w:history="1">
        <w:r w:rsidRPr="005E020C">
          <w:rPr>
            <w:rFonts w:ascii="Calibri" w:hAnsi="Calibri" w:cs="Arial"/>
            <w:bCs/>
          </w:rPr>
          <w:t>non-cancellable</w:t>
        </w:r>
      </w:hyperlink>
      <w:r w:rsidRPr="005E020C">
        <w:rPr>
          <w:rFonts w:ascii="Calibri" w:hAnsi="Calibri" w:cs="Arial"/>
          <w:bCs/>
        </w:rPr>
        <w:t xml:space="preserve"> operating leases for each of the following periods:</w:t>
      </w:r>
    </w:p>
    <w:p w:rsidR="00D31F42" w:rsidRPr="005E020C" w:rsidRDefault="00D31F42" w:rsidP="00F7611C">
      <w:pPr>
        <w:numPr>
          <w:ilvl w:val="0"/>
          <w:numId w:val="12"/>
        </w:numPr>
        <w:tabs>
          <w:tab w:val="left" w:pos="1710"/>
          <w:tab w:val="left" w:pos="2610"/>
        </w:tabs>
        <w:ind w:left="2340" w:firstLine="0"/>
        <w:jc w:val="both"/>
        <w:rPr>
          <w:rFonts w:ascii="Calibri" w:hAnsi="Calibri" w:cs="Arial"/>
        </w:rPr>
      </w:pPr>
      <w:r w:rsidRPr="005E020C">
        <w:rPr>
          <w:rFonts w:ascii="Calibri" w:hAnsi="Calibri" w:cs="Arial"/>
        </w:rPr>
        <w:t>not later than one year;</w:t>
      </w:r>
    </w:p>
    <w:p w:rsidR="00D31F42" w:rsidRPr="005E020C" w:rsidRDefault="00D31F42" w:rsidP="00F7611C">
      <w:pPr>
        <w:numPr>
          <w:ilvl w:val="0"/>
          <w:numId w:val="12"/>
        </w:numPr>
        <w:tabs>
          <w:tab w:val="left" w:pos="1710"/>
          <w:tab w:val="left" w:pos="2610"/>
        </w:tabs>
        <w:ind w:left="2340" w:firstLine="0"/>
        <w:jc w:val="both"/>
        <w:rPr>
          <w:rFonts w:ascii="Calibri" w:hAnsi="Calibri" w:cs="Arial"/>
        </w:rPr>
      </w:pPr>
      <w:r w:rsidRPr="005E020C">
        <w:rPr>
          <w:rFonts w:ascii="Calibri" w:hAnsi="Calibri" w:cs="Arial"/>
        </w:rPr>
        <w:t>later than one year and not later than five years;</w:t>
      </w:r>
    </w:p>
    <w:p w:rsidR="00D31F42" w:rsidRPr="005E020C" w:rsidRDefault="00D31F42" w:rsidP="00F7611C">
      <w:pPr>
        <w:numPr>
          <w:ilvl w:val="0"/>
          <w:numId w:val="12"/>
        </w:numPr>
        <w:tabs>
          <w:tab w:val="left" w:pos="1710"/>
          <w:tab w:val="left" w:pos="2610"/>
        </w:tabs>
        <w:ind w:left="2340" w:firstLine="0"/>
        <w:jc w:val="both"/>
        <w:rPr>
          <w:rFonts w:ascii="Calibri" w:hAnsi="Calibri" w:cs="Arial"/>
        </w:rPr>
      </w:pPr>
      <w:r w:rsidRPr="005E020C">
        <w:rPr>
          <w:rFonts w:ascii="Calibri" w:hAnsi="Calibri" w:cs="Arial"/>
        </w:rPr>
        <w:t>later than five years.</w:t>
      </w:r>
    </w:p>
    <w:p w:rsidR="00D31F42" w:rsidRPr="005E020C" w:rsidRDefault="00D31F42" w:rsidP="00F7611C">
      <w:pPr>
        <w:numPr>
          <w:ilvl w:val="0"/>
          <w:numId w:val="39"/>
        </w:numPr>
        <w:ind w:left="2340"/>
        <w:jc w:val="both"/>
        <w:rPr>
          <w:rFonts w:ascii="Calibri" w:hAnsi="Calibri" w:cs="Arial"/>
          <w:bCs/>
        </w:rPr>
      </w:pPr>
      <w:r w:rsidRPr="005E020C">
        <w:rPr>
          <w:rFonts w:ascii="Calibri" w:hAnsi="Calibri" w:cs="Arial"/>
          <w:bCs/>
        </w:rPr>
        <w:lastRenderedPageBreak/>
        <w:t xml:space="preserve">   A general description of the lessor’s material leasing arrangements and the lessee’s significant leasing arrangements; and</w:t>
      </w:r>
    </w:p>
    <w:p w:rsidR="00D31F42" w:rsidRPr="005E020C" w:rsidRDefault="00D31F42" w:rsidP="00F7611C">
      <w:pPr>
        <w:numPr>
          <w:ilvl w:val="0"/>
          <w:numId w:val="39"/>
        </w:numPr>
        <w:ind w:left="2340"/>
        <w:jc w:val="both"/>
        <w:rPr>
          <w:rFonts w:ascii="Calibri" w:hAnsi="Calibri" w:cs="Arial"/>
          <w:bCs/>
        </w:rPr>
      </w:pPr>
      <w:r w:rsidRPr="005E020C">
        <w:rPr>
          <w:rFonts w:ascii="Calibri" w:hAnsi="Calibri" w:cs="Arial"/>
          <w:bCs/>
        </w:rPr>
        <w:t xml:space="preserve">   Lease and sublease payments recognized as an expense in the period, with separate amounts for minimum lease payments, contingent rents, and sublease payments.</w:t>
      </w:r>
    </w:p>
    <w:p w:rsidR="00D31F42" w:rsidRPr="005E020C" w:rsidRDefault="00D31F42" w:rsidP="00AB6BAF">
      <w:pPr>
        <w:jc w:val="both"/>
        <w:rPr>
          <w:rFonts w:ascii="Calibri" w:hAnsi="Calibri" w:cs="Arial"/>
          <w:b/>
          <w:highlight w:val="yellow"/>
        </w:rPr>
      </w:pPr>
    </w:p>
    <w:p w:rsidR="00D31F42" w:rsidRPr="005E020C" w:rsidRDefault="00D31F42" w:rsidP="00F7611C">
      <w:pPr>
        <w:numPr>
          <w:ilvl w:val="0"/>
          <w:numId w:val="28"/>
        </w:numPr>
        <w:tabs>
          <w:tab w:val="left" w:pos="1980"/>
        </w:tabs>
        <w:ind w:hanging="90"/>
        <w:jc w:val="both"/>
        <w:rPr>
          <w:rFonts w:ascii="Calibri" w:hAnsi="Calibri"/>
          <w:lang w:val="en-US"/>
        </w:rPr>
      </w:pPr>
      <w:r w:rsidRPr="005E020C">
        <w:rPr>
          <w:rFonts w:ascii="Calibri" w:hAnsi="Calibri"/>
          <w:lang w:val="en-US"/>
        </w:rPr>
        <w:t>IAS 24, Related Party Disclosures</w:t>
      </w:r>
    </w:p>
    <w:p w:rsidR="00D31F42" w:rsidRPr="005E020C" w:rsidRDefault="00D31F42" w:rsidP="00705161">
      <w:pPr>
        <w:autoSpaceDE w:val="0"/>
        <w:autoSpaceDN w:val="0"/>
        <w:adjustRightInd w:val="0"/>
        <w:jc w:val="both"/>
        <w:rPr>
          <w:rFonts w:ascii="Calibri" w:hAnsi="Calibri" w:cs="Arial"/>
          <w:i/>
        </w:rPr>
      </w:pPr>
    </w:p>
    <w:p w:rsidR="00D31F42" w:rsidRPr="005E020C" w:rsidRDefault="00D31F42" w:rsidP="00BE4E46">
      <w:pPr>
        <w:ind w:left="1980"/>
        <w:jc w:val="both"/>
        <w:rPr>
          <w:rFonts w:ascii="Calibri" w:hAnsi="Calibri" w:cs="Arial"/>
          <w:b/>
        </w:rPr>
      </w:pPr>
      <w:r w:rsidRPr="005E020C">
        <w:rPr>
          <w:rFonts w:ascii="Calibri" w:hAnsi="Calibri" w:cs="Arial"/>
          <w:b/>
        </w:rPr>
        <w:t>For 6 PIEs</w:t>
      </w:r>
      <w:r w:rsidRPr="005E020C">
        <w:rPr>
          <w:rFonts w:ascii="Calibri" w:hAnsi="Calibri" w:cs="Arial"/>
        </w:rPr>
        <w:t xml:space="preserve"> [2 listed entities </w:t>
      </w:r>
      <w:r w:rsidRPr="005E020C">
        <w:rPr>
          <w:rFonts w:ascii="Calibri" w:hAnsi="Calibri"/>
          <w:lang w:val="en-US"/>
        </w:rPr>
        <w:t>(1 Industry and 1 Investment), 1 regulated by BOM and</w:t>
      </w:r>
      <w:r w:rsidRPr="005E020C">
        <w:rPr>
          <w:rFonts w:ascii="Calibri" w:hAnsi="Calibri" w:cs="Arial"/>
        </w:rPr>
        <w:t xml:space="preserve"> 3 PIEs in category 4], </w:t>
      </w:r>
      <w:r w:rsidRPr="005E020C">
        <w:rPr>
          <w:rFonts w:ascii="Calibri" w:hAnsi="Calibri" w:cs="Arial"/>
          <w:b/>
        </w:rPr>
        <w:t>FRC noted the following with regard to IAS 24:</w:t>
      </w:r>
    </w:p>
    <w:p w:rsidR="00D31F42" w:rsidRPr="005E020C" w:rsidRDefault="00D31F42" w:rsidP="000630F9">
      <w:pPr>
        <w:autoSpaceDE w:val="0"/>
        <w:autoSpaceDN w:val="0"/>
        <w:adjustRightInd w:val="0"/>
        <w:ind w:left="748"/>
        <w:jc w:val="both"/>
        <w:rPr>
          <w:rFonts w:ascii="Calibri" w:hAnsi="Calibri" w:cs="Arial"/>
          <w:b/>
          <w:highlight w:val="yellow"/>
        </w:rPr>
      </w:pPr>
    </w:p>
    <w:p w:rsidR="00D31F42" w:rsidRPr="005E020C" w:rsidRDefault="00D31F42" w:rsidP="00F7611C">
      <w:pPr>
        <w:numPr>
          <w:ilvl w:val="0"/>
          <w:numId w:val="10"/>
        </w:numPr>
        <w:autoSpaceDE w:val="0"/>
        <w:autoSpaceDN w:val="0"/>
        <w:adjustRightInd w:val="0"/>
        <w:ind w:hanging="360"/>
        <w:jc w:val="both"/>
        <w:rPr>
          <w:rFonts w:ascii="Calibri" w:hAnsi="Calibri" w:cs="Arial"/>
          <w:bCs/>
        </w:rPr>
      </w:pPr>
      <w:r w:rsidRPr="005E020C">
        <w:rPr>
          <w:rFonts w:ascii="Calibri" w:hAnsi="Calibri" w:cs="Arial"/>
          <w:bCs/>
        </w:rPr>
        <w:t>Key Management Personnel</w:t>
      </w:r>
    </w:p>
    <w:p w:rsidR="00D31F42" w:rsidRPr="005E020C" w:rsidRDefault="00D31F42" w:rsidP="00AB6F98">
      <w:pPr>
        <w:autoSpaceDE w:val="0"/>
        <w:autoSpaceDN w:val="0"/>
        <w:adjustRightInd w:val="0"/>
        <w:jc w:val="both"/>
        <w:rPr>
          <w:rFonts w:ascii="Calibri" w:hAnsi="Calibri" w:cs="Arial"/>
        </w:rPr>
      </w:pPr>
    </w:p>
    <w:p w:rsidR="00D31F42" w:rsidRPr="005E020C" w:rsidRDefault="00D31F42" w:rsidP="00BE4E46">
      <w:pPr>
        <w:autoSpaceDE w:val="0"/>
        <w:autoSpaceDN w:val="0"/>
        <w:adjustRightInd w:val="0"/>
        <w:ind w:left="2340"/>
        <w:jc w:val="both"/>
        <w:rPr>
          <w:rFonts w:ascii="Calibri" w:hAnsi="Calibri" w:cs="Arial"/>
          <w:bCs/>
        </w:rPr>
      </w:pPr>
      <w:r w:rsidRPr="005E020C">
        <w:rPr>
          <w:rFonts w:ascii="Calibri" w:hAnsi="Calibri" w:cs="Arial"/>
          <w:bCs/>
        </w:rPr>
        <w:t xml:space="preserve">FRC observed that </w:t>
      </w:r>
      <w:hyperlink r:id="rId11" w:anchor="SL146739" w:history="1">
        <w:r w:rsidRPr="005E020C">
          <w:rPr>
            <w:rFonts w:ascii="Calibri" w:hAnsi="Calibri" w:cs="Arial"/>
          </w:rPr>
          <w:t>key management personnel</w:t>
        </w:r>
      </w:hyperlink>
      <w:r w:rsidRPr="005E020C">
        <w:rPr>
          <w:rFonts w:ascii="Calibri" w:hAnsi="Calibri" w:cs="Arial"/>
        </w:rPr>
        <w:t xml:space="preserve"> </w:t>
      </w:r>
      <w:hyperlink r:id="rId12" w:anchor="SL146725" w:history="1">
        <w:r w:rsidRPr="005E020C">
          <w:rPr>
            <w:rFonts w:ascii="Calibri" w:hAnsi="Calibri" w:cs="Arial"/>
            <w:bCs/>
          </w:rPr>
          <w:t>compensation</w:t>
        </w:r>
      </w:hyperlink>
      <w:r w:rsidRPr="005E020C">
        <w:rPr>
          <w:rFonts w:ascii="Calibri" w:hAnsi="Calibri" w:cs="Arial"/>
          <w:bCs/>
        </w:rPr>
        <w:t xml:space="preserve"> had not been categorised into each of the following categories:</w:t>
      </w:r>
    </w:p>
    <w:p w:rsidR="00D31F42" w:rsidRPr="005E020C" w:rsidRDefault="00D31F42" w:rsidP="006E4D1D">
      <w:pPr>
        <w:ind w:left="1620"/>
        <w:jc w:val="both"/>
        <w:rPr>
          <w:rFonts w:ascii="Calibri" w:hAnsi="Calibri" w:cs="Arial"/>
        </w:rPr>
      </w:pPr>
    </w:p>
    <w:p w:rsidR="00D31F42" w:rsidRPr="005E020C" w:rsidRDefault="00D31F42" w:rsidP="00BE4E46">
      <w:pPr>
        <w:numPr>
          <w:ilvl w:val="0"/>
          <w:numId w:val="1"/>
        </w:numPr>
        <w:tabs>
          <w:tab w:val="clear" w:pos="1620"/>
          <w:tab w:val="num" w:pos="2520"/>
        </w:tabs>
        <w:ind w:left="2520" w:firstLine="90"/>
        <w:jc w:val="both"/>
        <w:rPr>
          <w:rFonts w:ascii="Calibri" w:hAnsi="Calibri" w:cs="Arial"/>
        </w:rPr>
      </w:pPr>
      <w:r w:rsidRPr="005E020C">
        <w:rPr>
          <w:rFonts w:ascii="Calibri" w:hAnsi="Calibri" w:cs="Arial"/>
        </w:rPr>
        <w:t>short-term employee benefits;</w:t>
      </w:r>
    </w:p>
    <w:p w:rsidR="00D31F42" w:rsidRPr="005E020C" w:rsidRDefault="00D31F42" w:rsidP="00BE4E46">
      <w:pPr>
        <w:numPr>
          <w:ilvl w:val="0"/>
          <w:numId w:val="1"/>
        </w:numPr>
        <w:tabs>
          <w:tab w:val="clear" w:pos="1620"/>
          <w:tab w:val="num" w:pos="2520"/>
        </w:tabs>
        <w:ind w:left="2520" w:firstLine="90"/>
        <w:jc w:val="both"/>
        <w:rPr>
          <w:rFonts w:ascii="Calibri" w:hAnsi="Calibri" w:cs="Arial"/>
        </w:rPr>
      </w:pPr>
      <w:r w:rsidRPr="005E020C">
        <w:rPr>
          <w:rFonts w:ascii="Calibri" w:hAnsi="Calibri" w:cs="Arial"/>
        </w:rPr>
        <w:t>post-employment benefits;</w:t>
      </w:r>
    </w:p>
    <w:p w:rsidR="00D31F42" w:rsidRPr="005E020C" w:rsidRDefault="00D31F42" w:rsidP="00BE4E46">
      <w:pPr>
        <w:numPr>
          <w:ilvl w:val="0"/>
          <w:numId w:val="1"/>
        </w:numPr>
        <w:tabs>
          <w:tab w:val="clear" w:pos="1620"/>
          <w:tab w:val="num" w:pos="2520"/>
        </w:tabs>
        <w:ind w:left="2520" w:firstLine="90"/>
        <w:jc w:val="both"/>
        <w:rPr>
          <w:rFonts w:ascii="Calibri" w:hAnsi="Calibri" w:cs="Arial"/>
        </w:rPr>
      </w:pPr>
      <w:r w:rsidRPr="005E020C">
        <w:rPr>
          <w:rFonts w:ascii="Calibri" w:hAnsi="Calibri" w:cs="Arial"/>
        </w:rPr>
        <w:t>other long-term benefits;</w:t>
      </w:r>
    </w:p>
    <w:p w:rsidR="00D31F42" w:rsidRPr="005E020C" w:rsidRDefault="00D31F42" w:rsidP="00BE4E46">
      <w:pPr>
        <w:numPr>
          <w:ilvl w:val="0"/>
          <w:numId w:val="1"/>
        </w:numPr>
        <w:tabs>
          <w:tab w:val="clear" w:pos="1620"/>
          <w:tab w:val="num" w:pos="2520"/>
        </w:tabs>
        <w:ind w:left="2520" w:firstLine="90"/>
        <w:jc w:val="both"/>
        <w:rPr>
          <w:rFonts w:ascii="Calibri" w:hAnsi="Calibri" w:cs="Arial"/>
        </w:rPr>
      </w:pPr>
      <w:r w:rsidRPr="005E020C">
        <w:rPr>
          <w:rFonts w:ascii="Calibri" w:hAnsi="Calibri" w:cs="Arial"/>
        </w:rPr>
        <w:t>termination benefits; and</w:t>
      </w:r>
    </w:p>
    <w:p w:rsidR="00D31F42" w:rsidRPr="005E020C" w:rsidRDefault="00D31F42" w:rsidP="00BE4E46">
      <w:pPr>
        <w:numPr>
          <w:ilvl w:val="0"/>
          <w:numId w:val="1"/>
        </w:numPr>
        <w:tabs>
          <w:tab w:val="clear" w:pos="1620"/>
          <w:tab w:val="num" w:pos="2520"/>
        </w:tabs>
        <w:ind w:left="2520" w:firstLine="90"/>
        <w:jc w:val="both"/>
        <w:rPr>
          <w:rFonts w:ascii="Calibri" w:hAnsi="Calibri" w:cs="Arial"/>
        </w:rPr>
      </w:pPr>
      <w:r w:rsidRPr="005E020C">
        <w:rPr>
          <w:rFonts w:ascii="Calibri" w:hAnsi="Calibri" w:cs="Arial"/>
        </w:rPr>
        <w:t>share-based payment.</w:t>
      </w:r>
    </w:p>
    <w:p w:rsidR="00D31F42" w:rsidRPr="005E020C" w:rsidRDefault="00D31F42" w:rsidP="00696CC5">
      <w:pPr>
        <w:autoSpaceDE w:val="0"/>
        <w:autoSpaceDN w:val="0"/>
        <w:adjustRightInd w:val="0"/>
        <w:ind w:left="1800"/>
        <w:jc w:val="both"/>
        <w:rPr>
          <w:rFonts w:ascii="Calibri" w:hAnsi="Calibri" w:cs="Arial"/>
          <w:bCs/>
          <w:highlight w:val="yellow"/>
        </w:rPr>
      </w:pPr>
    </w:p>
    <w:p w:rsidR="00D31F42" w:rsidRPr="005E020C" w:rsidRDefault="00D31F42" w:rsidP="00F7611C">
      <w:pPr>
        <w:numPr>
          <w:ilvl w:val="0"/>
          <w:numId w:val="10"/>
        </w:numPr>
        <w:autoSpaceDE w:val="0"/>
        <w:autoSpaceDN w:val="0"/>
        <w:adjustRightInd w:val="0"/>
        <w:ind w:left="2430" w:hanging="360"/>
        <w:jc w:val="both"/>
        <w:rPr>
          <w:rFonts w:ascii="Calibri" w:hAnsi="Calibri" w:cs="Arial"/>
          <w:bCs/>
        </w:rPr>
      </w:pPr>
      <w:r w:rsidRPr="005E020C">
        <w:rPr>
          <w:rFonts w:ascii="Calibri" w:hAnsi="Calibri" w:cs="Arial"/>
          <w:bCs/>
        </w:rPr>
        <w:t>Related Party Transactions</w:t>
      </w:r>
    </w:p>
    <w:p w:rsidR="00D31F42" w:rsidRPr="005E020C" w:rsidRDefault="00D31F42" w:rsidP="009D48ED">
      <w:pPr>
        <w:autoSpaceDE w:val="0"/>
        <w:autoSpaceDN w:val="0"/>
        <w:adjustRightInd w:val="0"/>
        <w:ind w:left="1468"/>
        <w:jc w:val="both"/>
        <w:rPr>
          <w:rFonts w:ascii="Calibri" w:hAnsi="Calibri" w:cs="Arial"/>
          <w:b/>
        </w:rPr>
      </w:pPr>
    </w:p>
    <w:p w:rsidR="00D31F42" w:rsidRPr="005E020C" w:rsidRDefault="00D31F42" w:rsidP="00BE4E46">
      <w:pPr>
        <w:ind w:left="2430"/>
        <w:jc w:val="both"/>
        <w:rPr>
          <w:rFonts w:ascii="Calibri" w:hAnsi="Calibri" w:cs="Arial"/>
        </w:rPr>
      </w:pPr>
      <w:r w:rsidRPr="005E020C">
        <w:rPr>
          <w:rFonts w:ascii="Calibri" w:hAnsi="Calibri" w:cs="Arial"/>
        </w:rPr>
        <w:t xml:space="preserve">From the review exercise, </w:t>
      </w:r>
      <w:r w:rsidRPr="005E020C">
        <w:rPr>
          <w:rFonts w:ascii="Calibri" w:hAnsi="Calibri" w:cs="Arial"/>
          <w:bCs/>
        </w:rPr>
        <w:t>there were no disclosures regarding the terms and conditions of the PIEs’ related party</w:t>
      </w:r>
      <w:r w:rsidRPr="005E020C">
        <w:rPr>
          <w:rFonts w:ascii="Calibri" w:hAnsi="Calibri" w:cs="Arial"/>
        </w:rPr>
        <w:t xml:space="preserve"> transactions including whether they are secured, the nature of the consideration to be provided in settlement and details of any guarantees given or received.</w:t>
      </w:r>
    </w:p>
    <w:p w:rsidR="00D31F42" w:rsidRPr="005E020C" w:rsidRDefault="00D31F42" w:rsidP="006D397D">
      <w:pPr>
        <w:ind w:left="1440"/>
        <w:jc w:val="both"/>
        <w:rPr>
          <w:rFonts w:ascii="Calibri" w:hAnsi="Calibri" w:cs="Arial"/>
          <w:b/>
        </w:rPr>
      </w:pPr>
    </w:p>
    <w:p w:rsidR="00D31F42" w:rsidRPr="005E020C" w:rsidRDefault="00D31F42" w:rsidP="00F7611C">
      <w:pPr>
        <w:numPr>
          <w:ilvl w:val="0"/>
          <w:numId w:val="28"/>
        </w:numPr>
        <w:tabs>
          <w:tab w:val="left" w:pos="1980"/>
        </w:tabs>
        <w:ind w:hanging="90"/>
        <w:jc w:val="both"/>
        <w:rPr>
          <w:rFonts w:ascii="Calibri" w:hAnsi="Calibri"/>
          <w:lang w:val="en-US"/>
        </w:rPr>
      </w:pPr>
      <w:r w:rsidRPr="005E020C">
        <w:rPr>
          <w:rFonts w:ascii="Calibri" w:hAnsi="Calibri"/>
          <w:lang w:val="en-US"/>
        </w:rPr>
        <w:t>IFRS 7, Financial Instruments: Disclosures</w:t>
      </w:r>
    </w:p>
    <w:p w:rsidR="00D31F42" w:rsidRPr="005E020C" w:rsidRDefault="00D31F42" w:rsidP="00BC15F9">
      <w:pPr>
        <w:jc w:val="both"/>
        <w:rPr>
          <w:rFonts w:ascii="Calibri" w:hAnsi="Calibri" w:cs="Arial"/>
          <w:b/>
        </w:rPr>
      </w:pPr>
    </w:p>
    <w:p w:rsidR="00D31F42" w:rsidRPr="005E020C" w:rsidRDefault="00D31F42" w:rsidP="00BE4E46">
      <w:pPr>
        <w:ind w:left="1980"/>
        <w:jc w:val="both"/>
        <w:rPr>
          <w:rFonts w:ascii="Calibri" w:hAnsi="Calibri" w:cs="Arial"/>
          <w:b/>
        </w:rPr>
      </w:pPr>
      <w:r w:rsidRPr="005E020C">
        <w:rPr>
          <w:rFonts w:ascii="Calibri" w:hAnsi="Calibri" w:cs="Arial"/>
          <w:b/>
        </w:rPr>
        <w:t xml:space="preserve">From the review exercise, FRC observed that 4 PIEs </w:t>
      </w:r>
      <w:bookmarkStart w:id="7" w:name="OLE_LINK5"/>
      <w:bookmarkStart w:id="8" w:name="OLE_LINK6"/>
      <w:r w:rsidRPr="005E020C">
        <w:rPr>
          <w:rFonts w:ascii="Calibri" w:hAnsi="Calibri" w:cs="Arial"/>
        </w:rPr>
        <w:t xml:space="preserve">[2 listed entities (1 Industry and 1 Investment), 1 PIE in Category 4 and 1 </w:t>
      </w:r>
      <w:r w:rsidR="004F5E3B" w:rsidRPr="00461D30">
        <w:rPr>
          <w:rFonts w:ascii="Calibri" w:hAnsi="Calibri"/>
          <w:lang w:val="en-US"/>
        </w:rPr>
        <w:t>S</w:t>
      </w:r>
      <w:r w:rsidR="004F5E3B">
        <w:rPr>
          <w:rFonts w:ascii="Calibri" w:hAnsi="Calibri"/>
          <w:lang w:val="en-US"/>
        </w:rPr>
        <w:t>tate Owned Enterprise</w:t>
      </w:r>
      <w:r w:rsidR="004F5E3B" w:rsidRPr="00461D30">
        <w:rPr>
          <w:rFonts w:ascii="Calibri" w:hAnsi="Calibri"/>
          <w:lang w:val="en-US"/>
        </w:rPr>
        <w:t xml:space="preserve"> as per the First Schedule of FRA</w:t>
      </w:r>
      <w:r w:rsidRPr="005E020C">
        <w:rPr>
          <w:rFonts w:ascii="Calibri" w:hAnsi="Calibri" w:cs="Arial"/>
        </w:rPr>
        <w:t xml:space="preserve">] </w:t>
      </w:r>
      <w:r w:rsidRPr="005E020C">
        <w:rPr>
          <w:rFonts w:ascii="Calibri" w:hAnsi="Calibri" w:cs="Arial"/>
          <w:b/>
        </w:rPr>
        <w:t>had partly complied with IFRS 7.</w:t>
      </w:r>
    </w:p>
    <w:bookmarkEnd w:id="7"/>
    <w:bookmarkEnd w:id="8"/>
    <w:p w:rsidR="00D31F42" w:rsidRPr="005E020C" w:rsidRDefault="00D31F42" w:rsidP="00BE4E46">
      <w:pPr>
        <w:ind w:left="1980"/>
        <w:jc w:val="both"/>
        <w:rPr>
          <w:rFonts w:ascii="Calibri" w:hAnsi="Calibri" w:cs="Arial"/>
          <w:highlight w:val="yellow"/>
        </w:rPr>
      </w:pPr>
    </w:p>
    <w:p w:rsidR="00D31F42" w:rsidRPr="005E020C" w:rsidRDefault="00D31F42" w:rsidP="00BE4E46">
      <w:pPr>
        <w:ind w:left="1980"/>
        <w:jc w:val="both"/>
        <w:rPr>
          <w:rFonts w:ascii="Calibri" w:hAnsi="Calibri" w:cs="Arial"/>
        </w:rPr>
      </w:pPr>
      <w:r w:rsidRPr="005E020C">
        <w:rPr>
          <w:rFonts w:ascii="Calibri" w:hAnsi="Calibri" w:cs="Arial"/>
        </w:rPr>
        <w:t xml:space="preserve">The following disclosures as per IFRS 7 were found missing: </w:t>
      </w:r>
    </w:p>
    <w:p w:rsidR="00D31F42" w:rsidRPr="005E020C" w:rsidRDefault="00D31F42" w:rsidP="00C309A0">
      <w:pPr>
        <w:ind w:left="900" w:firstLine="720"/>
        <w:jc w:val="both"/>
        <w:rPr>
          <w:rFonts w:ascii="Calibri" w:hAnsi="Calibri" w:cs="Arial"/>
        </w:rPr>
      </w:pPr>
    </w:p>
    <w:p w:rsidR="00D31F42" w:rsidRPr="005E020C" w:rsidRDefault="00D31F42" w:rsidP="00F7611C">
      <w:pPr>
        <w:numPr>
          <w:ilvl w:val="0"/>
          <w:numId w:val="13"/>
        </w:numPr>
        <w:tabs>
          <w:tab w:val="num" w:pos="1980"/>
          <w:tab w:val="left" w:pos="2340"/>
        </w:tabs>
        <w:ind w:left="1980" w:firstLine="90"/>
        <w:jc w:val="both"/>
        <w:rPr>
          <w:rFonts w:ascii="Calibri" w:hAnsi="Calibri" w:cs="Arial"/>
        </w:rPr>
      </w:pPr>
      <w:r w:rsidRPr="005E020C">
        <w:rPr>
          <w:rFonts w:ascii="Calibri" w:hAnsi="Calibri" w:cs="Arial"/>
        </w:rPr>
        <w:t>Management of financial risks;</w:t>
      </w:r>
    </w:p>
    <w:p w:rsidR="00D31F42" w:rsidRPr="005E020C" w:rsidRDefault="00D31F42" w:rsidP="00F7611C">
      <w:pPr>
        <w:numPr>
          <w:ilvl w:val="0"/>
          <w:numId w:val="13"/>
        </w:numPr>
        <w:tabs>
          <w:tab w:val="num" w:pos="1980"/>
          <w:tab w:val="left" w:pos="2340"/>
        </w:tabs>
        <w:ind w:left="1980" w:firstLine="90"/>
        <w:jc w:val="both"/>
        <w:rPr>
          <w:rFonts w:ascii="Calibri" w:hAnsi="Calibri" w:cs="Arial"/>
        </w:rPr>
      </w:pPr>
      <w:r w:rsidRPr="005E020C">
        <w:rPr>
          <w:rFonts w:ascii="Calibri" w:hAnsi="Calibri" w:cs="Arial"/>
        </w:rPr>
        <w:t>Description of collaterals;</w:t>
      </w:r>
    </w:p>
    <w:p w:rsidR="00D31F42" w:rsidRPr="005E020C" w:rsidRDefault="00D31F42" w:rsidP="00F7611C">
      <w:pPr>
        <w:numPr>
          <w:ilvl w:val="0"/>
          <w:numId w:val="14"/>
        </w:numPr>
        <w:tabs>
          <w:tab w:val="clear" w:pos="720"/>
          <w:tab w:val="num" w:pos="1980"/>
          <w:tab w:val="left" w:pos="2340"/>
        </w:tabs>
        <w:ind w:left="1980" w:firstLine="90"/>
        <w:jc w:val="both"/>
        <w:rPr>
          <w:rFonts w:ascii="Calibri" w:hAnsi="Calibri" w:cs="Arial"/>
        </w:rPr>
      </w:pPr>
      <w:r w:rsidRPr="005E020C">
        <w:rPr>
          <w:rFonts w:ascii="Calibri" w:hAnsi="Calibri" w:cs="Arial"/>
        </w:rPr>
        <w:lastRenderedPageBreak/>
        <w:t>Information on credit risk such as:</w:t>
      </w:r>
    </w:p>
    <w:p w:rsidR="00D31F42" w:rsidRPr="005E020C" w:rsidRDefault="00D31F42" w:rsidP="00F7611C">
      <w:pPr>
        <w:numPr>
          <w:ilvl w:val="0"/>
          <w:numId w:val="40"/>
        </w:numPr>
        <w:tabs>
          <w:tab w:val="left" w:pos="2610"/>
        </w:tabs>
        <w:ind w:firstLine="0"/>
        <w:jc w:val="both"/>
        <w:rPr>
          <w:rFonts w:ascii="Calibri" w:hAnsi="Calibri" w:cs="Arial"/>
        </w:rPr>
      </w:pPr>
      <w:r w:rsidRPr="005E020C">
        <w:rPr>
          <w:rFonts w:ascii="Calibri" w:hAnsi="Calibri" w:cs="Arial"/>
        </w:rPr>
        <w:t>information regarding maximum exposure to credit risk;</w:t>
      </w:r>
    </w:p>
    <w:p w:rsidR="00D31F42" w:rsidRPr="005E020C" w:rsidRDefault="00D31F42" w:rsidP="00F7611C">
      <w:pPr>
        <w:numPr>
          <w:ilvl w:val="0"/>
          <w:numId w:val="40"/>
        </w:numPr>
        <w:tabs>
          <w:tab w:val="left" w:pos="2610"/>
        </w:tabs>
        <w:ind w:left="2610" w:hanging="270"/>
        <w:jc w:val="both"/>
        <w:rPr>
          <w:rFonts w:ascii="Calibri" w:hAnsi="Calibri" w:cs="Arial"/>
        </w:rPr>
      </w:pPr>
      <w:r w:rsidRPr="005E020C">
        <w:rPr>
          <w:rFonts w:ascii="Calibri" w:hAnsi="Calibri" w:cs="Arial"/>
        </w:rPr>
        <w:t>information about the credit quality of financial assets that are neither past due nor impaired;</w:t>
      </w:r>
    </w:p>
    <w:p w:rsidR="00D31F42" w:rsidRPr="005E020C" w:rsidRDefault="00D31F42" w:rsidP="00F7611C">
      <w:pPr>
        <w:numPr>
          <w:ilvl w:val="0"/>
          <w:numId w:val="40"/>
        </w:numPr>
        <w:tabs>
          <w:tab w:val="left" w:pos="2610"/>
        </w:tabs>
        <w:ind w:left="2610" w:hanging="270"/>
        <w:jc w:val="both"/>
        <w:rPr>
          <w:rFonts w:ascii="Calibri" w:hAnsi="Calibri" w:cs="Arial"/>
        </w:rPr>
      </w:pPr>
      <w:r w:rsidRPr="005E020C">
        <w:rPr>
          <w:rFonts w:ascii="Calibri" w:hAnsi="Calibri" w:cs="Arial"/>
        </w:rPr>
        <w:t>an analysis of the age of financial assets that are past due as at the  end of the reporting period but not impaired; and</w:t>
      </w:r>
    </w:p>
    <w:p w:rsidR="00D31F42" w:rsidRDefault="00D31F42" w:rsidP="00F7611C">
      <w:pPr>
        <w:numPr>
          <w:ilvl w:val="0"/>
          <w:numId w:val="40"/>
        </w:numPr>
        <w:tabs>
          <w:tab w:val="left" w:pos="2610"/>
        </w:tabs>
        <w:ind w:left="2610" w:hanging="270"/>
        <w:jc w:val="both"/>
        <w:rPr>
          <w:rFonts w:ascii="Calibri" w:hAnsi="Calibri" w:cs="Arial"/>
        </w:rPr>
      </w:pPr>
      <w:r w:rsidRPr="005E020C">
        <w:rPr>
          <w:rFonts w:ascii="Calibri" w:hAnsi="Calibri" w:cs="Arial"/>
        </w:rPr>
        <w:t>an analysis of financial assets that are individually determined to be impaired as at the end of the reporting period, including the factors the entity considered in determining that they are impaired.</w:t>
      </w:r>
    </w:p>
    <w:p w:rsidR="00D31F42" w:rsidRPr="005E020C" w:rsidRDefault="00D31F42" w:rsidP="00BF45F9">
      <w:pPr>
        <w:tabs>
          <w:tab w:val="left" w:pos="2610"/>
        </w:tabs>
        <w:ind w:left="2610"/>
        <w:jc w:val="both"/>
        <w:rPr>
          <w:rFonts w:ascii="Calibri" w:hAnsi="Calibri" w:cs="Arial"/>
        </w:rPr>
      </w:pPr>
    </w:p>
    <w:p w:rsidR="00D31F42" w:rsidRPr="005E020C" w:rsidRDefault="00D31F42" w:rsidP="00F7611C">
      <w:pPr>
        <w:numPr>
          <w:ilvl w:val="0"/>
          <w:numId w:val="30"/>
        </w:numPr>
        <w:tabs>
          <w:tab w:val="left" w:pos="2340"/>
        </w:tabs>
        <w:ind w:hanging="270"/>
        <w:jc w:val="both"/>
        <w:rPr>
          <w:rFonts w:ascii="Calibri" w:hAnsi="Calibri" w:cs="Arial"/>
        </w:rPr>
      </w:pPr>
      <w:r w:rsidRPr="005E020C">
        <w:rPr>
          <w:rFonts w:ascii="Calibri" w:hAnsi="Calibri" w:cs="Arial"/>
        </w:rPr>
        <w:t>Maturity analysis for non-derivative financial liabilities (including issued financial guarantee contracts) that shows the remaining contractual maturities.</w:t>
      </w:r>
    </w:p>
    <w:p w:rsidR="00D31F42" w:rsidRPr="005E020C" w:rsidRDefault="00D31F42" w:rsidP="00624026">
      <w:pPr>
        <w:ind w:left="1080"/>
        <w:jc w:val="both"/>
        <w:rPr>
          <w:rFonts w:ascii="Calibri" w:hAnsi="Calibri" w:cs="Arial"/>
        </w:rPr>
      </w:pPr>
    </w:p>
    <w:p w:rsidR="00D31F42" w:rsidRPr="005E020C" w:rsidRDefault="00D31F42" w:rsidP="00F7611C">
      <w:pPr>
        <w:numPr>
          <w:ilvl w:val="0"/>
          <w:numId w:val="28"/>
        </w:numPr>
        <w:tabs>
          <w:tab w:val="left" w:pos="1980"/>
        </w:tabs>
        <w:ind w:hanging="90"/>
        <w:jc w:val="both"/>
        <w:rPr>
          <w:rFonts w:ascii="Calibri" w:hAnsi="Calibri"/>
          <w:lang w:val="en-US"/>
        </w:rPr>
      </w:pPr>
      <w:r w:rsidRPr="005E020C">
        <w:rPr>
          <w:rFonts w:ascii="Calibri" w:hAnsi="Calibri"/>
          <w:lang w:val="en-US"/>
        </w:rPr>
        <w:t>IFRS 8, Operating Segments</w:t>
      </w:r>
    </w:p>
    <w:p w:rsidR="00D31F42" w:rsidRPr="005E020C" w:rsidRDefault="00D31F42" w:rsidP="00BC15F9">
      <w:pPr>
        <w:tabs>
          <w:tab w:val="left" w:pos="748"/>
        </w:tabs>
        <w:ind w:left="1468"/>
        <w:jc w:val="both"/>
        <w:rPr>
          <w:rFonts w:ascii="Calibri" w:hAnsi="Calibri"/>
        </w:rPr>
      </w:pPr>
    </w:p>
    <w:p w:rsidR="00D31F42" w:rsidRPr="005E020C" w:rsidRDefault="00D31F42" w:rsidP="00BE4E46">
      <w:pPr>
        <w:ind w:left="1980"/>
        <w:jc w:val="both"/>
        <w:rPr>
          <w:rFonts w:ascii="Calibri" w:hAnsi="Calibri" w:cs="Arial"/>
        </w:rPr>
      </w:pPr>
      <w:r w:rsidRPr="005E020C">
        <w:rPr>
          <w:rFonts w:ascii="Calibri" w:hAnsi="Calibri" w:cs="Arial"/>
        </w:rPr>
        <w:t xml:space="preserve">IFRS 8 </w:t>
      </w:r>
      <w:r w:rsidRPr="005E020C">
        <w:rPr>
          <w:rFonts w:ascii="Calibri" w:hAnsi="Calibri" w:cs="Arial"/>
          <w:i/>
        </w:rPr>
        <w:t>Operating Segments</w:t>
      </w:r>
      <w:r w:rsidRPr="005E020C">
        <w:rPr>
          <w:rFonts w:ascii="Calibri" w:hAnsi="Calibri" w:cs="Arial"/>
        </w:rPr>
        <w:t xml:space="preserve"> is applicable to listed entities. With respect to the 5 listed other entities reviewed, the following observations were made</w:t>
      </w:r>
      <w:r w:rsidRPr="005E020C">
        <w:rPr>
          <w:rFonts w:ascii="Calibri" w:hAnsi="Calibri" w:cs="Arial"/>
          <w:b/>
        </w:rPr>
        <w:t>:</w:t>
      </w:r>
    </w:p>
    <w:p w:rsidR="00D31F42" w:rsidRPr="005E020C" w:rsidRDefault="00D31F42" w:rsidP="006E4D1D">
      <w:pPr>
        <w:ind w:left="1620"/>
        <w:jc w:val="both"/>
        <w:rPr>
          <w:rFonts w:ascii="Calibri" w:hAnsi="Calibri" w:cs="Arial"/>
          <w:i/>
        </w:rPr>
      </w:pPr>
    </w:p>
    <w:p w:rsidR="00D31F42" w:rsidRPr="005E020C" w:rsidRDefault="00D31F42" w:rsidP="00BE4E46">
      <w:pPr>
        <w:numPr>
          <w:ilvl w:val="0"/>
          <w:numId w:val="2"/>
        </w:numPr>
        <w:tabs>
          <w:tab w:val="clear" w:pos="720"/>
          <w:tab w:val="num" w:pos="1440"/>
          <w:tab w:val="left" w:pos="2250"/>
        </w:tabs>
        <w:ind w:left="2250" w:hanging="270"/>
        <w:jc w:val="both"/>
        <w:rPr>
          <w:rFonts w:ascii="Calibri" w:hAnsi="Calibri" w:cs="Arial"/>
          <w:b/>
        </w:rPr>
      </w:pPr>
      <w:r w:rsidRPr="005E020C">
        <w:rPr>
          <w:rFonts w:ascii="Calibri" w:hAnsi="Calibri" w:cs="Arial"/>
          <w:b/>
        </w:rPr>
        <w:t xml:space="preserve">3 entities </w:t>
      </w:r>
      <w:r w:rsidRPr="005E020C">
        <w:rPr>
          <w:rFonts w:ascii="Calibri" w:hAnsi="Calibri" w:cs="Arial"/>
        </w:rPr>
        <w:t xml:space="preserve">[1 Commerce, 1 Industry and 1 Investment] </w:t>
      </w:r>
      <w:r w:rsidRPr="005E020C">
        <w:rPr>
          <w:rFonts w:ascii="Calibri" w:hAnsi="Calibri" w:cs="Arial"/>
          <w:b/>
        </w:rPr>
        <w:t xml:space="preserve">had </w:t>
      </w:r>
      <w:r w:rsidRPr="005E020C">
        <w:rPr>
          <w:rFonts w:ascii="Calibri" w:hAnsi="Calibri" w:cs="Arial"/>
          <w:b/>
          <w:u w:val="single"/>
        </w:rPr>
        <w:t>fully complied</w:t>
      </w:r>
      <w:r w:rsidRPr="005E020C">
        <w:rPr>
          <w:rFonts w:ascii="Calibri" w:hAnsi="Calibri" w:cs="Arial"/>
          <w:b/>
        </w:rPr>
        <w:t xml:space="preserve"> with the requirements of IFRS 8.</w:t>
      </w:r>
    </w:p>
    <w:p w:rsidR="00D31F42" w:rsidRPr="005E020C" w:rsidRDefault="00D31F42" w:rsidP="00BE4E46">
      <w:pPr>
        <w:tabs>
          <w:tab w:val="num" w:pos="540"/>
          <w:tab w:val="left" w:pos="2250"/>
        </w:tabs>
        <w:ind w:left="900"/>
        <w:jc w:val="both"/>
        <w:rPr>
          <w:rFonts w:ascii="Calibri" w:hAnsi="Calibri" w:cs="Arial"/>
          <w:b/>
        </w:rPr>
      </w:pPr>
    </w:p>
    <w:p w:rsidR="00D31F42" w:rsidRPr="005E020C" w:rsidRDefault="00D31F42" w:rsidP="00BE4E46">
      <w:pPr>
        <w:numPr>
          <w:ilvl w:val="0"/>
          <w:numId w:val="2"/>
        </w:numPr>
        <w:tabs>
          <w:tab w:val="clear" w:pos="720"/>
          <w:tab w:val="num" w:pos="1440"/>
          <w:tab w:val="left" w:pos="2250"/>
        </w:tabs>
        <w:ind w:left="2250" w:hanging="270"/>
        <w:jc w:val="both"/>
        <w:rPr>
          <w:rFonts w:ascii="Calibri" w:hAnsi="Calibri" w:cs="Arial"/>
          <w:b/>
        </w:rPr>
      </w:pPr>
      <w:r w:rsidRPr="005E020C">
        <w:rPr>
          <w:rFonts w:ascii="Calibri" w:hAnsi="Calibri" w:cs="Arial"/>
          <w:b/>
        </w:rPr>
        <w:t xml:space="preserve">1 PIE </w:t>
      </w:r>
      <w:r w:rsidRPr="005E020C">
        <w:rPr>
          <w:rFonts w:ascii="Calibri" w:hAnsi="Calibri" w:cs="Arial"/>
        </w:rPr>
        <w:t>involved in Industry</w:t>
      </w:r>
      <w:r w:rsidRPr="005E020C">
        <w:rPr>
          <w:rFonts w:ascii="Calibri" w:hAnsi="Calibri" w:cs="Arial"/>
          <w:b/>
        </w:rPr>
        <w:t xml:space="preserve"> had not disclosed the requirements of IFRS 8 as this IFRS was not applicable given that the entity did not have more than one operating segment due to the nature of its businesses.</w:t>
      </w:r>
    </w:p>
    <w:p w:rsidR="00D31F42" w:rsidRPr="005E020C" w:rsidRDefault="00D31F42" w:rsidP="00BE4E46">
      <w:pPr>
        <w:pStyle w:val="ListParagraph"/>
        <w:tabs>
          <w:tab w:val="left" w:pos="2250"/>
        </w:tabs>
        <w:ind w:left="1620"/>
        <w:rPr>
          <w:rFonts w:ascii="Calibri" w:hAnsi="Calibri" w:cs="Arial"/>
          <w:b/>
        </w:rPr>
      </w:pPr>
    </w:p>
    <w:p w:rsidR="00D31F42" w:rsidRPr="005E020C" w:rsidRDefault="00D31F42" w:rsidP="00BE4E46">
      <w:pPr>
        <w:numPr>
          <w:ilvl w:val="2"/>
          <w:numId w:val="2"/>
        </w:numPr>
        <w:tabs>
          <w:tab w:val="left" w:pos="2250"/>
        </w:tabs>
        <w:autoSpaceDE w:val="0"/>
        <w:autoSpaceDN w:val="0"/>
        <w:adjustRightInd w:val="0"/>
        <w:ind w:left="2250" w:hanging="270"/>
        <w:jc w:val="both"/>
        <w:rPr>
          <w:rFonts w:ascii="Calibri" w:hAnsi="Calibri" w:cs="Arial"/>
          <w:b/>
        </w:rPr>
      </w:pPr>
      <w:r w:rsidRPr="005E020C">
        <w:rPr>
          <w:rFonts w:ascii="Calibri" w:hAnsi="Calibri" w:cs="Arial"/>
          <w:b/>
        </w:rPr>
        <w:t xml:space="preserve"> 1 PIE </w:t>
      </w:r>
      <w:r w:rsidRPr="005E020C">
        <w:rPr>
          <w:rFonts w:ascii="Calibri" w:hAnsi="Calibri" w:cs="Arial"/>
        </w:rPr>
        <w:t>in Investment</w:t>
      </w:r>
      <w:r w:rsidRPr="005E020C">
        <w:rPr>
          <w:rFonts w:ascii="Calibri" w:hAnsi="Calibri" w:cs="Arial"/>
          <w:b/>
        </w:rPr>
        <w:t xml:space="preserve"> had not disclosed the basis of accounting for its inter-segment transactions.</w:t>
      </w:r>
    </w:p>
    <w:p w:rsidR="00D31F42" w:rsidRPr="005E020C" w:rsidRDefault="00D31F42" w:rsidP="00844538">
      <w:pPr>
        <w:pStyle w:val="ListParagraph"/>
        <w:rPr>
          <w:rFonts w:ascii="Calibri" w:hAnsi="Calibri"/>
        </w:rPr>
      </w:pPr>
    </w:p>
    <w:p w:rsidR="00D31F42" w:rsidRPr="005E020C" w:rsidRDefault="00D31F42" w:rsidP="00844538">
      <w:pPr>
        <w:pStyle w:val="ListParagraph"/>
        <w:rPr>
          <w:rFonts w:ascii="Calibri" w:hAnsi="Calibri"/>
        </w:rPr>
      </w:pPr>
    </w:p>
    <w:p w:rsidR="00D31F42" w:rsidRPr="005E020C" w:rsidRDefault="00D31F42" w:rsidP="00F7611C">
      <w:pPr>
        <w:numPr>
          <w:ilvl w:val="1"/>
          <w:numId w:val="35"/>
        </w:numPr>
        <w:tabs>
          <w:tab w:val="left" w:pos="1440"/>
          <w:tab w:val="left" w:pos="1530"/>
        </w:tabs>
        <w:ind w:left="1260" w:hanging="180"/>
        <w:jc w:val="both"/>
        <w:rPr>
          <w:rFonts w:ascii="Calibri" w:hAnsi="Calibri" w:cs="Arial"/>
          <w:b/>
          <w:color w:val="000000"/>
        </w:rPr>
      </w:pPr>
      <w:r w:rsidRPr="005E020C">
        <w:rPr>
          <w:rFonts w:ascii="Calibri" w:hAnsi="Calibri" w:cs="Arial"/>
          <w:b/>
          <w:color w:val="000000"/>
        </w:rPr>
        <w:t xml:space="preserve">  </w:t>
      </w:r>
      <w:bookmarkStart w:id="9" w:name="OLE_LINK4"/>
      <w:r w:rsidRPr="005E020C">
        <w:rPr>
          <w:rFonts w:ascii="Calibri" w:hAnsi="Calibri" w:cs="Arial"/>
          <w:b/>
          <w:color w:val="000000"/>
        </w:rPr>
        <w:t>Compliances with corporate governance</w:t>
      </w:r>
    </w:p>
    <w:bookmarkEnd w:id="9"/>
    <w:p w:rsidR="00D31F42" w:rsidRPr="005E020C" w:rsidRDefault="00D31F42" w:rsidP="00844538">
      <w:pPr>
        <w:jc w:val="both"/>
        <w:rPr>
          <w:rFonts w:ascii="Calibri" w:hAnsi="Calibri"/>
        </w:rPr>
      </w:pPr>
    </w:p>
    <w:p w:rsidR="00D31F42" w:rsidRPr="005E020C" w:rsidRDefault="00D31F42" w:rsidP="00A250F0">
      <w:pPr>
        <w:ind w:left="1530"/>
        <w:jc w:val="both"/>
        <w:rPr>
          <w:rFonts w:ascii="Calibri" w:hAnsi="Calibri"/>
        </w:rPr>
      </w:pPr>
      <w:r w:rsidRPr="005E020C">
        <w:rPr>
          <w:rFonts w:ascii="Calibri" w:hAnsi="Calibri"/>
        </w:rPr>
        <w:t xml:space="preserve">The National Code of Corporate Governance aims at establishing principles for good corporate governance leading to transparency, accountability and a long-term perspective. </w:t>
      </w:r>
    </w:p>
    <w:p w:rsidR="00D31F42" w:rsidRPr="005E020C" w:rsidRDefault="00D31F42" w:rsidP="00A250F0">
      <w:pPr>
        <w:ind w:left="1620"/>
        <w:jc w:val="both"/>
        <w:rPr>
          <w:rFonts w:ascii="Calibri" w:hAnsi="Calibri" w:cs="Calibri"/>
        </w:rPr>
      </w:pPr>
    </w:p>
    <w:p w:rsidR="00D31F42" w:rsidRPr="005E020C" w:rsidRDefault="00D31F42" w:rsidP="003E0783">
      <w:pPr>
        <w:ind w:left="1530"/>
        <w:jc w:val="both"/>
        <w:rPr>
          <w:rFonts w:ascii="Calibri" w:hAnsi="Calibri" w:cs="Calibri"/>
        </w:rPr>
      </w:pPr>
      <w:r w:rsidRPr="005E020C">
        <w:rPr>
          <w:rFonts w:ascii="Calibri" w:hAnsi="Calibri"/>
        </w:rPr>
        <w:t xml:space="preserve">Section 75(2) of the FRA stipulates that every PIE shall adopt corporate governance in accordance with the Code of Corporate Governance (‘Code”).  The ‘comply or explain’ principle forms the basis of this Code. Through this principle, companies that depart </w:t>
      </w:r>
      <w:r w:rsidRPr="005E020C">
        <w:rPr>
          <w:rFonts w:ascii="Calibri" w:hAnsi="Calibri"/>
        </w:rPr>
        <w:lastRenderedPageBreak/>
        <w:t>from the relevant corporate Governance Code are required to explain in their corporate governance statement which parts of the Code they depart from and the reasons for doing so.</w:t>
      </w:r>
    </w:p>
    <w:p w:rsidR="00D31F42" w:rsidRDefault="00D31F42" w:rsidP="00A250F0">
      <w:pPr>
        <w:ind w:left="1530"/>
        <w:jc w:val="both"/>
        <w:rPr>
          <w:rFonts w:ascii="Calibri" w:hAnsi="Calibri"/>
        </w:rPr>
      </w:pPr>
    </w:p>
    <w:p w:rsidR="00D31F42" w:rsidRPr="005E020C" w:rsidRDefault="00D31F42" w:rsidP="00A250F0">
      <w:pPr>
        <w:ind w:left="1530"/>
        <w:jc w:val="both"/>
        <w:rPr>
          <w:rFonts w:ascii="Calibri" w:hAnsi="Calibri"/>
        </w:rPr>
      </w:pPr>
      <w:r w:rsidRPr="005E020C">
        <w:rPr>
          <w:rFonts w:ascii="Calibri" w:hAnsi="Calibri"/>
        </w:rPr>
        <w:t xml:space="preserve">It is commendable to note that all of the 13 other entities had reported on corporate governance and that 9 out of these 13 PIEs had </w:t>
      </w:r>
      <w:r w:rsidRPr="005E020C">
        <w:rPr>
          <w:rFonts w:ascii="Calibri" w:hAnsi="Calibri"/>
          <w:u w:val="single"/>
        </w:rPr>
        <w:t>partly complied</w:t>
      </w:r>
      <w:r w:rsidRPr="005E020C">
        <w:rPr>
          <w:rFonts w:ascii="Calibri" w:hAnsi="Calibri"/>
        </w:rPr>
        <w:t xml:space="preserve"> with the Code.</w:t>
      </w:r>
    </w:p>
    <w:p w:rsidR="00D31F42" w:rsidRPr="005E020C" w:rsidRDefault="00D31F42" w:rsidP="00A250F0">
      <w:pPr>
        <w:ind w:left="1530"/>
        <w:jc w:val="both"/>
        <w:rPr>
          <w:rFonts w:ascii="Calibri" w:hAnsi="Calibri"/>
        </w:rPr>
      </w:pPr>
    </w:p>
    <w:p w:rsidR="00D31F42" w:rsidRPr="005E020C" w:rsidRDefault="00D31F42" w:rsidP="00A250F0">
      <w:pPr>
        <w:ind w:left="1530"/>
        <w:jc w:val="both"/>
        <w:rPr>
          <w:rFonts w:ascii="Calibri" w:hAnsi="Calibri" w:cs="Arial"/>
        </w:rPr>
      </w:pPr>
      <w:r w:rsidRPr="005E020C">
        <w:rPr>
          <w:rFonts w:ascii="Calibri" w:hAnsi="Calibri" w:cs="Arial"/>
        </w:rPr>
        <w:t>FRC has identified that in most cases, amongst others, the PIEs had not complied fully with the following requirements of the code of corporate governance:</w:t>
      </w:r>
    </w:p>
    <w:p w:rsidR="00D31F42" w:rsidRPr="005E020C" w:rsidRDefault="00D31F42" w:rsidP="007A5AB7">
      <w:pPr>
        <w:ind w:left="450"/>
        <w:jc w:val="both"/>
        <w:rPr>
          <w:rFonts w:ascii="Calibri" w:hAnsi="Calibri"/>
        </w:rPr>
      </w:pPr>
    </w:p>
    <w:p w:rsidR="00D31F42" w:rsidRPr="005E020C" w:rsidRDefault="00D31F42" w:rsidP="00F7611C">
      <w:pPr>
        <w:numPr>
          <w:ilvl w:val="0"/>
          <w:numId w:val="25"/>
        </w:numPr>
        <w:tabs>
          <w:tab w:val="clear" w:pos="1170"/>
          <w:tab w:val="num" w:pos="1620"/>
          <w:tab w:val="left" w:pos="1980"/>
        </w:tabs>
        <w:ind w:left="1620" w:firstLine="0"/>
        <w:jc w:val="both"/>
        <w:rPr>
          <w:rFonts w:ascii="Calibri" w:hAnsi="Calibri"/>
        </w:rPr>
      </w:pPr>
      <w:r w:rsidRPr="005E020C">
        <w:rPr>
          <w:rFonts w:ascii="Calibri" w:hAnsi="Calibri"/>
        </w:rPr>
        <w:t>Composition of the Board (section 2 of the code);</w:t>
      </w:r>
    </w:p>
    <w:p w:rsidR="00D31F42" w:rsidRPr="005E020C" w:rsidRDefault="00D31F42" w:rsidP="00F7611C">
      <w:pPr>
        <w:numPr>
          <w:ilvl w:val="0"/>
          <w:numId w:val="25"/>
        </w:numPr>
        <w:tabs>
          <w:tab w:val="clear" w:pos="1170"/>
          <w:tab w:val="num" w:pos="1620"/>
          <w:tab w:val="left" w:pos="1980"/>
        </w:tabs>
        <w:ind w:left="1620" w:firstLine="0"/>
        <w:jc w:val="both"/>
        <w:rPr>
          <w:rFonts w:ascii="Calibri" w:hAnsi="Calibri"/>
        </w:rPr>
      </w:pPr>
      <w:r w:rsidRPr="005E020C">
        <w:rPr>
          <w:rFonts w:ascii="Calibri" w:hAnsi="Calibri"/>
        </w:rPr>
        <w:t>Information on board committees (section 3 of the code);</w:t>
      </w:r>
    </w:p>
    <w:p w:rsidR="00D31F42" w:rsidRPr="005E020C" w:rsidRDefault="00D31F42" w:rsidP="00F7611C">
      <w:pPr>
        <w:numPr>
          <w:ilvl w:val="0"/>
          <w:numId w:val="25"/>
        </w:numPr>
        <w:tabs>
          <w:tab w:val="clear" w:pos="1170"/>
          <w:tab w:val="num" w:pos="1620"/>
          <w:tab w:val="left" w:pos="1980"/>
        </w:tabs>
        <w:ind w:left="1620" w:firstLine="0"/>
        <w:jc w:val="both"/>
        <w:rPr>
          <w:rFonts w:ascii="Calibri" w:hAnsi="Calibri"/>
        </w:rPr>
      </w:pPr>
      <w:r w:rsidRPr="005E020C">
        <w:rPr>
          <w:rFonts w:ascii="Calibri" w:hAnsi="Calibri"/>
        </w:rPr>
        <w:t>Details of risk management policies (section 5 of the code);</w:t>
      </w:r>
    </w:p>
    <w:p w:rsidR="00D31F42" w:rsidRPr="005E020C" w:rsidRDefault="00D31F42" w:rsidP="00F7611C">
      <w:pPr>
        <w:numPr>
          <w:ilvl w:val="0"/>
          <w:numId w:val="25"/>
        </w:numPr>
        <w:tabs>
          <w:tab w:val="clear" w:pos="1170"/>
          <w:tab w:val="num" w:pos="1620"/>
          <w:tab w:val="left" w:pos="1980"/>
        </w:tabs>
        <w:ind w:left="1620" w:firstLine="0"/>
        <w:jc w:val="both"/>
        <w:rPr>
          <w:rFonts w:ascii="Calibri" w:hAnsi="Calibri"/>
        </w:rPr>
      </w:pPr>
      <w:r w:rsidRPr="005E020C">
        <w:rPr>
          <w:rFonts w:ascii="Calibri" w:hAnsi="Calibri"/>
        </w:rPr>
        <w:t>Description of internal control (section 5 of the code); and</w:t>
      </w:r>
    </w:p>
    <w:p w:rsidR="00D31F42" w:rsidRPr="005E020C" w:rsidRDefault="00D31F42" w:rsidP="00F7611C">
      <w:pPr>
        <w:numPr>
          <w:ilvl w:val="0"/>
          <w:numId w:val="25"/>
        </w:numPr>
        <w:tabs>
          <w:tab w:val="clear" w:pos="1170"/>
          <w:tab w:val="num" w:pos="1620"/>
          <w:tab w:val="left" w:pos="1980"/>
        </w:tabs>
        <w:ind w:left="1620" w:firstLine="0"/>
        <w:jc w:val="both"/>
        <w:rPr>
          <w:rFonts w:ascii="Calibri" w:hAnsi="Calibri"/>
        </w:rPr>
      </w:pPr>
      <w:r w:rsidRPr="005E020C">
        <w:rPr>
          <w:rFonts w:ascii="Calibri" w:hAnsi="Calibri"/>
        </w:rPr>
        <w:t>Details of internal audit function (section 5 of the code).</w:t>
      </w:r>
    </w:p>
    <w:p w:rsidR="00D31F42" w:rsidRPr="005E020C" w:rsidRDefault="00D31F42" w:rsidP="00844538">
      <w:pPr>
        <w:ind w:left="720"/>
        <w:jc w:val="both"/>
        <w:rPr>
          <w:rFonts w:ascii="Calibri" w:hAnsi="Calibri"/>
          <w:b/>
        </w:rPr>
      </w:pPr>
    </w:p>
    <w:p w:rsidR="00D31F42" w:rsidRPr="005E020C" w:rsidRDefault="00D31F42" w:rsidP="00F7611C">
      <w:pPr>
        <w:pStyle w:val="ListParagraph"/>
        <w:numPr>
          <w:ilvl w:val="0"/>
          <w:numId w:val="6"/>
        </w:numPr>
        <w:tabs>
          <w:tab w:val="left" w:pos="1980"/>
        </w:tabs>
        <w:ind w:hanging="90"/>
        <w:contextualSpacing/>
        <w:rPr>
          <w:rFonts w:ascii="Calibri" w:hAnsi="Calibri"/>
        </w:rPr>
      </w:pPr>
      <w:r w:rsidRPr="005E020C">
        <w:rPr>
          <w:rFonts w:ascii="Calibri" w:hAnsi="Calibri"/>
        </w:rPr>
        <w:t xml:space="preserve">Information on the Board of Directors </w:t>
      </w:r>
    </w:p>
    <w:p w:rsidR="00D31F42" w:rsidRPr="005E020C" w:rsidRDefault="00D31F42" w:rsidP="00844538">
      <w:pPr>
        <w:rPr>
          <w:rFonts w:ascii="Calibri" w:hAnsi="Calibri"/>
        </w:rPr>
      </w:pPr>
    </w:p>
    <w:p w:rsidR="00D31F42" w:rsidRPr="005E020C" w:rsidRDefault="00D31F42" w:rsidP="00A250F0">
      <w:pPr>
        <w:tabs>
          <w:tab w:val="left" w:pos="270"/>
          <w:tab w:val="left" w:pos="300"/>
        </w:tabs>
        <w:ind w:left="1980"/>
        <w:jc w:val="both"/>
        <w:rPr>
          <w:rFonts w:ascii="Calibri" w:hAnsi="Calibri"/>
        </w:rPr>
      </w:pPr>
      <w:r w:rsidRPr="005E020C">
        <w:rPr>
          <w:rFonts w:ascii="Calibri" w:hAnsi="Calibri"/>
        </w:rPr>
        <w:t xml:space="preserve">As per the code of corporate governance of </w:t>
      </w:r>
      <w:smartTag w:uri="urn:schemas-microsoft-com:office:smarttags" w:element="place">
        <w:smartTag w:uri="urn:schemas-microsoft-com:office:smarttags" w:element="country-region">
          <w:r w:rsidRPr="005E020C">
            <w:rPr>
              <w:rFonts w:ascii="Calibri" w:hAnsi="Calibri"/>
            </w:rPr>
            <w:t>Mauritius</w:t>
          </w:r>
        </w:smartTag>
      </w:smartTag>
      <w:r w:rsidRPr="005E020C">
        <w:rPr>
          <w:rFonts w:ascii="Calibri" w:hAnsi="Calibri"/>
        </w:rPr>
        <w:t xml:space="preserve">, a company should have appropriate balance of executive, non-executive and independent directors. This enables the company to make sound decision making with competent board members with proper level of qualifications and experience. </w:t>
      </w:r>
    </w:p>
    <w:p w:rsidR="00D31F42" w:rsidRPr="005E020C" w:rsidRDefault="00D31F42" w:rsidP="00A250F0">
      <w:pPr>
        <w:tabs>
          <w:tab w:val="left" w:pos="270"/>
          <w:tab w:val="left" w:pos="300"/>
        </w:tabs>
        <w:ind w:left="1800" w:firstLine="360"/>
        <w:jc w:val="both"/>
        <w:rPr>
          <w:rFonts w:ascii="Calibri" w:hAnsi="Calibri"/>
        </w:rPr>
      </w:pPr>
    </w:p>
    <w:p w:rsidR="00D31F42" w:rsidRPr="005E020C" w:rsidRDefault="00D31F42" w:rsidP="00A250F0">
      <w:pPr>
        <w:tabs>
          <w:tab w:val="left" w:pos="270"/>
          <w:tab w:val="left" w:pos="300"/>
        </w:tabs>
        <w:ind w:left="1980"/>
        <w:jc w:val="both"/>
        <w:rPr>
          <w:rFonts w:ascii="Calibri" w:hAnsi="Calibri"/>
        </w:rPr>
      </w:pPr>
      <w:r w:rsidRPr="005E020C">
        <w:rPr>
          <w:rFonts w:ascii="Calibri" w:hAnsi="Calibri"/>
        </w:rPr>
        <w:t>During the course of the annual report reviews, FRC noted major non-compliances relating to the composition of the board – the minimum requirement of executive and independent directors was not met.</w:t>
      </w:r>
    </w:p>
    <w:p w:rsidR="00D31F42" w:rsidRPr="005E020C" w:rsidRDefault="00D31F42" w:rsidP="00844538">
      <w:pPr>
        <w:tabs>
          <w:tab w:val="left" w:pos="270"/>
          <w:tab w:val="left" w:pos="300"/>
        </w:tabs>
        <w:ind w:left="1800" w:hanging="360"/>
        <w:jc w:val="both"/>
        <w:rPr>
          <w:rFonts w:ascii="Calibri" w:hAnsi="Calibri"/>
        </w:rPr>
      </w:pPr>
    </w:p>
    <w:p w:rsidR="00D31F42" w:rsidRPr="005E020C" w:rsidRDefault="00D31F42" w:rsidP="00F7611C">
      <w:pPr>
        <w:pStyle w:val="ListParagraph"/>
        <w:numPr>
          <w:ilvl w:val="0"/>
          <w:numId w:val="7"/>
        </w:numPr>
        <w:tabs>
          <w:tab w:val="left" w:pos="270"/>
          <w:tab w:val="left" w:pos="300"/>
        </w:tabs>
        <w:ind w:left="2340"/>
        <w:contextualSpacing/>
        <w:jc w:val="both"/>
        <w:rPr>
          <w:rFonts w:ascii="Calibri" w:hAnsi="Calibri"/>
        </w:rPr>
      </w:pPr>
      <w:r w:rsidRPr="005E020C">
        <w:rPr>
          <w:rFonts w:ascii="Calibri" w:hAnsi="Calibri"/>
        </w:rPr>
        <w:t xml:space="preserve">   Minimum requirement of having at least 2 independent directors on the board of directors </w:t>
      </w:r>
    </w:p>
    <w:p w:rsidR="00D31F42" w:rsidRPr="005E020C" w:rsidRDefault="00D31F42" w:rsidP="00844538">
      <w:pPr>
        <w:tabs>
          <w:tab w:val="left" w:pos="270"/>
          <w:tab w:val="left" w:pos="300"/>
        </w:tabs>
        <w:ind w:left="1800"/>
        <w:jc w:val="both"/>
        <w:rPr>
          <w:rFonts w:ascii="Calibri" w:hAnsi="Calibri"/>
        </w:rPr>
      </w:pPr>
    </w:p>
    <w:p w:rsidR="00D31F42" w:rsidRPr="005E020C" w:rsidRDefault="00D31F42" w:rsidP="00A250F0">
      <w:pPr>
        <w:pStyle w:val="ListParagraph"/>
        <w:ind w:left="2340"/>
        <w:contextualSpacing/>
        <w:jc w:val="both"/>
        <w:rPr>
          <w:rFonts w:ascii="Calibri" w:hAnsi="Calibri"/>
        </w:rPr>
      </w:pPr>
      <w:r w:rsidRPr="005E020C">
        <w:rPr>
          <w:rFonts w:ascii="Calibri" w:hAnsi="Calibri"/>
        </w:rPr>
        <w:t>As depicted in figure below, out of 13 PIEs</w:t>
      </w:r>
      <w:r>
        <w:rPr>
          <w:rFonts w:ascii="Calibri" w:hAnsi="Calibri"/>
        </w:rPr>
        <w:t>,</w:t>
      </w:r>
      <w:r w:rsidRPr="005E020C">
        <w:rPr>
          <w:rFonts w:ascii="Calibri" w:hAnsi="Calibri"/>
        </w:rPr>
        <w:t xml:space="preserve"> 5 entities had at least 2 independent directors on their boards in line with section 2.2.2 of the code of the corporate governance. The remaining either explained the reason for not having independent directors or did not comply at all with this requirement.</w:t>
      </w:r>
    </w:p>
    <w:p w:rsidR="00D31F42" w:rsidRPr="005E020C" w:rsidRDefault="00D31F42" w:rsidP="00844538">
      <w:pPr>
        <w:pStyle w:val="ListParagraph"/>
        <w:ind w:left="2520"/>
        <w:contextualSpacing/>
        <w:jc w:val="both"/>
        <w:rPr>
          <w:rFonts w:ascii="Calibri" w:hAnsi="Calibri"/>
        </w:rPr>
      </w:pPr>
    </w:p>
    <w:p w:rsidR="00D31F42" w:rsidRPr="005E020C" w:rsidRDefault="00D31F42" w:rsidP="00EC4743">
      <w:pPr>
        <w:pStyle w:val="ListParagraph"/>
        <w:ind w:left="2160"/>
        <w:contextualSpacing/>
        <w:jc w:val="both"/>
        <w:rPr>
          <w:rFonts w:ascii="Calibri" w:hAnsi="Calibri"/>
        </w:rPr>
      </w:pPr>
    </w:p>
    <w:p w:rsidR="00D31F42" w:rsidRPr="005E020C" w:rsidRDefault="00D31F42" w:rsidP="00EC4743">
      <w:pPr>
        <w:pStyle w:val="ListParagraph"/>
        <w:ind w:left="2160"/>
        <w:contextualSpacing/>
        <w:jc w:val="both"/>
        <w:rPr>
          <w:rFonts w:ascii="Calibri" w:hAnsi="Calibri"/>
        </w:rPr>
      </w:pPr>
    </w:p>
    <w:tbl>
      <w:tblPr>
        <w:tblW w:w="5816" w:type="dxa"/>
        <w:tblInd w:w="2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8"/>
        <w:gridCol w:w="1380"/>
        <w:gridCol w:w="1068"/>
        <w:gridCol w:w="1120"/>
        <w:gridCol w:w="960"/>
      </w:tblGrid>
      <w:tr w:rsidR="00D31F42" w:rsidRPr="00074FC0" w:rsidTr="005E020C">
        <w:trPr>
          <w:trHeight w:val="270"/>
        </w:trPr>
        <w:tc>
          <w:tcPr>
            <w:tcW w:w="1288" w:type="dxa"/>
            <w:vMerge w:val="restart"/>
            <w:shd w:val="clear" w:color="auto" w:fill="EAF1DD"/>
            <w:noWrap/>
            <w:vAlign w:val="center"/>
          </w:tcPr>
          <w:p w:rsidR="00D31F42" w:rsidRPr="005E020C" w:rsidRDefault="00D31F42">
            <w:pPr>
              <w:jc w:val="center"/>
              <w:rPr>
                <w:rFonts w:ascii="Calibri" w:hAnsi="Calibri" w:cs="Arial"/>
                <w:b/>
                <w:bCs/>
                <w:sz w:val="16"/>
                <w:szCs w:val="16"/>
              </w:rPr>
            </w:pPr>
            <w:r w:rsidRPr="005E020C">
              <w:rPr>
                <w:rFonts w:ascii="Calibri" w:hAnsi="Calibri" w:cs="Arial"/>
                <w:b/>
                <w:bCs/>
                <w:sz w:val="16"/>
                <w:szCs w:val="16"/>
              </w:rPr>
              <w:t>PIEs</w:t>
            </w:r>
          </w:p>
        </w:tc>
        <w:tc>
          <w:tcPr>
            <w:tcW w:w="4528" w:type="dxa"/>
            <w:gridSpan w:val="4"/>
            <w:shd w:val="clear" w:color="auto" w:fill="EAF1DD"/>
            <w:vAlign w:val="center"/>
          </w:tcPr>
          <w:p w:rsidR="00D31F42" w:rsidRPr="005E020C" w:rsidRDefault="00D31F42">
            <w:pPr>
              <w:jc w:val="center"/>
              <w:rPr>
                <w:rFonts w:ascii="Calibri" w:hAnsi="Calibri" w:cs="Arial"/>
                <w:b/>
                <w:bCs/>
                <w:sz w:val="16"/>
                <w:szCs w:val="16"/>
              </w:rPr>
            </w:pPr>
            <w:r w:rsidRPr="005E020C">
              <w:rPr>
                <w:rFonts w:ascii="Calibri" w:hAnsi="Calibri" w:cs="Arial"/>
                <w:b/>
                <w:bCs/>
                <w:sz w:val="16"/>
                <w:szCs w:val="16"/>
              </w:rPr>
              <w:t>Section 2.2.2</w:t>
            </w:r>
          </w:p>
        </w:tc>
      </w:tr>
      <w:tr w:rsidR="00D31F42" w:rsidRPr="00074FC0" w:rsidTr="00EB258C">
        <w:trPr>
          <w:trHeight w:val="2483"/>
        </w:trPr>
        <w:tc>
          <w:tcPr>
            <w:tcW w:w="1288" w:type="dxa"/>
            <w:vMerge/>
            <w:shd w:val="clear" w:color="auto" w:fill="EAF1DD"/>
            <w:vAlign w:val="center"/>
          </w:tcPr>
          <w:p w:rsidR="00D31F42" w:rsidRPr="005E020C" w:rsidRDefault="00D31F42">
            <w:pPr>
              <w:rPr>
                <w:rFonts w:ascii="Calibri" w:hAnsi="Calibri" w:cs="Arial"/>
                <w:b/>
                <w:bCs/>
                <w:sz w:val="16"/>
                <w:szCs w:val="16"/>
              </w:rPr>
            </w:pPr>
          </w:p>
        </w:tc>
        <w:tc>
          <w:tcPr>
            <w:tcW w:w="1380" w:type="dxa"/>
            <w:shd w:val="clear" w:color="auto" w:fill="EAF1DD"/>
            <w:vAlign w:val="center"/>
          </w:tcPr>
          <w:p w:rsidR="00D31F42" w:rsidRPr="005E020C" w:rsidRDefault="00D31F42">
            <w:pPr>
              <w:jc w:val="center"/>
              <w:rPr>
                <w:rFonts w:ascii="Calibri" w:hAnsi="Calibri" w:cs="Arial"/>
                <w:b/>
                <w:bCs/>
                <w:sz w:val="16"/>
                <w:szCs w:val="16"/>
              </w:rPr>
            </w:pPr>
            <w:r w:rsidRPr="005E020C">
              <w:rPr>
                <w:rFonts w:ascii="Calibri" w:hAnsi="Calibri" w:cs="Arial"/>
                <w:b/>
                <w:bCs/>
                <w:sz w:val="16"/>
                <w:szCs w:val="16"/>
              </w:rPr>
              <w:t xml:space="preserve">Reported on the requirement that  all companies should have at least two independent directors on their boards </w:t>
            </w:r>
          </w:p>
        </w:tc>
        <w:tc>
          <w:tcPr>
            <w:tcW w:w="1068" w:type="dxa"/>
            <w:shd w:val="clear" w:color="auto" w:fill="EAF1DD"/>
            <w:vAlign w:val="center"/>
          </w:tcPr>
          <w:p w:rsidR="00D31F42" w:rsidRPr="005E020C" w:rsidRDefault="00D31F42">
            <w:pPr>
              <w:jc w:val="center"/>
              <w:rPr>
                <w:rFonts w:ascii="Calibri" w:hAnsi="Calibri" w:cs="Arial"/>
                <w:b/>
                <w:bCs/>
                <w:sz w:val="16"/>
                <w:szCs w:val="16"/>
              </w:rPr>
            </w:pPr>
            <w:r w:rsidRPr="005E020C">
              <w:rPr>
                <w:rFonts w:ascii="Calibri" w:hAnsi="Calibri" w:cs="Arial"/>
                <w:b/>
                <w:bCs/>
                <w:sz w:val="16"/>
                <w:szCs w:val="16"/>
              </w:rPr>
              <w:t>Explanations provided</w:t>
            </w:r>
          </w:p>
        </w:tc>
        <w:tc>
          <w:tcPr>
            <w:tcW w:w="1120" w:type="dxa"/>
            <w:shd w:val="clear" w:color="auto" w:fill="EAF1DD"/>
            <w:vAlign w:val="center"/>
          </w:tcPr>
          <w:p w:rsidR="00D31F42" w:rsidRPr="005E020C" w:rsidRDefault="00D31F42">
            <w:pPr>
              <w:jc w:val="center"/>
              <w:rPr>
                <w:rFonts w:ascii="Calibri" w:hAnsi="Calibri" w:cs="Arial"/>
                <w:b/>
                <w:bCs/>
                <w:sz w:val="16"/>
                <w:szCs w:val="16"/>
              </w:rPr>
            </w:pPr>
            <w:r w:rsidRPr="005E020C">
              <w:rPr>
                <w:rFonts w:ascii="Calibri" w:hAnsi="Calibri" w:cs="Arial"/>
                <w:b/>
                <w:bCs/>
                <w:sz w:val="16"/>
                <w:szCs w:val="16"/>
              </w:rPr>
              <w:t>Not Reported on the requirement that all companies should have at least two independent directors on their boards, and no explanations provided</w:t>
            </w:r>
          </w:p>
        </w:tc>
        <w:tc>
          <w:tcPr>
            <w:tcW w:w="960" w:type="dxa"/>
            <w:shd w:val="clear" w:color="auto" w:fill="EAF1DD"/>
            <w:vAlign w:val="center"/>
          </w:tcPr>
          <w:p w:rsidR="00D31F42" w:rsidRPr="005E020C" w:rsidRDefault="00D31F42">
            <w:pPr>
              <w:jc w:val="center"/>
              <w:rPr>
                <w:rFonts w:ascii="Calibri" w:hAnsi="Calibri" w:cs="Arial"/>
                <w:b/>
                <w:bCs/>
                <w:sz w:val="16"/>
                <w:szCs w:val="16"/>
              </w:rPr>
            </w:pPr>
            <w:r w:rsidRPr="005E020C">
              <w:rPr>
                <w:rFonts w:ascii="Calibri" w:hAnsi="Calibri" w:cs="Arial"/>
                <w:b/>
                <w:bCs/>
                <w:sz w:val="16"/>
                <w:szCs w:val="16"/>
              </w:rPr>
              <w:t xml:space="preserve">Total </w:t>
            </w:r>
          </w:p>
        </w:tc>
      </w:tr>
      <w:tr w:rsidR="00D31F42" w:rsidRPr="00074FC0" w:rsidTr="000E6EDB">
        <w:trPr>
          <w:trHeight w:val="495"/>
        </w:trPr>
        <w:tc>
          <w:tcPr>
            <w:tcW w:w="1288" w:type="dxa"/>
            <w:noWrap/>
            <w:vAlign w:val="center"/>
          </w:tcPr>
          <w:p w:rsidR="00D31F42" w:rsidRPr="005E020C" w:rsidRDefault="00D31F42">
            <w:pPr>
              <w:jc w:val="both"/>
              <w:rPr>
                <w:rFonts w:ascii="Calibri" w:hAnsi="Calibri" w:cs="Arial"/>
                <w:sz w:val="18"/>
                <w:szCs w:val="18"/>
              </w:rPr>
            </w:pPr>
            <w:r w:rsidRPr="005E020C">
              <w:rPr>
                <w:rFonts w:ascii="Calibri" w:hAnsi="Calibri" w:cs="Arial"/>
                <w:sz w:val="18"/>
                <w:szCs w:val="18"/>
              </w:rPr>
              <w:t>Listed on SEM</w:t>
            </w:r>
          </w:p>
        </w:tc>
        <w:tc>
          <w:tcPr>
            <w:tcW w:w="1380" w:type="dxa"/>
            <w:noWrap/>
            <w:vAlign w:val="center"/>
          </w:tcPr>
          <w:p w:rsidR="00D31F42" w:rsidRPr="005E020C" w:rsidRDefault="00D31F42">
            <w:pPr>
              <w:jc w:val="center"/>
              <w:rPr>
                <w:rFonts w:ascii="Calibri" w:hAnsi="Calibri" w:cs="Arial"/>
                <w:sz w:val="18"/>
                <w:szCs w:val="18"/>
              </w:rPr>
            </w:pPr>
            <w:r w:rsidRPr="005E020C">
              <w:rPr>
                <w:rFonts w:ascii="Calibri" w:hAnsi="Calibri" w:cs="Arial"/>
                <w:sz w:val="18"/>
                <w:szCs w:val="18"/>
              </w:rPr>
              <w:t>2</w:t>
            </w:r>
          </w:p>
        </w:tc>
        <w:tc>
          <w:tcPr>
            <w:tcW w:w="1068" w:type="dxa"/>
            <w:noWrap/>
            <w:vAlign w:val="center"/>
          </w:tcPr>
          <w:p w:rsidR="00D31F42" w:rsidRPr="005E020C" w:rsidRDefault="00D31F42">
            <w:pPr>
              <w:jc w:val="center"/>
              <w:rPr>
                <w:rFonts w:ascii="Calibri" w:hAnsi="Calibri" w:cs="Arial"/>
                <w:sz w:val="18"/>
                <w:szCs w:val="18"/>
              </w:rPr>
            </w:pPr>
            <w:r w:rsidRPr="005E020C">
              <w:rPr>
                <w:rFonts w:ascii="Calibri" w:hAnsi="Calibri" w:cs="Arial"/>
                <w:sz w:val="18"/>
                <w:szCs w:val="18"/>
              </w:rPr>
              <w:t>3</w:t>
            </w:r>
          </w:p>
        </w:tc>
        <w:tc>
          <w:tcPr>
            <w:tcW w:w="1120" w:type="dxa"/>
            <w:noWrap/>
            <w:vAlign w:val="center"/>
          </w:tcPr>
          <w:p w:rsidR="00D31F42" w:rsidRPr="005E020C" w:rsidRDefault="00D31F42">
            <w:pPr>
              <w:jc w:val="center"/>
              <w:rPr>
                <w:rFonts w:ascii="Calibri" w:hAnsi="Calibri" w:cs="Arial"/>
                <w:sz w:val="18"/>
                <w:szCs w:val="18"/>
              </w:rPr>
            </w:pPr>
            <w:r w:rsidRPr="005E020C">
              <w:rPr>
                <w:rFonts w:ascii="Calibri" w:hAnsi="Calibri" w:cs="Arial"/>
                <w:sz w:val="18"/>
                <w:szCs w:val="18"/>
              </w:rPr>
              <w:t>-</w:t>
            </w:r>
          </w:p>
        </w:tc>
        <w:tc>
          <w:tcPr>
            <w:tcW w:w="960" w:type="dxa"/>
            <w:noWrap/>
            <w:vAlign w:val="center"/>
          </w:tcPr>
          <w:p w:rsidR="00D31F42" w:rsidRPr="005E020C" w:rsidRDefault="00D31F42">
            <w:pPr>
              <w:jc w:val="center"/>
              <w:rPr>
                <w:rFonts w:ascii="Calibri" w:hAnsi="Calibri" w:cs="Arial"/>
                <w:b/>
                <w:bCs/>
                <w:sz w:val="18"/>
                <w:szCs w:val="18"/>
              </w:rPr>
            </w:pPr>
            <w:r w:rsidRPr="005E020C">
              <w:rPr>
                <w:rFonts w:ascii="Calibri" w:hAnsi="Calibri" w:cs="Arial"/>
                <w:b/>
                <w:bCs/>
                <w:sz w:val="18"/>
                <w:szCs w:val="18"/>
              </w:rPr>
              <w:t>5</w:t>
            </w:r>
          </w:p>
        </w:tc>
      </w:tr>
      <w:tr w:rsidR="00D31F42" w:rsidRPr="00074FC0" w:rsidTr="000E6EDB">
        <w:trPr>
          <w:trHeight w:val="495"/>
        </w:trPr>
        <w:tc>
          <w:tcPr>
            <w:tcW w:w="1288" w:type="dxa"/>
            <w:noWrap/>
            <w:vAlign w:val="center"/>
          </w:tcPr>
          <w:p w:rsidR="00D31F42" w:rsidRPr="005E020C" w:rsidRDefault="00D31F42">
            <w:pPr>
              <w:jc w:val="both"/>
              <w:rPr>
                <w:rFonts w:ascii="Calibri" w:hAnsi="Calibri" w:cs="Arial"/>
                <w:sz w:val="18"/>
                <w:szCs w:val="18"/>
              </w:rPr>
            </w:pPr>
            <w:r w:rsidRPr="005E020C">
              <w:rPr>
                <w:rFonts w:ascii="Calibri" w:hAnsi="Calibri" w:cs="Arial"/>
                <w:sz w:val="18"/>
                <w:szCs w:val="18"/>
              </w:rPr>
              <w:t>Regulated by BOM</w:t>
            </w:r>
          </w:p>
        </w:tc>
        <w:tc>
          <w:tcPr>
            <w:tcW w:w="1380" w:type="dxa"/>
            <w:noWrap/>
            <w:vAlign w:val="center"/>
          </w:tcPr>
          <w:p w:rsidR="00D31F42" w:rsidRPr="005E020C" w:rsidRDefault="00D31F42">
            <w:pPr>
              <w:jc w:val="center"/>
              <w:rPr>
                <w:rFonts w:ascii="Calibri" w:hAnsi="Calibri" w:cs="Arial"/>
                <w:sz w:val="18"/>
                <w:szCs w:val="18"/>
              </w:rPr>
            </w:pPr>
            <w:r w:rsidRPr="005E020C">
              <w:rPr>
                <w:rFonts w:ascii="Calibri" w:hAnsi="Calibri" w:cs="Arial"/>
                <w:sz w:val="18"/>
                <w:szCs w:val="18"/>
              </w:rPr>
              <w:t>1</w:t>
            </w:r>
          </w:p>
        </w:tc>
        <w:tc>
          <w:tcPr>
            <w:tcW w:w="1068" w:type="dxa"/>
            <w:noWrap/>
            <w:vAlign w:val="center"/>
          </w:tcPr>
          <w:p w:rsidR="00D31F42" w:rsidRPr="005E020C" w:rsidRDefault="00D31F42">
            <w:pPr>
              <w:jc w:val="center"/>
              <w:rPr>
                <w:rFonts w:ascii="Calibri" w:hAnsi="Calibri" w:cs="Arial"/>
                <w:sz w:val="18"/>
                <w:szCs w:val="18"/>
              </w:rPr>
            </w:pPr>
            <w:r w:rsidRPr="005E020C">
              <w:rPr>
                <w:rFonts w:ascii="Calibri" w:hAnsi="Calibri" w:cs="Arial"/>
                <w:sz w:val="18"/>
                <w:szCs w:val="18"/>
              </w:rPr>
              <w:t>-</w:t>
            </w:r>
          </w:p>
        </w:tc>
        <w:tc>
          <w:tcPr>
            <w:tcW w:w="1120" w:type="dxa"/>
            <w:noWrap/>
            <w:vAlign w:val="center"/>
          </w:tcPr>
          <w:p w:rsidR="00D31F42" w:rsidRPr="005E020C" w:rsidRDefault="00D31F42">
            <w:pPr>
              <w:jc w:val="center"/>
              <w:rPr>
                <w:rFonts w:ascii="Calibri" w:hAnsi="Calibri" w:cs="Arial"/>
                <w:sz w:val="18"/>
                <w:szCs w:val="18"/>
              </w:rPr>
            </w:pPr>
            <w:r w:rsidRPr="005E020C">
              <w:rPr>
                <w:rFonts w:ascii="Calibri" w:hAnsi="Calibri" w:cs="Arial"/>
                <w:sz w:val="18"/>
                <w:szCs w:val="18"/>
              </w:rPr>
              <w:t>-</w:t>
            </w:r>
          </w:p>
        </w:tc>
        <w:tc>
          <w:tcPr>
            <w:tcW w:w="960" w:type="dxa"/>
            <w:noWrap/>
            <w:vAlign w:val="center"/>
          </w:tcPr>
          <w:p w:rsidR="00D31F42" w:rsidRPr="005E020C" w:rsidRDefault="00D31F42">
            <w:pPr>
              <w:jc w:val="center"/>
              <w:rPr>
                <w:rFonts w:ascii="Calibri" w:hAnsi="Calibri" w:cs="Arial"/>
                <w:b/>
                <w:bCs/>
                <w:sz w:val="18"/>
                <w:szCs w:val="18"/>
              </w:rPr>
            </w:pPr>
            <w:r w:rsidRPr="005E020C">
              <w:rPr>
                <w:rFonts w:ascii="Calibri" w:hAnsi="Calibri" w:cs="Arial"/>
                <w:b/>
                <w:bCs/>
                <w:sz w:val="18"/>
                <w:szCs w:val="18"/>
              </w:rPr>
              <w:t>1</w:t>
            </w:r>
          </w:p>
        </w:tc>
      </w:tr>
      <w:tr w:rsidR="00D31F42" w:rsidRPr="00074FC0" w:rsidTr="000E6EDB">
        <w:trPr>
          <w:trHeight w:val="975"/>
        </w:trPr>
        <w:tc>
          <w:tcPr>
            <w:tcW w:w="1288" w:type="dxa"/>
            <w:noWrap/>
            <w:vAlign w:val="center"/>
          </w:tcPr>
          <w:p w:rsidR="00D31F42" w:rsidRPr="005E020C" w:rsidRDefault="00D31F42">
            <w:pPr>
              <w:jc w:val="both"/>
              <w:rPr>
                <w:rFonts w:ascii="Calibri" w:hAnsi="Calibri" w:cs="Arial"/>
                <w:sz w:val="18"/>
                <w:szCs w:val="18"/>
              </w:rPr>
            </w:pPr>
            <w:r w:rsidRPr="005E020C">
              <w:rPr>
                <w:rFonts w:ascii="Calibri" w:hAnsi="Calibri" w:cs="Arial"/>
                <w:sz w:val="18"/>
                <w:szCs w:val="18"/>
              </w:rPr>
              <w:t>Category 4 PIEs as per the FRA</w:t>
            </w:r>
          </w:p>
        </w:tc>
        <w:tc>
          <w:tcPr>
            <w:tcW w:w="1380" w:type="dxa"/>
            <w:noWrap/>
            <w:vAlign w:val="center"/>
          </w:tcPr>
          <w:p w:rsidR="00D31F42" w:rsidRPr="005E020C" w:rsidRDefault="00D31F42">
            <w:pPr>
              <w:jc w:val="center"/>
              <w:rPr>
                <w:rFonts w:ascii="Calibri" w:hAnsi="Calibri" w:cs="Arial"/>
                <w:sz w:val="18"/>
                <w:szCs w:val="18"/>
              </w:rPr>
            </w:pPr>
            <w:r w:rsidRPr="005E020C">
              <w:rPr>
                <w:rFonts w:ascii="Calibri" w:hAnsi="Calibri" w:cs="Arial"/>
                <w:sz w:val="18"/>
                <w:szCs w:val="18"/>
              </w:rPr>
              <w:t>1</w:t>
            </w:r>
          </w:p>
        </w:tc>
        <w:tc>
          <w:tcPr>
            <w:tcW w:w="1068" w:type="dxa"/>
            <w:noWrap/>
            <w:vAlign w:val="center"/>
          </w:tcPr>
          <w:p w:rsidR="00D31F42" w:rsidRPr="005E020C" w:rsidRDefault="00D31F42">
            <w:pPr>
              <w:jc w:val="center"/>
              <w:rPr>
                <w:rFonts w:ascii="Calibri" w:hAnsi="Calibri" w:cs="Arial"/>
                <w:sz w:val="18"/>
                <w:szCs w:val="18"/>
              </w:rPr>
            </w:pPr>
            <w:r w:rsidRPr="005E020C">
              <w:rPr>
                <w:rFonts w:ascii="Calibri" w:hAnsi="Calibri" w:cs="Arial"/>
                <w:sz w:val="18"/>
                <w:szCs w:val="18"/>
              </w:rPr>
              <w:t>2</w:t>
            </w:r>
          </w:p>
        </w:tc>
        <w:tc>
          <w:tcPr>
            <w:tcW w:w="1120" w:type="dxa"/>
            <w:noWrap/>
            <w:vAlign w:val="center"/>
          </w:tcPr>
          <w:p w:rsidR="00D31F42" w:rsidRPr="005E020C" w:rsidRDefault="00D31F42">
            <w:pPr>
              <w:jc w:val="center"/>
              <w:rPr>
                <w:rFonts w:ascii="Calibri" w:hAnsi="Calibri" w:cs="Arial"/>
                <w:sz w:val="18"/>
                <w:szCs w:val="18"/>
              </w:rPr>
            </w:pPr>
            <w:r w:rsidRPr="005E020C">
              <w:rPr>
                <w:rFonts w:ascii="Calibri" w:hAnsi="Calibri" w:cs="Arial"/>
                <w:sz w:val="18"/>
                <w:szCs w:val="18"/>
              </w:rPr>
              <w:t>1</w:t>
            </w:r>
          </w:p>
        </w:tc>
        <w:tc>
          <w:tcPr>
            <w:tcW w:w="960" w:type="dxa"/>
            <w:noWrap/>
            <w:vAlign w:val="center"/>
          </w:tcPr>
          <w:p w:rsidR="00D31F42" w:rsidRPr="005E020C" w:rsidRDefault="00D31F42">
            <w:pPr>
              <w:jc w:val="center"/>
              <w:rPr>
                <w:rFonts w:ascii="Calibri" w:hAnsi="Calibri" w:cs="Arial"/>
                <w:b/>
                <w:bCs/>
                <w:sz w:val="18"/>
                <w:szCs w:val="18"/>
              </w:rPr>
            </w:pPr>
            <w:r w:rsidRPr="005E020C">
              <w:rPr>
                <w:rFonts w:ascii="Calibri" w:hAnsi="Calibri" w:cs="Arial"/>
                <w:b/>
                <w:bCs/>
                <w:sz w:val="18"/>
                <w:szCs w:val="18"/>
              </w:rPr>
              <w:t>4</w:t>
            </w:r>
          </w:p>
        </w:tc>
      </w:tr>
      <w:tr w:rsidR="00D31F42" w:rsidRPr="00074FC0" w:rsidTr="000E6EDB">
        <w:trPr>
          <w:trHeight w:val="270"/>
        </w:trPr>
        <w:tc>
          <w:tcPr>
            <w:tcW w:w="1288" w:type="dxa"/>
            <w:vAlign w:val="center"/>
          </w:tcPr>
          <w:p w:rsidR="00D31F42" w:rsidRPr="005E020C" w:rsidRDefault="00D31F42">
            <w:pPr>
              <w:jc w:val="both"/>
              <w:rPr>
                <w:rFonts w:ascii="Calibri" w:hAnsi="Calibri" w:cs="Arial"/>
                <w:b/>
                <w:bCs/>
                <w:sz w:val="18"/>
                <w:szCs w:val="18"/>
              </w:rPr>
            </w:pPr>
            <w:r w:rsidRPr="005E020C">
              <w:rPr>
                <w:rFonts w:ascii="Calibri" w:hAnsi="Calibri" w:cs="Arial"/>
                <w:sz w:val="18"/>
                <w:szCs w:val="18"/>
              </w:rPr>
              <w:t xml:space="preserve">SOEs  as </w:t>
            </w:r>
            <w:r w:rsidR="00F63888">
              <w:rPr>
                <w:rFonts w:ascii="Calibri" w:hAnsi="Calibri" w:cs="Arial"/>
                <w:sz w:val="18"/>
                <w:szCs w:val="18"/>
              </w:rPr>
              <w:t xml:space="preserve">per the </w:t>
            </w:r>
            <w:r w:rsidRPr="005E020C">
              <w:rPr>
                <w:rFonts w:ascii="Calibri" w:hAnsi="Calibri" w:cs="Arial"/>
                <w:sz w:val="18"/>
                <w:szCs w:val="18"/>
              </w:rPr>
              <w:t>First Schedule of FRA</w:t>
            </w:r>
          </w:p>
        </w:tc>
        <w:tc>
          <w:tcPr>
            <w:tcW w:w="1380" w:type="dxa"/>
            <w:noWrap/>
            <w:vAlign w:val="center"/>
          </w:tcPr>
          <w:p w:rsidR="00D31F42" w:rsidRPr="005E020C" w:rsidRDefault="00D31F42">
            <w:pPr>
              <w:jc w:val="center"/>
              <w:rPr>
                <w:rFonts w:ascii="Calibri" w:hAnsi="Calibri" w:cs="Arial"/>
                <w:bCs/>
                <w:sz w:val="18"/>
                <w:szCs w:val="18"/>
              </w:rPr>
            </w:pPr>
            <w:r w:rsidRPr="005E020C">
              <w:rPr>
                <w:rFonts w:ascii="Calibri" w:hAnsi="Calibri" w:cs="Arial"/>
                <w:bCs/>
                <w:sz w:val="18"/>
                <w:szCs w:val="18"/>
              </w:rPr>
              <w:t>1</w:t>
            </w:r>
          </w:p>
        </w:tc>
        <w:tc>
          <w:tcPr>
            <w:tcW w:w="1068" w:type="dxa"/>
            <w:noWrap/>
            <w:vAlign w:val="center"/>
          </w:tcPr>
          <w:p w:rsidR="00D31F42" w:rsidRPr="005E020C" w:rsidRDefault="00D31F42">
            <w:pPr>
              <w:jc w:val="center"/>
              <w:rPr>
                <w:rFonts w:ascii="Calibri" w:hAnsi="Calibri" w:cs="Arial"/>
                <w:bCs/>
                <w:sz w:val="18"/>
                <w:szCs w:val="18"/>
              </w:rPr>
            </w:pPr>
            <w:r w:rsidRPr="005E020C">
              <w:rPr>
                <w:rFonts w:ascii="Calibri" w:hAnsi="Calibri" w:cs="Arial"/>
                <w:bCs/>
                <w:sz w:val="18"/>
                <w:szCs w:val="18"/>
              </w:rPr>
              <w:t>2</w:t>
            </w:r>
          </w:p>
        </w:tc>
        <w:tc>
          <w:tcPr>
            <w:tcW w:w="1120" w:type="dxa"/>
            <w:noWrap/>
            <w:vAlign w:val="center"/>
          </w:tcPr>
          <w:p w:rsidR="00D31F42" w:rsidRPr="005E020C" w:rsidRDefault="00D31F42">
            <w:pPr>
              <w:jc w:val="center"/>
              <w:rPr>
                <w:rFonts w:ascii="Calibri" w:hAnsi="Calibri" w:cs="Arial"/>
                <w:b/>
                <w:bCs/>
                <w:sz w:val="18"/>
                <w:szCs w:val="18"/>
              </w:rPr>
            </w:pPr>
            <w:r w:rsidRPr="005E020C">
              <w:rPr>
                <w:rFonts w:ascii="Calibri" w:hAnsi="Calibri" w:cs="Arial"/>
                <w:b/>
                <w:bCs/>
                <w:sz w:val="18"/>
                <w:szCs w:val="18"/>
              </w:rPr>
              <w:t>-</w:t>
            </w:r>
          </w:p>
        </w:tc>
        <w:tc>
          <w:tcPr>
            <w:tcW w:w="960" w:type="dxa"/>
            <w:noWrap/>
            <w:vAlign w:val="center"/>
          </w:tcPr>
          <w:p w:rsidR="00D31F42" w:rsidRPr="005E020C" w:rsidRDefault="00D31F42">
            <w:pPr>
              <w:jc w:val="center"/>
              <w:rPr>
                <w:rFonts w:ascii="Calibri" w:hAnsi="Calibri" w:cs="Arial"/>
                <w:b/>
                <w:bCs/>
                <w:sz w:val="18"/>
                <w:szCs w:val="18"/>
              </w:rPr>
            </w:pPr>
            <w:r w:rsidRPr="005E020C">
              <w:rPr>
                <w:rFonts w:ascii="Calibri" w:hAnsi="Calibri" w:cs="Arial"/>
                <w:b/>
                <w:bCs/>
                <w:sz w:val="18"/>
                <w:szCs w:val="18"/>
              </w:rPr>
              <w:t>3</w:t>
            </w:r>
          </w:p>
        </w:tc>
      </w:tr>
      <w:tr w:rsidR="00D31F42" w:rsidRPr="00074FC0" w:rsidTr="000E6EDB">
        <w:trPr>
          <w:trHeight w:val="270"/>
        </w:trPr>
        <w:tc>
          <w:tcPr>
            <w:tcW w:w="1288" w:type="dxa"/>
            <w:vAlign w:val="center"/>
          </w:tcPr>
          <w:p w:rsidR="00D31F42" w:rsidRPr="005E020C" w:rsidRDefault="00D31F42">
            <w:pPr>
              <w:jc w:val="both"/>
              <w:rPr>
                <w:rFonts w:ascii="Calibri" w:hAnsi="Calibri" w:cs="Arial"/>
                <w:b/>
                <w:bCs/>
                <w:sz w:val="18"/>
                <w:szCs w:val="18"/>
              </w:rPr>
            </w:pPr>
            <w:r w:rsidRPr="005E020C">
              <w:rPr>
                <w:rFonts w:ascii="Calibri" w:hAnsi="Calibri" w:cs="Arial"/>
                <w:b/>
                <w:bCs/>
                <w:sz w:val="18"/>
                <w:szCs w:val="18"/>
              </w:rPr>
              <w:t xml:space="preserve">Total </w:t>
            </w:r>
          </w:p>
        </w:tc>
        <w:tc>
          <w:tcPr>
            <w:tcW w:w="1380" w:type="dxa"/>
            <w:noWrap/>
            <w:vAlign w:val="center"/>
          </w:tcPr>
          <w:p w:rsidR="00D31F42" w:rsidRPr="005E020C" w:rsidRDefault="00D31F42">
            <w:pPr>
              <w:jc w:val="center"/>
              <w:rPr>
                <w:rFonts w:ascii="Calibri" w:hAnsi="Calibri" w:cs="Arial"/>
                <w:b/>
                <w:bCs/>
                <w:sz w:val="18"/>
                <w:szCs w:val="18"/>
              </w:rPr>
            </w:pPr>
            <w:r w:rsidRPr="005E020C">
              <w:rPr>
                <w:rFonts w:ascii="Calibri" w:hAnsi="Calibri" w:cs="Arial"/>
                <w:b/>
                <w:bCs/>
                <w:sz w:val="18"/>
                <w:szCs w:val="18"/>
              </w:rPr>
              <w:t>5</w:t>
            </w:r>
          </w:p>
        </w:tc>
        <w:tc>
          <w:tcPr>
            <w:tcW w:w="1068" w:type="dxa"/>
            <w:noWrap/>
            <w:vAlign w:val="center"/>
          </w:tcPr>
          <w:p w:rsidR="00D31F42" w:rsidRPr="005E020C" w:rsidRDefault="00D31F42">
            <w:pPr>
              <w:jc w:val="center"/>
              <w:rPr>
                <w:rFonts w:ascii="Calibri" w:hAnsi="Calibri" w:cs="Arial"/>
                <w:b/>
                <w:bCs/>
                <w:sz w:val="18"/>
                <w:szCs w:val="18"/>
              </w:rPr>
            </w:pPr>
            <w:r w:rsidRPr="005E020C">
              <w:rPr>
                <w:rFonts w:ascii="Calibri" w:hAnsi="Calibri" w:cs="Arial"/>
                <w:b/>
                <w:bCs/>
                <w:sz w:val="18"/>
                <w:szCs w:val="18"/>
              </w:rPr>
              <w:t>7</w:t>
            </w:r>
          </w:p>
        </w:tc>
        <w:tc>
          <w:tcPr>
            <w:tcW w:w="1120" w:type="dxa"/>
            <w:noWrap/>
            <w:vAlign w:val="center"/>
          </w:tcPr>
          <w:p w:rsidR="00D31F42" w:rsidRPr="005E020C" w:rsidRDefault="00D31F42">
            <w:pPr>
              <w:jc w:val="center"/>
              <w:rPr>
                <w:rFonts w:ascii="Calibri" w:hAnsi="Calibri" w:cs="Arial"/>
                <w:b/>
                <w:bCs/>
                <w:sz w:val="18"/>
                <w:szCs w:val="18"/>
              </w:rPr>
            </w:pPr>
            <w:r w:rsidRPr="005E020C">
              <w:rPr>
                <w:rFonts w:ascii="Calibri" w:hAnsi="Calibri" w:cs="Arial"/>
                <w:b/>
                <w:bCs/>
                <w:sz w:val="18"/>
                <w:szCs w:val="18"/>
              </w:rPr>
              <w:t>1</w:t>
            </w:r>
          </w:p>
        </w:tc>
        <w:tc>
          <w:tcPr>
            <w:tcW w:w="960" w:type="dxa"/>
            <w:noWrap/>
            <w:vAlign w:val="center"/>
          </w:tcPr>
          <w:p w:rsidR="00D31F42" w:rsidRPr="005E020C" w:rsidRDefault="00D31F42">
            <w:pPr>
              <w:jc w:val="center"/>
              <w:rPr>
                <w:rFonts w:ascii="Calibri" w:hAnsi="Calibri" w:cs="Arial"/>
                <w:b/>
                <w:bCs/>
                <w:sz w:val="18"/>
                <w:szCs w:val="18"/>
              </w:rPr>
            </w:pPr>
            <w:r w:rsidRPr="005E020C">
              <w:rPr>
                <w:rFonts w:ascii="Calibri" w:hAnsi="Calibri" w:cs="Arial"/>
                <w:b/>
                <w:bCs/>
                <w:sz w:val="18"/>
                <w:szCs w:val="18"/>
              </w:rPr>
              <w:t>13</w:t>
            </w:r>
          </w:p>
        </w:tc>
      </w:tr>
    </w:tbl>
    <w:p w:rsidR="00D31F42" w:rsidRPr="005E020C" w:rsidRDefault="00D31F42" w:rsidP="007711DD">
      <w:pPr>
        <w:tabs>
          <w:tab w:val="left" w:pos="270"/>
          <w:tab w:val="left" w:pos="300"/>
        </w:tabs>
        <w:jc w:val="both"/>
        <w:rPr>
          <w:rFonts w:ascii="Calibri" w:hAnsi="Calibri"/>
        </w:rPr>
      </w:pPr>
    </w:p>
    <w:p w:rsidR="00D31F42" w:rsidRPr="005E020C" w:rsidRDefault="00D31F42" w:rsidP="00E41CF7">
      <w:pPr>
        <w:tabs>
          <w:tab w:val="left" w:pos="270"/>
          <w:tab w:val="left" w:pos="300"/>
          <w:tab w:val="left" w:pos="2160"/>
        </w:tabs>
        <w:ind w:left="2340"/>
        <w:jc w:val="both"/>
        <w:rPr>
          <w:rFonts w:ascii="Calibri" w:hAnsi="Calibri"/>
        </w:rPr>
      </w:pPr>
      <w:r w:rsidRPr="005E020C">
        <w:rPr>
          <w:rFonts w:ascii="Calibri" w:hAnsi="Calibri"/>
        </w:rPr>
        <w:t>The explanations provided for not complying with this section of the code of corporate governance included the following:</w:t>
      </w:r>
    </w:p>
    <w:p w:rsidR="00D31F42" w:rsidRPr="005E020C" w:rsidRDefault="00D31F42" w:rsidP="00E41CF7">
      <w:pPr>
        <w:tabs>
          <w:tab w:val="left" w:pos="270"/>
          <w:tab w:val="left" w:pos="300"/>
          <w:tab w:val="left" w:pos="2160"/>
        </w:tabs>
        <w:ind w:left="2340"/>
        <w:jc w:val="both"/>
        <w:rPr>
          <w:rFonts w:ascii="Calibri" w:hAnsi="Calibri"/>
        </w:rPr>
      </w:pPr>
    </w:p>
    <w:p w:rsidR="00D31F42" w:rsidRPr="005E020C" w:rsidRDefault="00D31F42" w:rsidP="00F7611C">
      <w:pPr>
        <w:pStyle w:val="ListParagraph"/>
        <w:numPr>
          <w:ilvl w:val="0"/>
          <w:numId w:val="31"/>
        </w:numPr>
        <w:tabs>
          <w:tab w:val="left" w:pos="270"/>
          <w:tab w:val="left" w:pos="300"/>
          <w:tab w:val="left" w:pos="2610"/>
        </w:tabs>
        <w:ind w:left="2610" w:hanging="270"/>
        <w:contextualSpacing/>
        <w:jc w:val="both"/>
        <w:rPr>
          <w:rFonts w:ascii="Calibri" w:hAnsi="Calibri"/>
        </w:rPr>
      </w:pPr>
      <w:r w:rsidRPr="005E020C">
        <w:rPr>
          <w:rFonts w:ascii="Calibri" w:hAnsi="Calibri"/>
        </w:rPr>
        <w:t>The Board of Directors was of the view that the composition of the board was adequately balanced given the scale and size of the entity.</w:t>
      </w:r>
    </w:p>
    <w:p w:rsidR="00D31F42" w:rsidRPr="005E020C" w:rsidRDefault="00D31F42" w:rsidP="00F7611C">
      <w:pPr>
        <w:pStyle w:val="ListParagraph"/>
        <w:numPr>
          <w:ilvl w:val="0"/>
          <w:numId w:val="31"/>
        </w:numPr>
        <w:tabs>
          <w:tab w:val="left" w:pos="270"/>
          <w:tab w:val="left" w:pos="300"/>
          <w:tab w:val="left" w:pos="2610"/>
        </w:tabs>
        <w:ind w:left="2610" w:hanging="270"/>
        <w:contextualSpacing/>
        <w:jc w:val="both"/>
        <w:rPr>
          <w:rFonts w:ascii="Calibri" w:hAnsi="Calibri"/>
        </w:rPr>
      </w:pPr>
      <w:r w:rsidRPr="005E020C">
        <w:rPr>
          <w:rFonts w:ascii="Calibri" w:hAnsi="Calibri"/>
        </w:rPr>
        <w:t>Board composition did not affect the effectiveness of the Board given the size of the Company and the experience of the other Directors.  It was also composed of professionals having the right mix of experience to enable it to function in full independence The entity would consider the appointment of additional independent directors.</w:t>
      </w:r>
    </w:p>
    <w:p w:rsidR="00D31F42" w:rsidRPr="005E020C" w:rsidRDefault="00D31F42" w:rsidP="00F7611C">
      <w:pPr>
        <w:pStyle w:val="ListParagraph"/>
        <w:numPr>
          <w:ilvl w:val="0"/>
          <w:numId w:val="31"/>
        </w:numPr>
        <w:tabs>
          <w:tab w:val="left" w:pos="270"/>
          <w:tab w:val="left" w:pos="300"/>
          <w:tab w:val="left" w:pos="2610"/>
        </w:tabs>
        <w:ind w:left="2610" w:hanging="270"/>
        <w:contextualSpacing/>
        <w:jc w:val="both"/>
        <w:rPr>
          <w:rFonts w:ascii="Calibri" w:hAnsi="Calibri"/>
        </w:rPr>
      </w:pPr>
      <w:r w:rsidRPr="005E020C">
        <w:rPr>
          <w:rFonts w:ascii="Calibri" w:hAnsi="Calibri"/>
        </w:rPr>
        <w:t>The appointment of the directors was specified in the PIEs’ dedicated laws.</w:t>
      </w:r>
    </w:p>
    <w:p w:rsidR="00D31F42" w:rsidRPr="005E020C" w:rsidRDefault="00D31F42" w:rsidP="00F7611C">
      <w:pPr>
        <w:pStyle w:val="ListParagraph"/>
        <w:numPr>
          <w:ilvl w:val="0"/>
          <w:numId w:val="31"/>
        </w:numPr>
        <w:tabs>
          <w:tab w:val="left" w:pos="270"/>
          <w:tab w:val="left" w:pos="300"/>
          <w:tab w:val="left" w:pos="2610"/>
        </w:tabs>
        <w:ind w:left="2610" w:hanging="270"/>
        <w:contextualSpacing/>
        <w:jc w:val="both"/>
        <w:rPr>
          <w:rFonts w:ascii="Calibri" w:hAnsi="Calibri"/>
        </w:rPr>
      </w:pPr>
      <w:r w:rsidRPr="005E020C">
        <w:rPr>
          <w:rFonts w:ascii="Calibri" w:hAnsi="Calibri"/>
        </w:rPr>
        <w:t>The Company believed that the board composition was adequate due to the presence of independent and executive directors on the board of its principal operating subsidiary.</w:t>
      </w:r>
    </w:p>
    <w:p w:rsidR="00D31F42" w:rsidRPr="005E020C" w:rsidRDefault="00D31F42" w:rsidP="00F7611C">
      <w:pPr>
        <w:pStyle w:val="ListParagraph"/>
        <w:numPr>
          <w:ilvl w:val="0"/>
          <w:numId w:val="31"/>
        </w:numPr>
        <w:tabs>
          <w:tab w:val="left" w:pos="270"/>
          <w:tab w:val="left" w:pos="300"/>
          <w:tab w:val="left" w:pos="2610"/>
        </w:tabs>
        <w:ind w:left="2610" w:hanging="270"/>
        <w:contextualSpacing/>
        <w:jc w:val="both"/>
        <w:rPr>
          <w:rFonts w:ascii="Calibri" w:hAnsi="Calibri"/>
        </w:rPr>
      </w:pPr>
      <w:r w:rsidRPr="005E020C">
        <w:rPr>
          <w:rFonts w:ascii="Calibri" w:hAnsi="Calibri"/>
        </w:rPr>
        <w:lastRenderedPageBreak/>
        <w:t>Having given due consideration to its business, its ownership and governance structures, the Board was of the view that it would not bring additional benefits of having at least two independent directors.</w:t>
      </w:r>
    </w:p>
    <w:p w:rsidR="00D31F42" w:rsidRPr="005E020C" w:rsidRDefault="00D31F42" w:rsidP="00096264">
      <w:pPr>
        <w:pStyle w:val="ListParagraph"/>
        <w:tabs>
          <w:tab w:val="left" w:pos="270"/>
          <w:tab w:val="left" w:pos="300"/>
          <w:tab w:val="left" w:pos="2520"/>
        </w:tabs>
        <w:ind w:left="2520"/>
        <w:contextualSpacing/>
        <w:jc w:val="both"/>
        <w:rPr>
          <w:rFonts w:ascii="Calibri" w:hAnsi="Calibri"/>
        </w:rPr>
      </w:pPr>
    </w:p>
    <w:p w:rsidR="00D31F42" w:rsidRPr="005E020C" w:rsidRDefault="00D31F42" w:rsidP="00F7611C">
      <w:pPr>
        <w:pStyle w:val="ListParagraph"/>
        <w:numPr>
          <w:ilvl w:val="0"/>
          <w:numId w:val="7"/>
        </w:numPr>
        <w:tabs>
          <w:tab w:val="left" w:pos="270"/>
          <w:tab w:val="left" w:pos="300"/>
        </w:tabs>
        <w:ind w:left="2340"/>
        <w:contextualSpacing/>
        <w:jc w:val="both"/>
        <w:rPr>
          <w:rFonts w:ascii="Calibri" w:hAnsi="Calibri"/>
        </w:rPr>
      </w:pPr>
      <w:r w:rsidRPr="005E020C">
        <w:rPr>
          <w:rFonts w:ascii="Calibri" w:hAnsi="Calibri"/>
        </w:rPr>
        <w:t xml:space="preserve">   The minimum requirement of having 2 executive directors in the board of directors </w:t>
      </w:r>
    </w:p>
    <w:p w:rsidR="00D31F42" w:rsidRPr="005E020C" w:rsidRDefault="00D31F42" w:rsidP="00844538">
      <w:pPr>
        <w:rPr>
          <w:rFonts w:ascii="Calibri" w:hAnsi="Calibri" w:cs="Calibri"/>
        </w:rPr>
      </w:pPr>
    </w:p>
    <w:p w:rsidR="00D31F42" w:rsidRPr="005E020C" w:rsidRDefault="00D31F42" w:rsidP="00E41CF7">
      <w:pPr>
        <w:ind w:left="2340"/>
        <w:jc w:val="both"/>
        <w:rPr>
          <w:rFonts w:ascii="Calibri" w:hAnsi="Calibri"/>
        </w:rPr>
      </w:pPr>
      <w:r w:rsidRPr="005E020C">
        <w:rPr>
          <w:rFonts w:ascii="Calibri" w:hAnsi="Calibri"/>
        </w:rPr>
        <w:t xml:space="preserve">The figure below indicates the level of compliance with the minimum requirement of having 2 executive directors in their boards. </w:t>
      </w:r>
    </w:p>
    <w:p w:rsidR="00D31F42" w:rsidRPr="005E020C" w:rsidRDefault="00D31F42" w:rsidP="00844538">
      <w:pPr>
        <w:ind w:left="2520"/>
        <w:jc w:val="both"/>
        <w:rPr>
          <w:rFonts w:ascii="Calibri" w:hAnsi="Calibri"/>
        </w:rPr>
      </w:pPr>
    </w:p>
    <w:tbl>
      <w:tblPr>
        <w:tblW w:w="5940" w:type="dxa"/>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0"/>
        <w:gridCol w:w="1350"/>
        <w:gridCol w:w="1080"/>
        <w:gridCol w:w="1322"/>
        <w:gridCol w:w="1018"/>
      </w:tblGrid>
      <w:tr w:rsidR="00D31F42" w:rsidRPr="00074FC0" w:rsidTr="00DE3FCD">
        <w:trPr>
          <w:trHeight w:val="270"/>
        </w:trPr>
        <w:tc>
          <w:tcPr>
            <w:tcW w:w="1170" w:type="dxa"/>
            <w:vMerge w:val="restart"/>
            <w:shd w:val="clear" w:color="auto" w:fill="EAF1DD"/>
            <w:noWrap/>
            <w:vAlign w:val="center"/>
          </w:tcPr>
          <w:p w:rsidR="00D31F42" w:rsidRPr="005E020C" w:rsidRDefault="00D31F42">
            <w:pPr>
              <w:jc w:val="center"/>
              <w:rPr>
                <w:rFonts w:ascii="Calibri" w:hAnsi="Calibri" w:cs="Arial"/>
                <w:b/>
                <w:bCs/>
                <w:sz w:val="16"/>
                <w:szCs w:val="16"/>
              </w:rPr>
            </w:pPr>
            <w:r w:rsidRPr="005E020C">
              <w:rPr>
                <w:rFonts w:ascii="Calibri" w:hAnsi="Calibri" w:cs="Arial"/>
                <w:b/>
                <w:bCs/>
                <w:sz w:val="16"/>
                <w:szCs w:val="16"/>
              </w:rPr>
              <w:t>PIEs</w:t>
            </w:r>
          </w:p>
        </w:tc>
        <w:tc>
          <w:tcPr>
            <w:tcW w:w="4770" w:type="dxa"/>
            <w:gridSpan w:val="4"/>
            <w:shd w:val="clear" w:color="auto" w:fill="EAF1DD"/>
            <w:vAlign w:val="center"/>
          </w:tcPr>
          <w:p w:rsidR="00D31F42" w:rsidRPr="005E020C" w:rsidRDefault="00D31F42">
            <w:pPr>
              <w:jc w:val="center"/>
              <w:rPr>
                <w:rFonts w:ascii="Calibri" w:hAnsi="Calibri" w:cs="Arial"/>
                <w:b/>
                <w:bCs/>
                <w:sz w:val="16"/>
                <w:szCs w:val="16"/>
              </w:rPr>
            </w:pPr>
            <w:r w:rsidRPr="005E020C">
              <w:rPr>
                <w:rFonts w:ascii="Calibri" w:hAnsi="Calibri" w:cs="Arial"/>
                <w:b/>
                <w:bCs/>
                <w:sz w:val="16"/>
                <w:szCs w:val="16"/>
              </w:rPr>
              <w:t>Section 2.2.3</w:t>
            </w:r>
          </w:p>
        </w:tc>
      </w:tr>
      <w:tr w:rsidR="00D31F42" w:rsidRPr="00074FC0" w:rsidTr="00DE3FCD">
        <w:trPr>
          <w:trHeight w:val="1988"/>
        </w:trPr>
        <w:tc>
          <w:tcPr>
            <w:tcW w:w="1170" w:type="dxa"/>
            <w:vMerge/>
            <w:shd w:val="clear" w:color="auto" w:fill="EAF1DD"/>
            <w:vAlign w:val="center"/>
          </w:tcPr>
          <w:p w:rsidR="00D31F42" w:rsidRPr="005E020C" w:rsidRDefault="00D31F42">
            <w:pPr>
              <w:rPr>
                <w:rFonts w:ascii="Calibri" w:hAnsi="Calibri" w:cs="Arial"/>
                <w:b/>
                <w:bCs/>
                <w:sz w:val="16"/>
                <w:szCs w:val="16"/>
              </w:rPr>
            </w:pPr>
          </w:p>
        </w:tc>
        <w:tc>
          <w:tcPr>
            <w:tcW w:w="1350" w:type="dxa"/>
            <w:shd w:val="clear" w:color="auto" w:fill="EAF1DD"/>
            <w:vAlign w:val="center"/>
          </w:tcPr>
          <w:p w:rsidR="00D31F42" w:rsidRPr="005E020C" w:rsidRDefault="00D31F42" w:rsidP="00C0492D">
            <w:pPr>
              <w:jc w:val="center"/>
              <w:rPr>
                <w:rFonts w:ascii="Calibri" w:hAnsi="Calibri" w:cs="Arial"/>
                <w:b/>
                <w:bCs/>
                <w:sz w:val="16"/>
                <w:szCs w:val="16"/>
              </w:rPr>
            </w:pPr>
            <w:r w:rsidRPr="005E020C">
              <w:rPr>
                <w:rFonts w:ascii="Calibri" w:hAnsi="Calibri" w:cs="Arial"/>
                <w:b/>
                <w:bCs/>
                <w:sz w:val="16"/>
                <w:szCs w:val="16"/>
              </w:rPr>
              <w:t xml:space="preserve">Reported on requirement that all companies should have at least two executive directors on their boards </w:t>
            </w:r>
          </w:p>
        </w:tc>
        <w:tc>
          <w:tcPr>
            <w:tcW w:w="1080" w:type="dxa"/>
            <w:shd w:val="clear" w:color="auto" w:fill="EAF1DD"/>
            <w:vAlign w:val="center"/>
          </w:tcPr>
          <w:p w:rsidR="00D31F42" w:rsidRPr="005E020C" w:rsidRDefault="00D31F42">
            <w:pPr>
              <w:jc w:val="center"/>
              <w:rPr>
                <w:rFonts w:ascii="Calibri" w:hAnsi="Calibri" w:cs="Arial"/>
                <w:b/>
                <w:bCs/>
                <w:sz w:val="16"/>
                <w:szCs w:val="16"/>
              </w:rPr>
            </w:pPr>
            <w:r w:rsidRPr="005E020C">
              <w:rPr>
                <w:rFonts w:ascii="Calibri" w:hAnsi="Calibri" w:cs="Arial"/>
                <w:b/>
                <w:bCs/>
                <w:sz w:val="16"/>
                <w:szCs w:val="16"/>
              </w:rPr>
              <w:t>Explanations provided</w:t>
            </w:r>
          </w:p>
        </w:tc>
        <w:tc>
          <w:tcPr>
            <w:tcW w:w="1322" w:type="dxa"/>
            <w:shd w:val="clear" w:color="auto" w:fill="EAF1DD"/>
            <w:vAlign w:val="center"/>
          </w:tcPr>
          <w:p w:rsidR="00D31F42" w:rsidRPr="005E020C" w:rsidRDefault="00D31F42">
            <w:pPr>
              <w:jc w:val="center"/>
              <w:rPr>
                <w:rFonts w:ascii="Calibri" w:hAnsi="Calibri" w:cs="Arial"/>
                <w:b/>
                <w:bCs/>
                <w:sz w:val="16"/>
                <w:szCs w:val="16"/>
              </w:rPr>
            </w:pPr>
            <w:r w:rsidRPr="005E020C">
              <w:rPr>
                <w:rFonts w:ascii="Calibri" w:hAnsi="Calibri" w:cs="Arial"/>
                <w:b/>
                <w:bCs/>
                <w:sz w:val="16"/>
                <w:szCs w:val="16"/>
              </w:rPr>
              <w:t>Not Reported on the requirement that  all companies should have at least two independent directors on their boards, and no explanations provided</w:t>
            </w:r>
          </w:p>
        </w:tc>
        <w:tc>
          <w:tcPr>
            <w:tcW w:w="1018" w:type="dxa"/>
            <w:shd w:val="clear" w:color="auto" w:fill="EAF1DD"/>
            <w:vAlign w:val="center"/>
          </w:tcPr>
          <w:p w:rsidR="00D31F42" w:rsidRPr="005E020C" w:rsidRDefault="00D31F42">
            <w:pPr>
              <w:jc w:val="center"/>
              <w:rPr>
                <w:rFonts w:ascii="Calibri" w:hAnsi="Calibri" w:cs="Arial"/>
                <w:b/>
                <w:bCs/>
                <w:sz w:val="16"/>
                <w:szCs w:val="16"/>
              </w:rPr>
            </w:pPr>
            <w:r w:rsidRPr="005E020C">
              <w:rPr>
                <w:rFonts w:ascii="Calibri" w:hAnsi="Calibri" w:cs="Arial"/>
                <w:b/>
                <w:bCs/>
                <w:sz w:val="16"/>
                <w:szCs w:val="16"/>
              </w:rPr>
              <w:t xml:space="preserve">Total </w:t>
            </w:r>
          </w:p>
        </w:tc>
      </w:tr>
      <w:tr w:rsidR="00D31F42" w:rsidRPr="00074FC0" w:rsidTr="00DE3FCD">
        <w:trPr>
          <w:trHeight w:val="495"/>
        </w:trPr>
        <w:tc>
          <w:tcPr>
            <w:tcW w:w="1170" w:type="dxa"/>
            <w:noWrap/>
            <w:vAlign w:val="center"/>
          </w:tcPr>
          <w:p w:rsidR="00D31F42" w:rsidRPr="005E020C" w:rsidRDefault="00D31F42">
            <w:pPr>
              <w:jc w:val="both"/>
              <w:rPr>
                <w:rFonts w:ascii="Calibri" w:hAnsi="Calibri" w:cs="Arial"/>
                <w:sz w:val="18"/>
                <w:szCs w:val="18"/>
              </w:rPr>
            </w:pPr>
            <w:r w:rsidRPr="005E020C">
              <w:rPr>
                <w:rFonts w:ascii="Calibri" w:hAnsi="Calibri" w:cs="Arial"/>
                <w:sz w:val="18"/>
                <w:szCs w:val="18"/>
              </w:rPr>
              <w:t>Listed on SEM</w:t>
            </w:r>
          </w:p>
        </w:tc>
        <w:tc>
          <w:tcPr>
            <w:tcW w:w="1350" w:type="dxa"/>
            <w:noWrap/>
            <w:vAlign w:val="center"/>
          </w:tcPr>
          <w:p w:rsidR="00D31F42" w:rsidRPr="005E020C" w:rsidRDefault="00D31F42">
            <w:pPr>
              <w:jc w:val="center"/>
              <w:rPr>
                <w:rFonts w:ascii="Calibri" w:hAnsi="Calibri" w:cs="Arial"/>
                <w:sz w:val="18"/>
                <w:szCs w:val="18"/>
              </w:rPr>
            </w:pPr>
            <w:r w:rsidRPr="005E020C">
              <w:rPr>
                <w:rFonts w:ascii="Calibri" w:hAnsi="Calibri" w:cs="Arial"/>
                <w:sz w:val="18"/>
                <w:szCs w:val="18"/>
              </w:rPr>
              <w:t>-</w:t>
            </w:r>
          </w:p>
        </w:tc>
        <w:tc>
          <w:tcPr>
            <w:tcW w:w="1080" w:type="dxa"/>
            <w:noWrap/>
            <w:vAlign w:val="center"/>
          </w:tcPr>
          <w:p w:rsidR="00D31F42" w:rsidRPr="005E020C" w:rsidRDefault="00D31F42">
            <w:pPr>
              <w:jc w:val="center"/>
              <w:rPr>
                <w:rFonts w:ascii="Calibri" w:hAnsi="Calibri" w:cs="Arial"/>
                <w:sz w:val="18"/>
                <w:szCs w:val="18"/>
              </w:rPr>
            </w:pPr>
            <w:r w:rsidRPr="005E020C">
              <w:rPr>
                <w:rFonts w:ascii="Calibri" w:hAnsi="Calibri" w:cs="Arial"/>
                <w:sz w:val="18"/>
                <w:szCs w:val="18"/>
              </w:rPr>
              <w:t>4</w:t>
            </w:r>
          </w:p>
        </w:tc>
        <w:tc>
          <w:tcPr>
            <w:tcW w:w="1322" w:type="dxa"/>
            <w:vAlign w:val="center"/>
          </w:tcPr>
          <w:p w:rsidR="00D31F42" w:rsidRPr="005E020C" w:rsidRDefault="00D31F42">
            <w:pPr>
              <w:jc w:val="center"/>
              <w:rPr>
                <w:rFonts w:ascii="Calibri" w:hAnsi="Calibri" w:cs="Arial"/>
                <w:sz w:val="18"/>
                <w:szCs w:val="18"/>
              </w:rPr>
            </w:pPr>
            <w:r w:rsidRPr="005E020C">
              <w:rPr>
                <w:rFonts w:ascii="Calibri" w:hAnsi="Calibri" w:cs="Arial"/>
                <w:sz w:val="18"/>
                <w:szCs w:val="18"/>
              </w:rPr>
              <w:t>1</w:t>
            </w:r>
          </w:p>
        </w:tc>
        <w:tc>
          <w:tcPr>
            <w:tcW w:w="1018" w:type="dxa"/>
            <w:noWrap/>
            <w:vAlign w:val="center"/>
          </w:tcPr>
          <w:p w:rsidR="00D31F42" w:rsidRPr="005E020C" w:rsidRDefault="00D31F42">
            <w:pPr>
              <w:jc w:val="center"/>
              <w:rPr>
                <w:rFonts w:ascii="Calibri" w:hAnsi="Calibri" w:cs="Arial"/>
                <w:b/>
                <w:bCs/>
                <w:sz w:val="18"/>
                <w:szCs w:val="18"/>
              </w:rPr>
            </w:pPr>
            <w:r w:rsidRPr="005E020C">
              <w:rPr>
                <w:rFonts w:ascii="Calibri" w:hAnsi="Calibri" w:cs="Arial"/>
                <w:b/>
                <w:bCs/>
                <w:sz w:val="18"/>
                <w:szCs w:val="18"/>
              </w:rPr>
              <w:t>5</w:t>
            </w:r>
          </w:p>
        </w:tc>
      </w:tr>
      <w:tr w:rsidR="00D31F42" w:rsidRPr="00074FC0" w:rsidTr="00DE3FCD">
        <w:trPr>
          <w:trHeight w:val="495"/>
        </w:trPr>
        <w:tc>
          <w:tcPr>
            <w:tcW w:w="1170" w:type="dxa"/>
            <w:noWrap/>
            <w:vAlign w:val="center"/>
          </w:tcPr>
          <w:p w:rsidR="00D31F42" w:rsidRPr="005E020C" w:rsidRDefault="00D31F42">
            <w:pPr>
              <w:jc w:val="both"/>
              <w:rPr>
                <w:rFonts w:ascii="Calibri" w:hAnsi="Calibri" w:cs="Arial"/>
                <w:sz w:val="18"/>
                <w:szCs w:val="18"/>
              </w:rPr>
            </w:pPr>
            <w:r w:rsidRPr="005E020C">
              <w:rPr>
                <w:rFonts w:ascii="Calibri" w:hAnsi="Calibri" w:cs="Arial"/>
                <w:sz w:val="18"/>
                <w:szCs w:val="18"/>
              </w:rPr>
              <w:t>Regulated by BOM</w:t>
            </w:r>
          </w:p>
        </w:tc>
        <w:tc>
          <w:tcPr>
            <w:tcW w:w="1350" w:type="dxa"/>
            <w:noWrap/>
            <w:vAlign w:val="center"/>
          </w:tcPr>
          <w:p w:rsidR="00D31F42" w:rsidRPr="005E020C" w:rsidRDefault="00D31F42">
            <w:pPr>
              <w:jc w:val="center"/>
              <w:rPr>
                <w:rFonts w:ascii="Calibri" w:hAnsi="Calibri" w:cs="Arial"/>
                <w:sz w:val="18"/>
                <w:szCs w:val="18"/>
              </w:rPr>
            </w:pPr>
            <w:r w:rsidRPr="005E020C">
              <w:rPr>
                <w:rFonts w:ascii="Calibri" w:hAnsi="Calibri" w:cs="Arial"/>
                <w:sz w:val="18"/>
                <w:szCs w:val="18"/>
              </w:rPr>
              <w:t>-</w:t>
            </w:r>
          </w:p>
        </w:tc>
        <w:tc>
          <w:tcPr>
            <w:tcW w:w="1080" w:type="dxa"/>
            <w:noWrap/>
            <w:vAlign w:val="center"/>
          </w:tcPr>
          <w:p w:rsidR="00D31F42" w:rsidRPr="005E020C" w:rsidRDefault="00D31F42">
            <w:pPr>
              <w:jc w:val="center"/>
              <w:rPr>
                <w:rFonts w:ascii="Calibri" w:hAnsi="Calibri" w:cs="Arial"/>
                <w:sz w:val="18"/>
                <w:szCs w:val="18"/>
              </w:rPr>
            </w:pPr>
            <w:r w:rsidRPr="005E020C">
              <w:rPr>
                <w:rFonts w:ascii="Calibri" w:hAnsi="Calibri" w:cs="Arial"/>
                <w:sz w:val="18"/>
                <w:szCs w:val="18"/>
              </w:rPr>
              <w:t>1</w:t>
            </w:r>
          </w:p>
        </w:tc>
        <w:tc>
          <w:tcPr>
            <w:tcW w:w="1322" w:type="dxa"/>
            <w:vAlign w:val="center"/>
          </w:tcPr>
          <w:p w:rsidR="00D31F42" w:rsidRPr="005E020C" w:rsidRDefault="00D31F42">
            <w:pPr>
              <w:jc w:val="center"/>
              <w:rPr>
                <w:rFonts w:ascii="Calibri" w:hAnsi="Calibri" w:cs="Arial"/>
                <w:sz w:val="18"/>
                <w:szCs w:val="18"/>
              </w:rPr>
            </w:pPr>
            <w:r w:rsidRPr="005E020C">
              <w:rPr>
                <w:rFonts w:ascii="Calibri" w:hAnsi="Calibri" w:cs="Arial"/>
                <w:sz w:val="18"/>
                <w:szCs w:val="18"/>
              </w:rPr>
              <w:t>-</w:t>
            </w:r>
          </w:p>
        </w:tc>
        <w:tc>
          <w:tcPr>
            <w:tcW w:w="1018" w:type="dxa"/>
            <w:noWrap/>
            <w:vAlign w:val="center"/>
          </w:tcPr>
          <w:p w:rsidR="00D31F42" w:rsidRPr="005E020C" w:rsidRDefault="00D31F42">
            <w:pPr>
              <w:jc w:val="center"/>
              <w:rPr>
                <w:rFonts w:ascii="Calibri" w:hAnsi="Calibri" w:cs="Arial"/>
                <w:b/>
                <w:bCs/>
                <w:sz w:val="18"/>
                <w:szCs w:val="18"/>
              </w:rPr>
            </w:pPr>
            <w:r w:rsidRPr="005E020C">
              <w:rPr>
                <w:rFonts w:ascii="Calibri" w:hAnsi="Calibri" w:cs="Arial"/>
                <w:b/>
                <w:bCs/>
                <w:sz w:val="18"/>
                <w:szCs w:val="18"/>
              </w:rPr>
              <w:t>1</w:t>
            </w:r>
          </w:p>
        </w:tc>
      </w:tr>
      <w:tr w:rsidR="00D31F42" w:rsidRPr="00074FC0" w:rsidTr="00DE3FCD">
        <w:trPr>
          <w:trHeight w:val="270"/>
        </w:trPr>
        <w:tc>
          <w:tcPr>
            <w:tcW w:w="1170" w:type="dxa"/>
            <w:noWrap/>
            <w:vAlign w:val="center"/>
          </w:tcPr>
          <w:p w:rsidR="00D31F42" w:rsidRPr="005E020C" w:rsidRDefault="00D31F42">
            <w:pPr>
              <w:jc w:val="both"/>
              <w:rPr>
                <w:rFonts w:ascii="Calibri" w:hAnsi="Calibri" w:cs="Arial"/>
                <w:sz w:val="18"/>
                <w:szCs w:val="18"/>
              </w:rPr>
            </w:pPr>
            <w:r w:rsidRPr="005E020C">
              <w:rPr>
                <w:rFonts w:ascii="Calibri" w:hAnsi="Calibri" w:cs="Arial"/>
                <w:sz w:val="18"/>
                <w:szCs w:val="18"/>
              </w:rPr>
              <w:t>Other PIEs</w:t>
            </w:r>
          </w:p>
        </w:tc>
        <w:tc>
          <w:tcPr>
            <w:tcW w:w="1350" w:type="dxa"/>
            <w:noWrap/>
            <w:vAlign w:val="center"/>
          </w:tcPr>
          <w:p w:rsidR="00D31F42" w:rsidRPr="005E020C" w:rsidRDefault="00D31F42">
            <w:pPr>
              <w:jc w:val="center"/>
              <w:rPr>
                <w:rFonts w:ascii="Calibri" w:hAnsi="Calibri" w:cs="Arial"/>
                <w:sz w:val="18"/>
                <w:szCs w:val="18"/>
              </w:rPr>
            </w:pPr>
            <w:r w:rsidRPr="005E020C">
              <w:rPr>
                <w:rFonts w:ascii="Calibri" w:hAnsi="Calibri" w:cs="Arial"/>
                <w:sz w:val="18"/>
                <w:szCs w:val="18"/>
              </w:rPr>
              <w:t>1</w:t>
            </w:r>
          </w:p>
        </w:tc>
        <w:tc>
          <w:tcPr>
            <w:tcW w:w="1080" w:type="dxa"/>
            <w:noWrap/>
            <w:vAlign w:val="center"/>
          </w:tcPr>
          <w:p w:rsidR="00D31F42" w:rsidRPr="005E020C" w:rsidRDefault="00D31F42">
            <w:pPr>
              <w:jc w:val="center"/>
              <w:rPr>
                <w:rFonts w:ascii="Calibri" w:hAnsi="Calibri" w:cs="Arial"/>
                <w:sz w:val="18"/>
                <w:szCs w:val="18"/>
              </w:rPr>
            </w:pPr>
            <w:r w:rsidRPr="005E020C">
              <w:rPr>
                <w:rFonts w:ascii="Calibri" w:hAnsi="Calibri" w:cs="Arial"/>
                <w:sz w:val="18"/>
                <w:szCs w:val="18"/>
              </w:rPr>
              <w:t>2</w:t>
            </w:r>
          </w:p>
        </w:tc>
        <w:tc>
          <w:tcPr>
            <w:tcW w:w="1322" w:type="dxa"/>
            <w:noWrap/>
            <w:vAlign w:val="center"/>
          </w:tcPr>
          <w:p w:rsidR="00D31F42" w:rsidRPr="005E020C" w:rsidRDefault="00D31F42">
            <w:pPr>
              <w:jc w:val="center"/>
              <w:rPr>
                <w:rFonts w:ascii="Calibri" w:hAnsi="Calibri" w:cs="Arial"/>
                <w:sz w:val="18"/>
                <w:szCs w:val="18"/>
              </w:rPr>
            </w:pPr>
            <w:r w:rsidRPr="005E020C">
              <w:rPr>
                <w:rFonts w:ascii="Calibri" w:hAnsi="Calibri" w:cs="Arial"/>
                <w:sz w:val="18"/>
                <w:szCs w:val="18"/>
              </w:rPr>
              <w:t>1</w:t>
            </w:r>
          </w:p>
        </w:tc>
        <w:tc>
          <w:tcPr>
            <w:tcW w:w="1018" w:type="dxa"/>
            <w:noWrap/>
            <w:vAlign w:val="center"/>
          </w:tcPr>
          <w:p w:rsidR="00D31F42" w:rsidRPr="005E020C" w:rsidRDefault="00D31F42">
            <w:pPr>
              <w:jc w:val="center"/>
              <w:rPr>
                <w:rFonts w:ascii="Calibri" w:hAnsi="Calibri" w:cs="Arial"/>
                <w:b/>
                <w:bCs/>
                <w:sz w:val="18"/>
                <w:szCs w:val="18"/>
              </w:rPr>
            </w:pPr>
            <w:r w:rsidRPr="005E020C">
              <w:rPr>
                <w:rFonts w:ascii="Calibri" w:hAnsi="Calibri" w:cs="Arial"/>
                <w:b/>
                <w:bCs/>
                <w:sz w:val="18"/>
                <w:szCs w:val="18"/>
              </w:rPr>
              <w:t>4</w:t>
            </w:r>
          </w:p>
        </w:tc>
      </w:tr>
      <w:tr w:rsidR="00D31F42" w:rsidRPr="00074FC0" w:rsidTr="00DE3FCD">
        <w:trPr>
          <w:trHeight w:val="270"/>
        </w:trPr>
        <w:tc>
          <w:tcPr>
            <w:tcW w:w="1170" w:type="dxa"/>
            <w:vAlign w:val="center"/>
          </w:tcPr>
          <w:p w:rsidR="00D31F42" w:rsidRPr="005E020C" w:rsidRDefault="00DE3FCD">
            <w:pPr>
              <w:jc w:val="both"/>
              <w:rPr>
                <w:rFonts w:ascii="Calibri" w:hAnsi="Calibri" w:cs="Arial"/>
                <w:b/>
                <w:bCs/>
                <w:sz w:val="18"/>
                <w:szCs w:val="18"/>
              </w:rPr>
            </w:pPr>
            <w:r>
              <w:rPr>
                <w:rFonts w:ascii="Calibri" w:hAnsi="Calibri" w:cs="Arial"/>
                <w:sz w:val="18"/>
                <w:szCs w:val="18"/>
              </w:rPr>
              <w:t xml:space="preserve">SOEs </w:t>
            </w:r>
            <w:r w:rsidR="00D31F42" w:rsidRPr="005E020C">
              <w:rPr>
                <w:rFonts w:ascii="Calibri" w:hAnsi="Calibri" w:cs="Arial"/>
                <w:sz w:val="18"/>
                <w:szCs w:val="18"/>
              </w:rPr>
              <w:t xml:space="preserve">as </w:t>
            </w:r>
            <w:r w:rsidR="004F5E3B">
              <w:rPr>
                <w:rFonts w:ascii="Calibri" w:hAnsi="Calibri" w:cs="Arial"/>
                <w:sz w:val="18"/>
                <w:szCs w:val="18"/>
              </w:rPr>
              <w:t xml:space="preserve">per the </w:t>
            </w:r>
            <w:r w:rsidR="00D31F42" w:rsidRPr="005E020C">
              <w:rPr>
                <w:rFonts w:ascii="Calibri" w:hAnsi="Calibri" w:cs="Arial"/>
                <w:sz w:val="18"/>
                <w:szCs w:val="18"/>
              </w:rPr>
              <w:t>First Schedule of FRA</w:t>
            </w:r>
          </w:p>
        </w:tc>
        <w:tc>
          <w:tcPr>
            <w:tcW w:w="1350" w:type="dxa"/>
            <w:noWrap/>
            <w:vAlign w:val="center"/>
          </w:tcPr>
          <w:p w:rsidR="00D31F42" w:rsidRPr="005E020C" w:rsidRDefault="00D31F42">
            <w:pPr>
              <w:jc w:val="center"/>
              <w:rPr>
                <w:rFonts w:ascii="Calibri" w:hAnsi="Calibri" w:cs="Arial"/>
                <w:bCs/>
                <w:sz w:val="18"/>
                <w:szCs w:val="18"/>
              </w:rPr>
            </w:pPr>
            <w:r w:rsidRPr="005E020C">
              <w:rPr>
                <w:rFonts w:ascii="Calibri" w:hAnsi="Calibri" w:cs="Arial"/>
                <w:bCs/>
                <w:sz w:val="18"/>
                <w:szCs w:val="18"/>
              </w:rPr>
              <w:t>1</w:t>
            </w:r>
          </w:p>
        </w:tc>
        <w:tc>
          <w:tcPr>
            <w:tcW w:w="1080" w:type="dxa"/>
            <w:noWrap/>
            <w:vAlign w:val="center"/>
          </w:tcPr>
          <w:p w:rsidR="00D31F42" w:rsidRPr="005E020C" w:rsidRDefault="00D31F42">
            <w:pPr>
              <w:jc w:val="center"/>
              <w:rPr>
                <w:rFonts w:ascii="Calibri" w:hAnsi="Calibri" w:cs="Arial"/>
                <w:bCs/>
                <w:sz w:val="18"/>
                <w:szCs w:val="18"/>
              </w:rPr>
            </w:pPr>
            <w:r w:rsidRPr="005E020C">
              <w:rPr>
                <w:rFonts w:ascii="Calibri" w:hAnsi="Calibri" w:cs="Arial"/>
                <w:bCs/>
                <w:sz w:val="18"/>
                <w:szCs w:val="18"/>
              </w:rPr>
              <w:t>2</w:t>
            </w:r>
          </w:p>
        </w:tc>
        <w:tc>
          <w:tcPr>
            <w:tcW w:w="1322" w:type="dxa"/>
            <w:noWrap/>
            <w:vAlign w:val="center"/>
          </w:tcPr>
          <w:p w:rsidR="00D31F42" w:rsidRPr="005E020C" w:rsidRDefault="00D31F42">
            <w:pPr>
              <w:jc w:val="center"/>
              <w:rPr>
                <w:rFonts w:ascii="Calibri" w:hAnsi="Calibri" w:cs="Arial"/>
                <w:b/>
                <w:bCs/>
                <w:sz w:val="18"/>
                <w:szCs w:val="18"/>
              </w:rPr>
            </w:pPr>
            <w:r w:rsidRPr="005E020C">
              <w:rPr>
                <w:rFonts w:ascii="Calibri" w:hAnsi="Calibri" w:cs="Arial"/>
                <w:b/>
                <w:bCs/>
                <w:sz w:val="18"/>
                <w:szCs w:val="18"/>
              </w:rPr>
              <w:t>-</w:t>
            </w:r>
          </w:p>
        </w:tc>
        <w:tc>
          <w:tcPr>
            <w:tcW w:w="1018" w:type="dxa"/>
            <w:noWrap/>
            <w:vAlign w:val="center"/>
          </w:tcPr>
          <w:p w:rsidR="00D31F42" w:rsidRPr="005E020C" w:rsidRDefault="00D31F42">
            <w:pPr>
              <w:jc w:val="center"/>
              <w:rPr>
                <w:rFonts w:ascii="Calibri" w:hAnsi="Calibri" w:cs="Arial"/>
                <w:b/>
                <w:bCs/>
                <w:sz w:val="18"/>
                <w:szCs w:val="18"/>
              </w:rPr>
            </w:pPr>
            <w:r w:rsidRPr="005E020C">
              <w:rPr>
                <w:rFonts w:ascii="Calibri" w:hAnsi="Calibri" w:cs="Arial"/>
                <w:b/>
                <w:bCs/>
                <w:sz w:val="18"/>
                <w:szCs w:val="18"/>
              </w:rPr>
              <w:t>3</w:t>
            </w:r>
          </w:p>
        </w:tc>
      </w:tr>
      <w:tr w:rsidR="00D31F42" w:rsidRPr="00074FC0" w:rsidTr="00DE3FCD">
        <w:trPr>
          <w:trHeight w:val="270"/>
        </w:trPr>
        <w:tc>
          <w:tcPr>
            <w:tcW w:w="1170" w:type="dxa"/>
            <w:vAlign w:val="center"/>
          </w:tcPr>
          <w:p w:rsidR="00D31F42" w:rsidRPr="005E020C" w:rsidRDefault="00D31F42">
            <w:pPr>
              <w:jc w:val="both"/>
              <w:rPr>
                <w:rFonts w:ascii="Calibri" w:hAnsi="Calibri" w:cs="Arial"/>
                <w:b/>
                <w:bCs/>
                <w:sz w:val="18"/>
                <w:szCs w:val="18"/>
              </w:rPr>
            </w:pPr>
            <w:r w:rsidRPr="005E020C">
              <w:rPr>
                <w:rFonts w:ascii="Calibri" w:hAnsi="Calibri" w:cs="Arial"/>
                <w:b/>
                <w:bCs/>
                <w:sz w:val="18"/>
                <w:szCs w:val="18"/>
              </w:rPr>
              <w:t xml:space="preserve">Total </w:t>
            </w:r>
          </w:p>
        </w:tc>
        <w:tc>
          <w:tcPr>
            <w:tcW w:w="1350" w:type="dxa"/>
            <w:noWrap/>
            <w:vAlign w:val="center"/>
          </w:tcPr>
          <w:p w:rsidR="00D31F42" w:rsidRPr="005E020C" w:rsidRDefault="00D31F42">
            <w:pPr>
              <w:jc w:val="center"/>
              <w:rPr>
                <w:rFonts w:ascii="Calibri" w:hAnsi="Calibri" w:cs="Arial"/>
                <w:b/>
                <w:bCs/>
                <w:sz w:val="18"/>
                <w:szCs w:val="18"/>
              </w:rPr>
            </w:pPr>
            <w:r w:rsidRPr="005E020C">
              <w:rPr>
                <w:rFonts w:ascii="Calibri" w:hAnsi="Calibri" w:cs="Arial"/>
                <w:b/>
                <w:bCs/>
                <w:sz w:val="18"/>
                <w:szCs w:val="18"/>
              </w:rPr>
              <w:t>2</w:t>
            </w:r>
          </w:p>
        </w:tc>
        <w:tc>
          <w:tcPr>
            <w:tcW w:w="1080" w:type="dxa"/>
            <w:noWrap/>
            <w:vAlign w:val="center"/>
          </w:tcPr>
          <w:p w:rsidR="00D31F42" w:rsidRPr="005E020C" w:rsidRDefault="00D31F42">
            <w:pPr>
              <w:jc w:val="center"/>
              <w:rPr>
                <w:rFonts w:ascii="Calibri" w:hAnsi="Calibri" w:cs="Arial"/>
                <w:b/>
                <w:bCs/>
                <w:sz w:val="18"/>
                <w:szCs w:val="18"/>
              </w:rPr>
            </w:pPr>
            <w:r w:rsidRPr="005E020C">
              <w:rPr>
                <w:rFonts w:ascii="Calibri" w:hAnsi="Calibri" w:cs="Arial"/>
                <w:b/>
                <w:bCs/>
                <w:sz w:val="18"/>
                <w:szCs w:val="18"/>
              </w:rPr>
              <w:t>9</w:t>
            </w:r>
          </w:p>
        </w:tc>
        <w:tc>
          <w:tcPr>
            <w:tcW w:w="1322" w:type="dxa"/>
            <w:noWrap/>
            <w:vAlign w:val="center"/>
          </w:tcPr>
          <w:p w:rsidR="00D31F42" w:rsidRPr="005E020C" w:rsidRDefault="00D31F42">
            <w:pPr>
              <w:jc w:val="center"/>
              <w:rPr>
                <w:rFonts w:ascii="Calibri" w:hAnsi="Calibri" w:cs="Arial"/>
                <w:b/>
                <w:bCs/>
                <w:sz w:val="18"/>
                <w:szCs w:val="18"/>
              </w:rPr>
            </w:pPr>
            <w:r w:rsidRPr="005E020C">
              <w:rPr>
                <w:rFonts w:ascii="Calibri" w:hAnsi="Calibri" w:cs="Arial"/>
                <w:b/>
                <w:bCs/>
                <w:sz w:val="18"/>
                <w:szCs w:val="18"/>
              </w:rPr>
              <w:t>2</w:t>
            </w:r>
          </w:p>
        </w:tc>
        <w:tc>
          <w:tcPr>
            <w:tcW w:w="1018" w:type="dxa"/>
            <w:noWrap/>
            <w:vAlign w:val="center"/>
          </w:tcPr>
          <w:p w:rsidR="00D31F42" w:rsidRPr="005E020C" w:rsidRDefault="00D31F42">
            <w:pPr>
              <w:jc w:val="center"/>
              <w:rPr>
                <w:rFonts w:ascii="Calibri" w:hAnsi="Calibri" w:cs="Arial"/>
                <w:b/>
                <w:bCs/>
                <w:sz w:val="18"/>
                <w:szCs w:val="18"/>
              </w:rPr>
            </w:pPr>
            <w:r w:rsidRPr="005E020C">
              <w:rPr>
                <w:rFonts w:ascii="Calibri" w:hAnsi="Calibri" w:cs="Arial"/>
                <w:b/>
                <w:bCs/>
                <w:sz w:val="18"/>
                <w:szCs w:val="18"/>
              </w:rPr>
              <w:t>13</w:t>
            </w:r>
          </w:p>
        </w:tc>
      </w:tr>
    </w:tbl>
    <w:p w:rsidR="00D31F42" w:rsidRPr="005E020C" w:rsidRDefault="00D31F42" w:rsidP="00844538">
      <w:pPr>
        <w:jc w:val="both"/>
        <w:rPr>
          <w:rFonts w:ascii="Calibri" w:hAnsi="Calibri"/>
        </w:rPr>
      </w:pPr>
    </w:p>
    <w:p w:rsidR="00D31F42" w:rsidRPr="005E020C" w:rsidRDefault="00D31F42" w:rsidP="00E41CF7">
      <w:pPr>
        <w:pStyle w:val="ListParagraph"/>
        <w:ind w:left="2250"/>
        <w:contextualSpacing/>
        <w:jc w:val="both"/>
        <w:rPr>
          <w:rFonts w:ascii="Calibri" w:hAnsi="Calibri"/>
        </w:rPr>
      </w:pPr>
      <w:r w:rsidRPr="005E020C">
        <w:rPr>
          <w:rFonts w:ascii="Calibri" w:hAnsi="Calibri"/>
        </w:rPr>
        <w:t>2 out of 13 PIEs met the minimum requirement of the code of corporate governance. The rest either explained the reasons for not having executive directors on its board or did not comply at all with this requirement.</w:t>
      </w:r>
    </w:p>
    <w:p w:rsidR="00D31F42" w:rsidRPr="005E020C" w:rsidRDefault="00D31F42" w:rsidP="00844538">
      <w:pPr>
        <w:ind w:left="2250"/>
        <w:jc w:val="both"/>
        <w:rPr>
          <w:rFonts w:ascii="Calibri" w:hAnsi="Calibri"/>
        </w:rPr>
      </w:pPr>
    </w:p>
    <w:p w:rsidR="00D31F42" w:rsidRPr="005E020C" w:rsidRDefault="00D31F42" w:rsidP="00E41CF7">
      <w:pPr>
        <w:ind w:left="2250"/>
        <w:jc w:val="both"/>
        <w:rPr>
          <w:rFonts w:ascii="Calibri" w:hAnsi="Calibri"/>
        </w:rPr>
      </w:pPr>
      <w:r w:rsidRPr="005E020C">
        <w:rPr>
          <w:rFonts w:ascii="Calibri" w:hAnsi="Calibri"/>
        </w:rPr>
        <w:t>The explanations provided by the PIEs were described below:</w:t>
      </w:r>
    </w:p>
    <w:p w:rsidR="00D31F42" w:rsidRPr="005E020C" w:rsidRDefault="00D31F42" w:rsidP="00F7611C">
      <w:pPr>
        <w:pStyle w:val="ListParagraph"/>
        <w:numPr>
          <w:ilvl w:val="0"/>
          <w:numId w:val="32"/>
        </w:numPr>
        <w:tabs>
          <w:tab w:val="left" w:pos="2520"/>
        </w:tabs>
        <w:ind w:hanging="270"/>
        <w:contextualSpacing/>
        <w:jc w:val="both"/>
        <w:rPr>
          <w:rFonts w:ascii="Calibri" w:hAnsi="Calibri"/>
        </w:rPr>
      </w:pPr>
      <w:r w:rsidRPr="005E020C">
        <w:rPr>
          <w:rFonts w:ascii="Calibri" w:hAnsi="Calibri"/>
        </w:rPr>
        <w:t xml:space="preserve">Board composition did not affect the effectiveness of the Board given the size of the Company and the experience of the other Directors.  It was also composed of professionals having the right mix of experience to enable it to function in full independence The entity would </w:t>
      </w:r>
      <w:r w:rsidRPr="005E020C">
        <w:rPr>
          <w:rFonts w:ascii="Calibri" w:hAnsi="Calibri"/>
        </w:rPr>
        <w:lastRenderedPageBreak/>
        <w:t>consider the appointment of additional independent directors.</w:t>
      </w:r>
    </w:p>
    <w:p w:rsidR="00D31F42" w:rsidRPr="005E020C" w:rsidRDefault="00D31F42" w:rsidP="00F7611C">
      <w:pPr>
        <w:pStyle w:val="ListParagraph"/>
        <w:numPr>
          <w:ilvl w:val="0"/>
          <w:numId w:val="32"/>
        </w:numPr>
        <w:tabs>
          <w:tab w:val="left" w:pos="2520"/>
        </w:tabs>
        <w:ind w:hanging="270"/>
        <w:contextualSpacing/>
        <w:jc w:val="both"/>
        <w:rPr>
          <w:rFonts w:ascii="Calibri" w:hAnsi="Calibri"/>
        </w:rPr>
      </w:pPr>
      <w:r w:rsidRPr="005E020C">
        <w:rPr>
          <w:rFonts w:ascii="Calibri" w:hAnsi="Calibri"/>
        </w:rPr>
        <w:t>The appointment of the directors was specified in the PIEs’ dedicated laws.</w:t>
      </w:r>
    </w:p>
    <w:p w:rsidR="00D31F42" w:rsidRPr="005E020C" w:rsidRDefault="00D31F42" w:rsidP="00F7611C">
      <w:pPr>
        <w:pStyle w:val="ListParagraph"/>
        <w:numPr>
          <w:ilvl w:val="0"/>
          <w:numId w:val="32"/>
        </w:numPr>
        <w:tabs>
          <w:tab w:val="left" w:pos="2520"/>
        </w:tabs>
        <w:ind w:hanging="270"/>
        <w:contextualSpacing/>
        <w:jc w:val="both"/>
        <w:rPr>
          <w:rFonts w:ascii="Calibri" w:hAnsi="Calibri"/>
        </w:rPr>
      </w:pPr>
      <w:r w:rsidRPr="005E020C">
        <w:rPr>
          <w:rFonts w:ascii="Calibri" w:hAnsi="Calibri"/>
        </w:rPr>
        <w:t>The Board currently had 1 executive director due to the scale and size of the Company.</w:t>
      </w:r>
    </w:p>
    <w:p w:rsidR="00D31F42" w:rsidRPr="005E020C" w:rsidRDefault="00D31F42" w:rsidP="00F7611C">
      <w:pPr>
        <w:pStyle w:val="ListParagraph"/>
        <w:numPr>
          <w:ilvl w:val="0"/>
          <w:numId w:val="32"/>
        </w:numPr>
        <w:tabs>
          <w:tab w:val="left" w:pos="2520"/>
        </w:tabs>
        <w:ind w:hanging="270"/>
        <w:contextualSpacing/>
        <w:jc w:val="both"/>
        <w:rPr>
          <w:rFonts w:ascii="Calibri" w:hAnsi="Calibri"/>
        </w:rPr>
      </w:pPr>
      <w:r w:rsidRPr="005E020C">
        <w:rPr>
          <w:rFonts w:ascii="Calibri" w:hAnsi="Calibri"/>
        </w:rPr>
        <w:t>The Nomination Committee had already started procedures in identifying a suitable qualified person with the requisite competencies to replace the CEO of the Bank.</w:t>
      </w:r>
    </w:p>
    <w:p w:rsidR="00D31F42" w:rsidRPr="005E020C" w:rsidRDefault="00D31F42" w:rsidP="00F7611C">
      <w:pPr>
        <w:pStyle w:val="ListParagraph"/>
        <w:numPr>
          <w:ilvl w:val="0"/>
          <w:numId w:val="32"/>
        </w:numPr>
        <w:tabs>
          <w:tab w:val="left" w:pos="2520"/>
        </w:tabs>
        <w:ind w:hanging="270"/>
        <w:contextualSpacing/>
        <w:jc w:val="both"/>
        <w:rPr>
          <w:rFonts w:ascii="Calibri" w:hAnsi="Calibri"/>
        </w:rPr>
      </w:pPr>
      <w:r w:rsidRPr="005E020C">
        <w:rPr>
          <w:rFonts w:ascii="Calibri" w:hAnsi="Calibri"/>
        </w:rPr>
        <w:t>Having given due consideration to its business, its ownership and governance structures, the Board was of the view that it would not bring additional benefits of having at least two independent and two Executive Directors.</w:t>
      </w:r>
    </w:p>
    <w:p w:rsidR="00D31F42" w:rsidRPr="005E020C" w:rsidRDefault="00D31F42" w:rsidP="00725EAA">
      <w:pPr>
        <w:pStyle w:val="ListParagraph"/>
        <w:ind w:left="2700"/>
        <w:contextualSpacing/>
        <w:jc w:val="both"/>
        <w:rPr>
          <w:rFonts w:ascii="Calibri" w:hAnsi="Calibri"/>
        </w:rPr>
      </w:pPr>
    </w:p>
    <w:p w:rsidR="00D31F42" w:rsidRPr="005E020C" w:rsidRDefault="00D31F42" w:rsidP="00F7611C">
      <w:pPr>
        <w:pStyle w:val="ListParagraph"/>
        <w:numPr>
          <w:ilvl w:val="0"/>
          <w:numId w:val="6"/>
        </w:numPr>
        <w:tabs>
          <w:tab w:val="left" w:pos="1980"/>
        </w:tabs>
        <w:ind w:hanging="90"/>
        <w:contextualSpacing/>
        <w:rPr>
          <w:rFonts w:ascii="Calibri" w:hAnsi="Calibri"/>
        </w:rPr>
      </w:pPr>
      <w:r w:rsidRPr="005E020C">
        <w:rPr>
          <w:rFonts w:ascii="Calibri" w:hAnsi="Calibri"/>
        </w:rPr>
        <w:t>Information on Board Committees</w:t>
      </w:r>
    </w:p>
    <w:p w:rsidR="00D31F42" w:rsidRPr="005E020C" w:rsidRDefault="00D31F42" w:rsidP="00AF309F">
      <w:pPr>
        <w:pStyle w:val="ListParagraph"/>
        <w:ind w:left="1620"/>
        <w:contextualSpacing/>
        <w:rPr>
          <w:rFonts w:ascii="Calibri" w:hAnsi="Calibri"/>
          <w:b/>
          <w:highlight w:val="yellow"/>
        </w:rPr>
      </w:pPr>
    </w:p>
    <w:p w:rsidR="00D31F42" w:rsidRPr="005E020C" w:rsidRDefault="00D31F42" w:rsidP="00E41CF7">
      <w:pPr>
        <w:ind w:left="1980"/>
        <w:jc w:val="both"/>
        <w:rPr>
          <w:rFonts w:ascii="Calibri" w:hAnsi="Calibri"/>
        </w:rPr>
      </w:pPr>
      <w:r w:rsidRPr="005E020C">
        <w:rPr>
          <w:rFonts w:ascii="Calibri" w:hAnsi="Calibri"/>
        </w:rPr>
        <w:t>Board committees are a mechanism to assist the board and its directors in discharging their duties through a more comprehensive evaluation of specific issues.</w:t>
      </w:r>
      <w:r w:rsidRPr="005E020C">
        <w:rPr>
          <w:rFonts w:ascii="Calibri" w:hAnsi="Calibri" w:cs="Calibri"/>
        </w:rPr>
        <w:t xml:space="preserve"> </w:t>
      </w:r>
      <w:r w:rsidRPr="005E020C">
        <w:rPr>
          <w:rFonts w:ascii="Calibri" w:hAnsi="Calibri"/>
        </w:rPr>
        <w:t xml:space="preserve">As per the code of corporate governance, all companies should have, at a minimum, an audit committee and a corporate governance committee except for, subsidiary companies which would not be expected to have separate sets of board committees. </w:t>
      </w:r>
    </w:p>
    <w:p w:rsidR="00D31F42" w:rsidRPr="005E020C" w:rsidRDefault="00D31F42" w:rsidP="00E41CF7">
      <w:pPr>
        <w:pStyle w:val="ListParagraph"/>
        <w:ind w:left="1980"/>
        <w:jc w:val="both"/>
        <w:rPr>
          <w:rFonts w:ascii="Calibri" w:hAnsi="Calibri"/>
          <w:sz w:val="18"/>
        </w:rPr>
      </w:pPr>
    </w:p>
    <w:p w:rsidR="00D31F42" w:rsidRPr="005E020C" w:rsidRDefault="00D31F42" w:rsidP="00E41CF7">
      <w:pPr>
        <w:pStyle w:val="ListParagraph"/>
        <w:ind w:left="1980"/>
        <w:jc w:val="both"/>
        <w:rPr>
          <w:rFonts w:ascii="Calibri" w:hAnsi="Calibri"/>
        </w:rPr>
      </w:pPr>
      <w:r w:rsidRPr="005E020C">
        <w:rPr>
          <w:rFonts w:ascii="Calibri" w:hAnsi="Calibri"/>
        </w:rPr>
        <w:t>From the table below, 6 PIEs had not disclosed information on committees, but explanations provided in this regard. The PIEs explained the following:</w:t>
      </w:r>
    </w:p>
    <w:p w:rsidR="00D31F42" w:rsidRPr="005E020C" w:rsidRDefault="00D31F42" w:rsidP="00AF309F">
      <w:pPr>
        <w:pStyle w:val="ListParagraph"/>
        <w:ind w:left="2520" w:hanging="360"/>
        <w:jc w:val="both"/>
        <w:rPr>
          <w:rFonts w:ascii="Calibri" w:hAnsi="Calibri"/>
          <w:sz w:val="18"/>
        </w:rPr>
      </w:pPr>
    </w:p>
    <w:p w:rsidR="00D31F42" w:rsidRPr="005E020C" w:rsidRDefault="00D31F42" w:rsidP="00F7611C">
      <w:pPr>
        <w:pStyle w:val="ListParagraph"/>
        <w:numPr>
          <w:ilvl w:val="0"/>
          <w:numId w:val="32"/>
        </w:numPr>
        <w:tabs>
          <w:tab w:val="left" w:pos="2340"/>
        </w:tabs>
        <w:ind w:left="2340"/>
        <w:contextualSpacing/>
        <w:jc w:val="both"/>
        <w:rPr>
          <w:rFonts w:ascii="Calibri" w:hAnsi="Calibri"/>
        </w:rPr>
      </w:pPr>
      <w:r w:rsidRPr="005E020C">
        <w:rPr>
          <w:rFonts w:ascii="Calibri" w:hAnsi="Calibri"/>
        </w:rPr>
        <w:t>The Company did not have any board committee due to the scale and size of the company.</w:t>
      </w:r>
    </w:p>
    <w:p w:rsidR="00D31F42" w:rsidRPr="005E020C" w:rsidRDefault="00D31F42" w:rsidP="00F7611C">
      <w:pPr>
        <w:pStyle w:val="ListParagraph"/>
        <w:numPr>
          <w:ilvl w:val="0"/>
          <w:numId w:val="32"/>
        </w:numPr>
        <w:tabs>
          <w:tab w:val="left" w:pos="2340"/>
        </w:tabs>
        <w:ind w:left="2340"/>
        <w:contextualSpacing/>
        <w:jc w:val="both"/>
        <w:rPr>
          <w:rFonts w:ascii="Calibri" w:hAnsi="Calibri"/>
        </w:rPr>
      </w:pPr>
      <w:r w:rsidRPr="005E020C">
        <w:rPr>
          <w:rFonts w:ascii="Calibri" w:hAnsi="Calibri"/>
        </w:rPr>
        <w:t>A monitoring committee had been put in place to ensure objectives and targets were implemented as per milestone agreed.</w:t>
      </w:r>
    </w:p>
    <w:p w:rsidR="00D31F42" w:rsidRPr="005E020C" w:rsidRDefault="00D31F42" w:rsidP="00F7611C">
      <w:pPr>
        <w:pStyle w:val="ListParagraph"/>
        <w:numPr>
          <w:ilvl w:val="0"/>
          <w:numId w:val="32"/>
        </w:numPr>
        <w:tabs>
          <w:tab w:val="left" w:pos="2340"/>
        </w:tabs>
        <w:ind w:left="2340"/>
        <w:contextualSpacing/>
        <w:jc w:val="both"/>
        <w:rPr>
          <w:rFonts w:ascii="Calibri" w:hAnsi="Calibri"/>
        </w:rPr>
      </w:pPr>
      <w:r w:rsidRPr="005E020C">
        <w:rPr>
          <w:rFonts w:ascii="Calibri" w:hAnsi="Calibri"/>
        </w:rPr>
        <w:t>As regards the setting of other committees such as the Audit Committee, this was not warranted at the moment due to the small size of the organisation and that the internal control procedure was in-built in the operating system;</w:t>
      </w:r>
    </w:p>
    <w:p w:rsidR="00D31F42" w:rsidRPr="005E020C" w:rsidRDefault="00D31F42" w:rsidP="00F7611C">
      <w:pPr>
        <w:pStyle w:val="ListParagraph"/>
        <w:numPr>
          <w:ilvl w:val="0"/>
          <w:numId w:val="32"/>
        </w:numPr>
        <w:tabs>
          <w:tab w:val="left" w:pos="2340"/>
        </w:tabs>
        <w:ind w:left="2340"/>
        <w:contextualSpacing/>
        <w:jc w:val="both"/>
        <w:rPr>
          <w:rFonts w:ascii="Calibri" w:hAnsi="Calibri"/>
        </w:rPr>
      </w:pPr>
      <w:r w:rsidRPr="005E020C">
        <w:rPr>
          <w:rFonts w:ascii="Calibri" w:hAnsi="Calibri"/>
        </w:rPr>
        <w:t>Given the nature and size of the business, all Board Committee functions including Corporate Governance and Audit Committee functions were discharged by the Board as a unit.</w:t>
      </w:r>
    </w:p>
    <w:p w:rsidR="00D31F42" w:rsidRPr="005E020C" w:rsidRDefault="00D31F42" w:rsidP="00F7611C">
      <w:pPr>
        <w:pStyle w:val="ListParagraph"/>
        <w:numPr>
          <w:ilvl w:val="0"/>
          <w:numId w:val="32"/>
        </w:numPr>
        <w:tabs>
          <w:tab w:val="left" w:pos="2340"/>
        </w:tabs>
        <w:ind w:left="2340"/>
        <w:contextualSpacing/>
        <w:jc w:val="both"/>
        <w:rPr>
          <w:rFonts w:ascii="Calibri" w:hAnsi="Calibri"/>
        </w:rPr>
      </w:pPr>
      <w:r w:rsidRPr="005E020C">
        <w:rPr>
          <w:rFonts w:ascii="Calibri" w:hAnsi="Calibri"/>
        </w:rPr>
        <w:lastRenderedPageBreak/>
        <w:t>As the entity is a subsidiary it had not established a corporate governance committee as per section 1.3 of the code of corporate governance.</w:t>
      </w:r>
    </w:p>
    <w:p w:rsidR="00D31F42" w:rsidRPr="005E020C" w:rsidRDefault="00D31F42" w:rsidP="00E12A5D">
      <w:pPr>
        <w:pStyle w:val="ListParagraph"/>
        <w:tabs>
          <w:tab w:val="left" w:pos="2070"/>
        </w:tabs>
        <w:ind w:left="2070" w:hanging="450"/>
        <w:contextualSpacing/>
        <w:jc w:val="both"/>
        <w:rPr>
          <w:rFonts w:ascii="Calibri" w:hAnsi="Calibri"/>
        </w:rPr>
      </w:pPr>
    </w:p>
    <w:tbl>
      <w:tblPr>
        <w:tblW w:w="6120" w:type="dxa"/>
        <w:tblInd w:w="2088" w:type="dxa"/>
        <w:tblLayout w:type="fixed"/>
        <w:tblLook w:val="00A0" w:firstRow="1" w:lastRow="0" w:firstColumn="1" w:lastColumn="0" w:noHBand="0" w:noVBand="0"/>
      </w:tblPr>
      <w:tblGrid>
        <w:gridCol w:w="1440"/>
        <w:gridCol w:w="2070"/>
        <w:gridCol w:w="1350"/>
        <w:gridCol w:w="1260"/>
      </w:tblGrid>
      <w:tr w:rsidR="00D31F42" w:rsidRPr="00074FC0" w:rsidTr="005E020C">
        <w:trPr>
          <w:trHeight w:val="270"/>
        </w:trPr>
        <w:tc>
          <w:tcPr>
            <w:tcW w:w="1440" w:type="dxa"/>
            <w:vMerge w:val="restart"/>
            <w:tcBorders>
              <w:top w:val="single" w:sz="8" w:space="0" w:color="auto"/>
              <w:left w:val="single" w:sz="8" w:space="0" w:color="auto"/>
              <w:bottom w:val="single" w:sz="8" w:space="0" w:color="000000"/>
              <w:right w:val="single" w:sz="8" w:space="0" w:color="auto"/>
            </w:tcBorders>
            <w:shd w:val="clear" w:color="auto" w:fill="EAF1DD"/>
            <w:noWrap/>
            <w:vAlign w:val="center"/>
          </w:tcPr>
          <w:p w:rsidR="00D31F42" w:rsidRPr="005E020C" w:rsidRDefault="00D31F42">
            <w:pPr>
              <w:jc w:val="center"/>
              <w:rPr>
                <w:rFonts w:ascii="Calibri" w:hAnsi="Calibri" w:cs="Arial"/>
                <w:b/>
                <w:bCs/>
                <w:sz w:val="16"/>
                <w:szCs w:val="16"/>
              </w:rPr>
            </w:pPr>
            <w:r w:rsidRPr="005E020C">
              <w:rPr>
                <w:rFonts w:ascii="Calibri" w:hAnsi="Calibri" w:cs="Arial"/>
                <w:b/>
                <w:bCs/>
                <w:sz w:val="16"/>
                <w:szCs w:val="16"/>
              </w:rPr>
              <w:t>PIEs</w:t>
            </w:r>
          </w:p>
        </w:tc>
        <w:tc>
          <w:tcPr>
            <w:tcW w:w="4680" w:type="dxa"/>
            <w:gridSpan w:val="3"/>
            <w:tcBorders>
              <w:top w:val="single" w:sz="8" w:space="0" w:color="auto"/>
              <w:left w:val="nil"/>
              <w:bottom w:val="single" w:sz="8" w:space="0" w:color="auto"/>
              <w:right w:val="single" w:sz="8" w:space="0" w:color="000000"/>
            </w:tcBorders>
            <w:shd w:val="clear" w:color="auto" w:fill="EAF1DD"/>
            <w:vAlign w:val="center"/>
          </w:tcPr>
          <w:p w:rsidR="00D31F42" w:rsidRPr="005E020C" w:rsidRDefault="00D31F42">
            <w:pPr>
              <w:jc w:val="center"/>
              <w:rPr>
                <w:rFonts w:ascii="Calibri" w:hAnsi="Calibri" w:cs="Arial"/>
                <w:b/>
                <w:bCs/>
                <w:sz w:val="16"/>
                <w:szCs w:val="16"/>
              </w:rPr>
            </w:pPr>
            <w:r w:rsidRPr="005E020C">
              <w:rPr>
                <w:rFonts w:ascii="Calibri" w:hAnsi="Calibri" w:cs="Arial"/>
                <w:b/>
                <w:bCs/>
                <w:sz w:val="16"/>
                <w:szCs w:val="16"/>
              </w:rPr>
              <w:t>Section 3</w:t>
            </w:r>
          </w:p>
        </w:tc>
      </w:tr>
      <w:tr w:rsidR="00D31F42" w:rsidRPr="00074FC0" w:rsidTr="00DE3FCD">
        <w:trPr>
          <w:trHeight w:val="1303"/>
        </w:trPr>
        <w:tc>
          <w:tcPr>
            <w:tcW w:w="1440" w:type="dxa"/>
            <w:vMerge/>
            <w:tcBorders>
              <w:top w:val="single" w:sz="8" w:space="0" w:color="auto"/>
              <w:left w:val="single" w:sz="8" w:space="0" w:color="auto"/>
              <w:bottom w:val="single" w:sz="8" w:space="0" w:color="000000"/>
              <w:right w:val="single" w:sz="8" w:space="0" w:color="auto"/>
            </w:tcBorders>
            <w:shd w:val="clear" w:color="auto" w:fill="EAF1DD"/>
            <w:vAlign w:val="center"/>
          </w:tcPr>
          <w:p w:rsidR="00D31F42" w:rsidRPr="005E020C" w:rsidRDefault="00D31F42">
            <w:pPr>
              <w:rPr>
                <w:rFonts w:ascii="Calibri" w:hAnsi="Calibri" w:cs="Arial"/>
                <w:b/>
                <w:bCs/>
                <w:sz w:val="16"/>
                <w:szCs w:val="16"/>
              </w:rPr>
            </w:pPr>
          </w:p>
        </w:tc>
        <w:tc>
          <w:tcPr>
            <w:tcW w:w="2070" w:type="dxa"/>
            <w:tcBorders>
              <w:top w:val="nil"/>
              <w:left w:val="nil"/>
              <w:bottom w:val="single" w:sz="8" w:space="0" w:color="auto"/>
              <w:right w:val="single" w:sz="8" w:space="0" w:color="auto"/>
            </w:tcBorders>
            <w:shd w:val="clear" w:color="auto" w:fill="EAF1DD"/>
            <w:vAlign w:val="center"/>
          </w:tcPr>
          <w:p w:rsidR="00D31F42" w:rsidRPr="005E020C" w:rsidRDefault="00D31F42">
            <w:pPr>
              <w:jc w:val="center"/>
              <w:rPr>
                <w:rFonts w:ascii="Calibri" w:hAnsi="Calibri" w:cs="Arial"/>
                <w:b/>
                <w:bCs/>
                <w:sz w:val="16"/>
                <w:szCs w:val="16"/>
              </w:rPr>
            </w:pPr>
            <w:r w:rsidRPr="005E020C">
              <w:rPr>
                <w:rFonts w:ascii="Calibri" w:hAnsi="Calibri" w:cs="Arial"/>
                <w:b/>
                <w:bCs/>
                <w:sz w:val="16"/>
                <w:szCs w:val="16"/>
              </w:rPr>
              <w:t>Reported on the requirement that  all companies should have, at a minimum, an audit committee and a corporate</w:t>
            </w:r>
            <w:r w:rsidRPr="005E020C">
              <w:rPr>
                <w:rFonts w:ascii="Calibri" w:hAnsi="Calibri" w:cs="Arial"/>
                <w:b/>
                <w:bCs/>
                <w:sz w:val="16"/>
                <w:szCs w:val="16"/>
              </w:rPr>
              <w:br/>
              <w:t>governance committee</w:t>
            </w:r>
          </w:p>
        </w:tc>
        <w:tc>
          <w:tcPr>
            <w:tcW w:w="1350" w:type="dxa"/>
            <w:tcBorders>
              <w:top w:val="nil"/>
              <w:left w:val="nil"/>
              <w:bottom w:val="single" w:sz="8" w:space="0" w:color="auto"/>
              <w:right w:val="single" w:sz="8" w:space="0" w:color="auto"/>
            </w:tcBorders>
            <w:shd w:val="clear" w:color="auto" w:fill="EAF1DD"/>
            <w:vAlign w:val="center"/>
          </w:tcPr>
          <w:p w:rsidR="00D31F42" w:rsidRPr="005E020C" w:rsidRDefault="00D31F42">
            <w:pPr>
              <w:jc w:val="center"/>
              <w:rPr>
                <w:rFonts w:ascii="Calibri" w:hAnsi="Calibri" w:cs="Arial"/>
                <w:b/>
                <w:bCs/>
                <w:sz w:val="16"/>
                <w:szCs w:val="16"/>
              </w:rPr>
            </w:pPr>
            <w:r w:rsidRPr="005E020C">
              <w:rPr>
                <w:rFonts w:ascii="Calibri" w:hAnsi="Calibri" w:cs="Arial"/>
                <w:b/>
                <w:bCs/>
                <w:sz w:val="16"/>
                <w:szCs w:val="16"/>
              </w:rPr>
              <w:t>Explanations provided</w:t>
            </w:r>
          </w:p>
        </w:tc>
        <w:tc>
          <w:tcPr>
            <w:tcW w:w="1260" w:type="dxa"/>
            <w:tcBorders>
              <w:top w:val="nil"/>
              <w:left w:val="nil"/>
              <w:bottom w:val="single" w:sz="8" w:space="0" w:color="auto"/>
              <w:right w:val="single" w:sz="8" w:space="0" w:color="auto"/>
            </w:tcBorders>
            <w:shd w:val="clear" w:color="auto" w:fill="EAF1DD"/>
            <w:vAlign w:val="center"/>
          </w:tcPr>
          <w:p w:rsidR="00D31F42" w:rsidRPr="005E020C" w:rsidRDefault="00D31F42">
            <w:pPr>
              <w:jc w:val="center"/>
              <w:rPr>
                <w:rFonts w:ascii="Calibri" w:hAnsi="Calibri" w:cs="Arial"/>
                <w:b/>
                <w:bCs/>
                <w:sz w:val="16"/>
                <w:szCs w:val="16"/>
              </w:rPr>
            </w:pPr>
            <w:r w:rsidRPr="005E020C">
              <w:rPr>
                <w:rFonts w:ascii="Calibri" w:hAnsi="Calibri" w:cs="Arial"/>
                <w:b/>
                <w:bCs/>
                <w:sz w:val="16"/>
                <w:szCs w:val="16"/>
              </w:rPr>
              <w:t xml:space="preserve">Total </w:t>
            </w:r>
          </w:p>
        </w:tc>
      </w:tr>
      <w:tr w:rsidR="00D31F42" w:rsidRPr="00074FC0" w:rsidTr="00DE3FCD">
        <w:trPr>
          <w:trHeight w:val="412"/>
        </w:trPr>
        <w:tc>
          <w:tcPr>
            <w:tcW w:w="1440" w:type="dxa"/>
            <w:tcBorders>
              <w:top w:val="nil"/>
              <w:left w:val="single" w:sz="8" w:space="0" w:color="auto"/>
              <w:bottom w:val="single" w:sz="8" w:space="0" w:color="auto"/>
              <w:right w:val="single" w:sz="8" w:space="0" w:color="auto"/>
            </w:tcBorders>
            <w:noWrap/>
            <w:vAlign w:val="center"/>
          </w:tcPr>
          <w:p w:rsidR="00D31F42" w:rsidRPr="005E020C" w:rsidRDefault="00D31F42">
            <w:pPr>
              <w:jc w:val="both"/>
              <w:rPr>
                <w:rFonts w:ascii="Calibri" w:hAnsi="Calibri" w:cs="Arial"/>
                <w:sz w:val="18"/>
                <w:szCs w:val="18"/>
              </w:rPr>
            </w:pPr>
            <w:r w:rsidRPr="005E020C">
              <w:rPr>
                <w:rFonts w:ascii="Calibri" w:hAnsi="Calibri" w:cs="Arial"/>
                <w:sz w:val="18"/>
                <w:szCs w:val="18"/>
              </w:rPr>
              <w:t>Listed on SEM</w:t>
            </w:r>
          </w:p>
        </w:tc>
        <w:tc>
          <w:tcPr>
            <w:tcW w:w="2070" w:type="dxa"/>
            <w:tcBorders>
              <w:top w:val="nil"/>
              <w:left w:val="nil"/>
              <w:bottom w:val="single" w:sz="8" w:space="0" w:color="auto"/>
              <w:right w:val="single" w:sz="8" w:space="0" w:color="auto"/>
            </w:tcBorders>
            <w:noWrap/>
            <w:vAlign w:val="center"/>
          </w:tcPr>
          <w:p w:rsidR="00D31F42" w:rsidRPr="005E020C" w:rsidRDefault="00D31F42">
            <w:pPr>
              <w:jc w:val="center"/>
              <w:rPr>
                <w:rFonts w:ascii="Calibri" w:hAnsi="Calibri" w:cs="Arial"/>
                <w:sz w:val="18"/>
                <w:szCs w:val="18"/>
              </w:rPr>
            </w:pPr>
            <w:r w:rsidRPr="005E020C">
              <w:rPr>
                <w:rFonts w:ascii="Calibri" w:hAnsi="Calibri" w:cs="Arial"/>
                <w:sz w:val="18"/>
                <w:szCs w:val="18"/>
              </w:rPr>
              <w:t>3</w:t>
            </w:r>
          </w:p>
        </w:tc>
        <w:tc>
          <w:tcPr>
            <w:tcW w:w="1350" w:type="dxa"/>
            <w:tcBorders>
              <w:top w:val="nil"/>
              <w:left w:val="nil"/>
              <w:bottom w:val="single" w:sz="8" w:space="0" w:color="auto"/>
              <w:right w:val="single" w:sz="8" w:space="0" w:color="auto"/>
            </w:tcBorders>
            <w:noWrap/>
            <w:vAlign w:val="center"/>
          </w:tcPr>
          <w:p w:rsidR="00D31F42" w:rsidRPr="005E020C" w:rsidRDefault="00D31F42">
            <w:pPr>
              <w:jc w:val="center"/>
              <w:rPr>
                <w:rFonts w:ascii="Calibri" w:hAnsi="Calibri" w:cs="Arial"/>
                <w:sz w:val="18"/>
                <w:szCs w:val="18"/>
              </w:rPr>
            </w:pPr>
            <w:r w:rsidRPr="005E020C">
              <w:rPr>
                <w:rFonts w:ascii="Calibri" w:hAnsi="Calibri" w:cs="Arial"/>
                <w:sz w:val="18"/>
                <w:szCs w:val="18"/>
              </w:rPr>
              <w:t>2</w:t>
            </w:r>
          </w:p>
        </w:tc>
        <w:tc>
          <w:tcPr>
            <w:tcW w:w="1260" w:type="dxa"/>
            <w:tcBorders>
              <w:top w:val="nil"/>
              <w:left w:val="nil"/>
              <w:bottom w:val="single" w:sz="8" w:space="0" w:color="auto"/>
              <w:right w:val="single" w:sz="8" w:space="0" w:color="auto"/>
            </w:tcBorders>
            <w:noWrap/>
            <w:vAlign w:val="center"/>
          </w:tcPr>
          <w:p w:rsidR="00D31F42" w:rsidRPr="005E020C" w:rsidRDefault="00D31F42">
            <w:pPr>
              <w:jc w:val="center"/>
              <w:rPr>
                <w:rFonts w:ascii="Calibri" w:hAnsi="Calibri" w:cs="Arial"/>
                <w:b/>
                <w:bCs/>
                <w:sz w:val="18"/>
                <w:szCs w:val="18"/>
              </w:rPr>
            </w:pPr>
            <w:r w:rsidRPr="005E020C">
              <w:rPr>
                <w:rFonts w:ascii="Calibri" w:hAnsi="Calibri" w:cs="Arial"/>
                <w:b/>
                <w:bCs/>
                <w:sz w:val="18"/>
                <w:szCs w:val="18"/>
              </w:rPr>
              <w:t>5</w:t>
            </w:r>
          </w:p>
        </w:tc>
      </w:tr>
      <w:tr w:rsidR="00D31F42" w:rsidRPr="00074FC0" w:rsidTr="00DE3FCD">
        <w:trPr>
          <w:trHeight w:val="495"/>
        </w:trPr>
        <w:tc>
          <w:tcPr>
            <w:tcW w:w="1440" w:type="dxa"/>
            <w:tcBorders>
              <w:top w:val="nil"/>
              <w:left w:val="single" w:sz="8" w:space="0" w:color="auto"/>
              <w:bottom w:val="single" w:sz="8" w:space="0" w:color="auto"/>
              <w:right w:val="single" w:sz="8" w:space="0" w:color="auto"/>
            </w:tcBorders>
            <w:noWrap/>
            <w:vAlign w:val="center"/>
          </w:tcPr>
          <w:p w:rsidR="00D31F42" w:rsidRPr="005E020C" w:rsidRDefault="00D31F42">
            <w:pPr>
              <w:jc w:val="both"/>
              <w:rPr>
                <w:rFonts w:ascii="Calibri" w:hAnsi="Calibri" w:cs="Arial"/>
                <w:sz w:val="18"/>
                <w:szCs w:val="18"/>
              </w:rPr>
            </w:pPr>
            <w:r w:rsidRPr="005E020C">
              <w:rPr>
                <w:rFonts w:ascii="Calibri" w:hAnsi="Calibri" w:cs="Arial"/>
                <w:sz w:val="18"/>
                <w:szCs w:val="18"/>
              </w:rPr>
              <w:t>Regulated by BOM</w:t>
            </w:r>
          </w:p>
        </w:tc>
        <w:tc>
          <w:tcPr>
            <w:tcW w:w="2070" w:type="dxa"/>
            <w:tcBorders>
              <w:top w:val="nil"/>
              <w:left w:val="nil"/>
              <w:bottom w:val="single" w:sz="8" w:space="0" w:color="auto"/>
              <w:right w:val="single" w:sz="8" w:space="0" w:color="auto"/>
            </w:tcBorders>
            <w:noWrap/>
            <w:vAlign w:val="center"/>
          </w:tcPr>
          <w:p w:rsidR="00D31F42" w:rsidRPr="005E020C" w:rsidRDefault="00D31F42">
            <w:pPr>
              <w:jc w:val="center"/>
              <w:rPr>
                <w:rFonts w:ascii="Calibri" w:hAnsi="Calibri" w:cs="Arial"/>
                <w:sz w:val="18"/>
                <w:szCs w:val="18"/>
              </w:rPr>
            </w:pPr>
            <w:r w:rsidRPr="005E020C">
              <w:rPr>
                <w:rFonts w:ascii="Calibri" w:hAnsi="Calibri" w:cs="Arial"/>
                <w:sz w:val="18"/>
                <w:szCs w:val="18"/>
              </w:rPr>
              <w:t>1</w:t>
            </w:r>
          </w:p>
        </w:tc>
        <w:tc>
          <w:tcPr>
            <w:tcW w:w="1350" w:type="dxa"/>
            <w:tcBorders>
              <w:top w:val="nil"/>
              <w:left w:val="nil"/>
              <w:bottom w:val="single" w:sz="8" w:space="0" w:color="auto"/>
              <w:right w:val="single" w:sz="8" w:space="0" w:color="auto"/>
            </w:tcBorders>
            <w:noWrap/>
            <w:vAlign w:val="center"/>
          </w:tcPr>
          <w:p w:rsidR="00D31F42" w:rsidRPr="005E020C" w:rsidRDefault="00D31F42">
            <w:pPr>
              <w:jc w:val="center"/>
              <w:rPr>
                <w:rFonts w:ascii="Calibri" w:hAnsi="Calibri" w:cs="Arial"/>
                <w:sz w:val="18"/>
                <w:szCs w:val="18"/>
              </w:rPr>
            </w:pPr>
            <w:r w:rsidRPr="005E020C">
              <w:rPr>
                <w:rFonts w:ascii="Calibri" w:hAnsi="Calibri" w:cs="Arial"/>
                <w:sz w:val="18"/>
                <w:szCs w:val="18"/>
              </w:rPr>
              <w:t xml:space="preserve"> - </w:t>
            </w:r>
          </w:p>
        </w:tc>
        <w:tc>
          <w:tcPr>
            <w:tcW w:w="1260" w:type="dxa"/>
            <w:tcBorders>
              <w:top w:val="nil"/>
              <w:left w:val="nil"/>
              <w:bottom w:val="single" w:sz="8" w:space="0" w:color="auto"/>
              <w:right w:val="single" w:sz="8" w:space="0" w:color="auto"/>
            </w:tcBorders>
            <w:noWrap/>
            <w:vAlign w:val="center"/>
          </w:tcPr>
          <w:p w:rsidR="00D31F42" w:rsidRPr="005E020C" w:rsidRDefault="00D31F42">
            <w:pPr>
              <w:jc w:val="center"/>
              <w:rPr>
                <w:rFonts w:ascii="Calibri" w:hAnsi="Calibri" w:cs="Arial"/>
                <w:b/>
                <w:bCs/>
                <w:sz w:val="18"/>
                <w:szCs w:val="18"/>
              </w:rPr>
            </w:pPr>
            <w:r w:rsidRPr="005E020C">
              <w:rPr>
                <w:rFonts w:ascii="Calibri" w:hAnsi="Calibri" w:cs="Arial"/>
                <w:b/>
                <w:bCs/>
                <w:sz w:val="18"/>
                <w:szCs w:val="18"/>
              </w:rPr>
              <w:t>1</w:t>
            </w:r>
          </w:p>
        </w:tc>
      </w:tr>
      <w:tr w:rsidR="00D31F42" w:rsidRPr="00074FC0" w:rsidTr="00DE3FCD">
        <w:trPr>
          <w:trHeight w:val="547"/>
        </w:trPr>
        <w:tc>
          <w:tcPr>
            <w:tcW w:w="1440" w:type="dxa"/>
            <w:tcBorders>
              <w:top w:val="nil"/>
              <w:left w:val="single" w:sz="8" w:space="0" w:color="auto"/>
              <w:bottom w:val="single" w:sz="8" w:space="0" w:color="auto"/>
              <w:right w:val="single" w:sz="8" w:space="0" w:color="auto"/>
            </w:tcBorders>
            <w:noWrap/>
            <w:vAlign w:val="center"/>
          </w:tcPr>
          <w:p w:rsidR="00D31F42" w:rsidRPr="005E020C" w:rsidRDefault="00D31F42">
            <w:pPr>
              <w:jc w:val="both"/>
              <w:rPr>
                <w:rFonts w:ascii="Calibri" w:hAnsi="Calibri" w:cs="Arial"/>
                <w:sz w:val="18"/>
                <w:szCs w:val="18"/>
              </w:rPr>
            </w:pPr>
            <w:r w:rsidRPr="005E020C">
              <w:rPr>
                <w:rFonts w:ascii="Calibri" w:hAnsi="Calibri" w:cs="Arial"/>
                <w:sz w:val="18"/>
                <w:szCs w:val="18"/>
              </w:rPr>
              <w:t>Category 4 PIEs as per the FRA</w:t>
            </w:r>
          </w:p>
        </w:tc>
        <w:tc>
          <w:tcPr>
            <w:tcW w:w="2070" w:type="dxa"/>
            <w:tcBorders>
              <w:top w:val="nil"/>
              <w:left w:val="nil"/>
              <w:bottom w:val="single" w:sz="8" w:space="0" w:color="auto"/>
              <w:right w:val="single" w:sz="8" w:space="0" w:color="auto"/>
            </w:tcBorders>
            <w:noWrap/>
            <w:vAlign w:val="center"/>
          </w:tcPr>
          <w:p w:rsidR="00D31F42" w:rsidRPr="005E020C" w:rsidRDefault="00D31F42">
            <w:pPr>
              <w:jc w:val="center"/>
              <w:rPr>
                <w:rFonts w:ascii="Calibri" w:hAnsi="Calibri" w:cs="Arial"/>
                <w:sz w:val="18"/>
                <w:szCs w:val="18"/>
              </w:rPr>
            </w:pPr>
            <w:r w:rsidRPr="005E020C">
              <w:rPr>
                <w:rFonts w:ascii="Calibri" w:hAnsi="Calibri" w:cs="Arial"/>
                <w:sz w:val="18"/>
                <w:szCs w:val="18"/>
              </w:rPr>
              <w:t>1</w:t>
            </w:r>
          </w:p>
        </w:tc>
        <w:tc>
          <w:tcPr>
            <w:tcW w:w="1350" w:type="dxa"/>
            <w:tcBorders>
              <w:top w:val="nil"/>
              <w:left w:val="nil"/>
              <w:bottom w:val="single" w:sz="8" w:space="0" w:color="auto"/>
              <w:right w:val="single" w:sz="8" w:space="0" w:color="auto"/>
            </w:tcBorders>
            <w:noWrap/>
            <w:vAlign w:val="center"/>
          </w:tcPr>
          <w:p w:rsidR="00D31F42" w:rsidRPr="005E020C" w:rsidRDefault="00D31F42">
            <w:pPr>
              <w:jc w:val="center"/>
              <w:rPr>
                <w:rFonts w:ascii="Calibri" w:hAnsi="Calibri" w:cs="Arial"/>
                <w:sz w:val="18"/>
                <w:szCs w:val="18"/>
              </w:rPr>
            </w:pPr>
            <w:r w:rsidRPr="005E020C">
              <w:rPr>
                <w:rFonts w:ascii="Calibri" w:hAnsi="Calibri" w:cs="Arial"/>
                <w:sz w:val="18"/>
                <w:szCs w:val="18"/>
              </w:rPr>
              <w:t>3</w:t>
            </w:r>
          </w:p>
        </w:tc>
        <w:tc>
          <w:tcPr>
            <w:tcW w:w="1260" w:type="dxa"/>
            <w:tcBorders>
              <w:top w:val="nil"/>
              <w:left w:val="nil"/>
              <w:bottom w:val="single" w:sz="8" w:space="0" w:color="auto"/>
              <w:right w:val="single" w:sz="8" w:space="0" w:color="auto"/>
            </w:tcBorders>
            <w:noWrap/>
            <w:vAlign w:val="center"/>
          </w:tcPr>
          <w:p w:rsidR="00D31F42" w:rsidRPr="005E020C" w:rsidRDefault="00D31F42">
            <w:pPr>
              <w:jc w:val="center"/>
              <w:rPr>
                <w:rFonts w:ascii="Calibri" w:hAnsi="Calibri" w:cs="Arial"/>
                <w:b/>
                <w:bCs/>
                <w:sz w:val="18"/>
                <w:szCs w:val="18"/>
              </w:rPr>
            </w:pPr>
            <w:r w:rsidRPr="005E020C">
              <w:rPr>
                <w:rFonts w:ascii="Calibri" w:hAnsi="Calibri" w:cs="Arial"/>
                <w:b/>
                <w:bCs/>
                <w:sz w:val="18"/>
                <w:szCs w:val="18"/>
              </w:rPr>
              <w:t>4</w:t>
            </w:r>
          </w:p>
        </w:tc>
      </w:tr>
      <w:tr w:rsidR="00D31F42" w:rsidRPr="00074FC0" w:rsidTr="00DE3FCD">
        <w:trPr>
          <w:trHeight w:val="610"/>
        </w:trPr>
        <w:tc>
          <w:tcPr>
            <w:tcW w:w="1440" w:type="dxa"/>
            <w:tcBorders>
              <w:top w:val="nil"/>
              <w:left w:val="single" w:sz="8" w:space="0" w:color="auto"/>
              <w:bottom w:val="single" w:sz="8" w:space="0" w:color="auto"/>
              <w:right w:val="single" w:sz="8" w:space="0" w:color="auto"/>
            </w:tcBorders>
            <w:noWrap/>
            <w:vAlign w:val="center"/>
          </w:tcPr>
          <w:p w:rsidR="00D31F42" w:rsidRPr="005E020C" w:rsidRDefault="00DE3FCD">
            <w:pPr>
              <w:jc w:val="both"/>
              <w:rPr>
                <w:rFonts w:ascii="Calibri" w:hAnsi="Calibri" w:cs="Arial"/>
                <w:sz w:val="18"/>
                <w:szCs w:val="18"/>
              </w:rPr>
            </w:pPr>
            <w:r>
              <w:rPr>
                <w:rFonts w:ascii="Calibri" w:hAnsi="Calibri" w:cs="Arial"/>
                <w:sz w:val="18"/>
                <w:szCs w:val="18"/>
              </w:rPr>
              <w:t>SOEs</w:t>
            </w:r>
            <w:r w:rsidR="00D31F42" w:rsidRPr="005E020C">
              <w:rPr>
                <w:rFonts w:ascii="Calibri" w:hAnsi="Calibri" w:cs="Arial"/>
                <w:sz w:val="18"/>
                <w:szCs w:val="18"/>
              </w:rPr>
              <w:t xml:space="preserve"> as </w:t>
            </w:r>
            <w:r w:rsidR="004F5E3B">
              <w:rPr>
                <w:rFonts w:ascii="Calibri" w:hAnsi="Calibri" w:cs="Arial"/>
                <w:sz w:val="18"/>
                <w:szCs w:val="18"/>
              </w:rPr>
              <w:t xml:space="preserve">per the </w:t>
            </w:r>
            <w:r w:rsidR="00D31F42" w:rsidRPr="005E020C">
              <w:rPr>
                <w:rFonts w:ascii="Calibri" w:hAnsi="Calibri" w:cs="Arial"/>
                <w:sz w:val="18"/>
                <w:szCs w:val="18"/>
              </w:rPr>
              <w:t>First Schedule of FRA</w:t>
            </w:r>
          </w:p>
        </w:tc>
        <w:tc>
          <w:tcPr>
            <w:tcW w:w="2070" w:type="dxa"/>
            <w:tcBorders>
              <w:top w:val="nil"/>
              <w:left w:val="nil"/>
              <w:bottom w:val="single" w:sz="8" w:space="0" w:color="auto"/>
              <w:right w:val="single" w:sz="8" w:space="0" w:color="auto"/>
            </w:tcBorders>
            <w:noWrap/>
            <w:vAlign w:val="center"/>
          </w:tcPr>
          <w:p w:rsidR="00D31F42" w:rsidRPr="005E020C" w:rsidRDefault="00D31F42">
            <w:pPr>
              <w:jc w:val="center"/>
              <w:rPr>
                <w:rFonts w:ascii="Calibri" w:hAnsi="Calibri" w:cs="Arial"/>
                <w:sz w:val="18"/>
                <w:szCs w:val="18"/>
              </w:rPr>
            </w:pPr>
            <w:r w:rsidRPr="005E020C">
              <w:rPr>
                <w:rFonts w:ascii="Calibri" w:hAnsi="Calibri" w:cs="Arial"/>
                <w:sz w:val="18"/>
                <w:szCs w:val="18"/>
              </w:rPr>
              <w:t>2</w:t>
            </w:r>
          </w:p>
        </w:tc>
        <w:tc>
          <w:tcPr>
            <w:tcW w:w="1350" w:type="dxa"/>
            <w:tcBorders>
              <w:top w:val="nil"/>
              <w:left w:val="nil"/>
              <w:bottom w:val="single" w:sz="8" w:space="0" w:color="auto"/>
              <w:right w:val="single" w:sz="8" w:space="0" w:color="auto"/>
            </w:tcBorders>
            <w:noWrap/>
            <w:vAlign w:val="center"/>
          </w:tcPr>
          <w:p w:rsidR="00D31F42" w:rsidRPr="005E020C" w:rsidRDefault="00D31F42">
            <w:pPr>
              <w:jc w:val="center"/>
              <w:rPr>
                <w:rFonts w:ascii="Calibri" w:hAnsi="Calibri" w:cs="Arial"/>
                <w:sz w:val="18"/>
                <w:szCs w:val="18"/>
              </w:rPr>
            </w:pPr>
            <w:r w:rsidRPr="005E020C">
              <w:rPr>
                <w:rFonts w:ascii="Calibri" w:hAnsi="Calibri" w:cs="Arial"/>
                <w:sz w:val="18"/>
                <w:szCs w:val="18"/>
              </w:rPr>
              <w:t>1</w:t>
            </w:r>
          </w:p>
        </w:tc>
        <w:tc>
          <w:tcPr>
            <w:tcW w:w="1260" w:type="dxa"/>
            <w:tcBorders>
              <w:top w:val="nil"/>
              <w:left w:val="nil"/>
              <w:bottom w:val="single" w:sz="8" w:space="0" w:color="auto"/>
              <w:right w:val="single" w:sz="8" w:space="0" w:color="auto"/>
            </w:tcBorders>
            <w:noWrap/>
            <w:vAlign w:val="center"/>
          </w:tcPr>
          <w:p w:rsidR="00D31F42" w:rsidRPr="005E020C" w:rsidRDefault="00D31F42">
            <w:pPr>
              <w:jc w:val="center"/>
              <w:rPr>
                <w:rFonts w:ascii="Calibri" w:hAnsi="Calibri" w:cs="Arial"/>
                <w:b/>
                <w:bCs/>
                <w:sz w:val="18"/>
                <w:szCs w:val="18"/>
              </w:rPr>
            </w:pPr>
            <w:r w:rsidRPr="005E020C">
              <w:rPr>
                <w:rFonts w:ascii="Calibri" w:hAnsi="Calibri" w:cs="Arial"/>
                <w:b/>
                <w:bCs/>
                <w:sz w:val="18"/>
                <w:szCs w:val="18"/>
              </w:rPr>
              <w:t>3</w:t>
            </w:r>
          </w:p>
        </w:tc>
      </w:tr>
      <w:tr w:rsidR="00D31F42" w:rsidRPr="00074FC0" w:rsidTr="00DE3FCD">
        <w:trPr>
          <w:trHeight w:val="270"/>
        </w:trPr>
        <w:tc>
          <w:tcPr>
            <w:tcW w:w="1440" w:type="dxa"/>
            <w:tcBorders>
              <w:top w:val="nil"/>
              <w:left w:val="single" w:sz="8" w:space="0" w:color="auto"/>
              <w:bottom w:val="single" w:sz="8" w:space="0" w:color="auto"/>
              <w:right w:val="single" w:sz="8" w:space="0" w:color="auto"/>
            </w:tcBorders>
            <w:vAlign w:val="center"/>
          </w:tcPr>
          <w:p w:rsidR="00D31F42" w:rsidRPr="005E020C" w:rsidRDefault="00D31F42">
            <w:pPr>
              <w:jc w:val="both"/>
              <w:rPr>
                <w:rFonts w:ascii="Calibri" w:hAnsi="Calibri" w:cs="Arial"/>
                <w:b/>
                <w:bCs/>
                <w:sz w:val="18"/>
                <w:szCs w:val="18"/>
              </w:rPr>
            </w:pPr>
            <w:r w:rsidRPr="005E020C">
              <w:rPr>
                <w:rFonts w:ascii="Calibri" w:hAnsi="Calibri" w:cs="Arial"/>
                <w:b/>
                <w:bCs/>
                <w:sz w:val="18"/>
                <w:szCs w:val="18"/>
              </w:rPr>
              <w:t xml:space="preserve">Total </w:t>
            </w:r>
          </w:p>
        </w:tc>
        <w:tc>
          <w:tcPr>
            <w:tcW w:w="2070" w:type="dxa"/>
            <w:tcBorders>
              <w:top w:val="nil"/>
              <w:left w:val="nil"/>
              <w:bottom w:val="single" w:sz="8" w:space="0" w:color="auto"/>
              <w:right w:val="single" w:sz="8" w:space="0" w:color="auto"/>
            </w:tcBorders>
            <w:noWrap/>
            <w:vAlign w:val="center"/>
          </w:tcPr>
          <w:p w:rsidR="00D31F42" w:rsidRPr="005E020C" w:rsidRDefault="00D31F42">
            <w:pPr>
              <w:jc w:val="center"/>
              <w:rPr>
                <w:rFonts w:ascii="Calibri" w:hAnsi="Calibri" w:cs="Arial"/>
                <w:b/>
                <w:bCs/>
                <w:sz w:val="18"/>
                <w:szCs w:val="18"/>
              </w:rPr>
            </w:pPr>
            <w:r w:rsidRPr="005E020C">
              <w:rPr>
                <w:rFonts w:ascii="Calibri" w:hAnsi="Calibri" w:cs="Arial"/>
                <w:b/>
                <w:bCs/>
                <w:sz w:val="18"/>
                <w:szCs w:val="18"/>
              </w:rPr>
              <w:t>7</w:t>
            </w:r>
          </w:p>
        </w:tc>
        <w:tc>
          <w:tcPr>
            <w:tcW w:w="1350" w:type="dxa"/>
            <w:tcBorders>
              <w:top w:val="nil"/>
              <w:left w:val="nil"/>
              <w:bottom w:val="single" w:sz="8" w:space="0" w:color="auto"/>
              <w:right w:val="single" w:sz="8" w:space="0" w:color="auto"/>
            </w:tcBorders>
            <w:noWrap/>
            <w:vAlign w:val="center"/>
          </w:tcPr>
          <w:p w:rsidR="00D31F42" w:rsidRPr="005E020C" w:rsidRDefault="00D31F42">
            <w:pPr>
              <w:jc w:val="center"/>
              <w:rPr>
                <w:rFonts w:ascii="Calibri" w:hAnsi="Calibri" w:cs="Arial"/>
                <w:b/>
                <w:bCs/>
                <w:sz w:val="18"/>
                <w:szCs w:val="18"/>
              </w:rPr>
            </w:pPr>
            <w:r w:rsidRPr="005E020C">
              <w:rPr>
                <w:rFonts w:ascii="Calibri" w:hAnsi="Calibri" w:cs="Arial"/>
                <w:b/>
                <w:bCs/>
                <w:sz w:val="18"/>
                <w:szCs w:val="18"/>
              </w:rPr>
              <w:t>6</w:t>
            </w:r>
          </w:p>
        </w:tc>
        <w:tc>
          <w:tcPr>
            <w:tcW w:w="1260" w:type="dxa"/>
            <w:tcBorders>
              <w:top w:val="nil"/>
              <w:left w:val="nil"/>
              <w:bottom w:val="single" w:sz="8" w:space="0" w:color="auto"/>
              <w:right w:val="single" w:sz="8" w:space="0" w:color="auto"/>
            </w:tcBorders>
            <w:noWrap/>
            <w:vAlign w:val="center"/>
          </w:tcPr>
          <w:p w:rsidR="00D31F42" w:rsidRPr="005E020C" w:rsidRDefault="00D31F42">
            <w:pPr>
              <w:jc w:val="center"/>
              <w:rPr>
                <w:rFonts w:ascii="Calibri" w:hAnsi="Calibri" w:cs="Arial"/>
                <w:b/>
                <w:bCs/>
                <w:sz w:val="18"/>
                <w:szCs w:val="18"/>
              </w:rPr>
            </w:pPr>
            <w:r w:rsidRPr="005E020C">
              <w:rPr>
                <w:rFonts w:ascii="Calibri" w:hAnsi="Calibri" w:cs="Arial"/>
                <w:b/>
                <w:bCs/>
                <w:sz w:val="18"/>
                <w:szCs w:val="18"/>
              </w:rPr>
              <w:t>13</w:t>
            </w:r>
          </w:p>
        </w:tc>
      </w:tr>
    </w:tbl>
    <w:p w:rsidR="00D31F42" w:rsidRPr="00DE3FCD" w:rsidRDefault="00D31F42" w:rsidP="00AF309F">
      <w:pPr>
        <w:pStyle w:val="ListParagraph"/>
        <w:ind w:left="1620"/>
        <w:contextualSpacing/>
        <w:rPr>
          <w:rFonts w:ascii="Calibri" w:hAnsi="Calibri"/>
          <w:b/>
          <w:sz w:val="20"/>
          <w:highlight w:val="yellow"/>
        </w:rPr>
      </w:pPr>
    </w:p>
    <w:p w:rsidR="00D31F42" w:rsidRPr="005E020C" w:rsidRDefault="00D31F42" w:rsidP="00F7611C">
      <w:pPr>
        <w:pStyle w:val="ListParagraph"/>
        <w:numPr>
          <w:ilvl w:val="0"/>
          <w:numId w:val="6"/>
        </w:numPr>
        <w:tabs>
          <w:tab w:val="left" w:pos="1980"/>
        </w:tabs>
        <w:ind w:hanging="90"/>
        <w:contextualSpacing/>
        <w:rPr>
          <w:rFonts w:ascii="Calibri" w:hAnsi="Calibri"/>
        </w:rPr>
      </w:pPr>
      <w:r w:rsidRPr="005E020C">
        <w:rPr>
          <w:rFonts w:ascii="Calibri" w:hAnsi="Calibri"/>
        </w:rPr>
        <w:t>Risk management</w:t>
      </w:r>
    </w:p>
    <w:p w:rsidR="00D31F42" w:rsidRPr="00DE3FCD" w:rsidRDefault="00D31F42" w:rsidP="00844538">
      <w:pPr>
        <w:pStyle w:val="ListParagraph"/>
        <w:ind w:left="1800"/>
        <w:rPr>
          <w:rFonts w:ascii="Calibri" w:hAnsi="Calibri"/>
          <w:b/>
          <w:sz w:val="18"/>
        </w:rPr>
      </w:pPr>
    </w:p>
    <w:p w:rsidR="00D31F42" w:rsidRPr="005E020C" w:rsidRDefault="00D31F42" w:rsidP="00E41CF7">
      <w:pPr>
        <w:ind w:left="1980"/>
        <w:jc w:val="both"/>
        <w:rPr>
          <w:rFonts w:ascii="Calibri" w:hAnsi="Calibri"/>
        </w:rPr>
      </w:pPr>
      <w:r w:rsidRPr="005E020C">
        <w:rPr>
          <w:rFonts w:ascii="Calibri" w:hAnsi="Calibri"/>
        </w:rPr>
        <w:t xml:space="preserve">Risk management reduces the probability that the attainment of an organisation’s objectives are jeopardised by unforeseen events. It ensures that management is capable of identifying circumstances which represent an opportunity or can be turned to competitive advantage. The operation of controls and internal audit form part of the process of risk management  </w:t>
      </w:r>
    </w:p>
    <w:p w:rsidR="00D31F42" w:rsidRPr="00DE3FCD" w:rsidRDefault="00D31F42" w:rsidP="00E41CF7">
      <w:pPr>
        <w:ind w:left="1980"/>
        <w:jc w:val="both"/>
        <w:rPr>
          <w:rFonts w:ascii="Calibri" w:hAnsi="Calibri"/>
          <w:sz w:val="20"/>
        </w:rPr>
      </w:pPr>
    </w:p>
    <w:p w:rsidR="00D31F42" w:rsidRPr="005E020C" w:rsidRDefault="00D31F42" w:rsidP="00E41CF7">
      <w:pPr>
        <w:ind w:left="1980"/>
        <w:jc w:val="both"/>
        <w:rPr>
          <w:rFonts w:ascii="Calibri" w:hAnsi="Calibri"/>
        </w:rPr>
      </w:pPr>
      <w:r w:rsidRPr="005E020C">
        <w:rPr>
          <w:rFonts w:ascii="Calibri" w:hAnsi="Calibri"/>
        </w:rPr>
        <w:t>The table below shows details of the PIEs complying with this section of the code of corporate governance.</w:t>
      </w:r>
    </w:p>
    <w:p w:rsidR="00D31F42" w:rsidRPr="005E020C" w:rsidRDefault="00D31F42" w:rsidP="00E41CF7">
      <w:pPr>
        <w:ind w:left="1980"/>
        <w:jc w:val="both"/>
        <w:rPr>
          <w:rFonts w:ascii="Calibri" w:hAnsi="Calibri"/>
        </w:rPr>
      </w:pPr>
    </w:p>
    <w:tbl>
      <w:tblPr>
        <w:tblW w:w="6298" w:type="dxa"/>
        <w:tblInd w:w="2088" w:type="dxa"/>
        <w:tblLook w:val="00A0" w:firstRow="1" w:lastRow="0" w:firstColumn="1" w:lastColumn="0" w:noHBand="0" w:noVBand="0"/>
      </w:tblPr>
      <w:tblGrid>
        <w:gridCol w:w="1800"/>
        <w:gridCol w:w="1800"/>
        <w:gridCol w:w="1440"/>
        <w:gridCol w:w="1258"/>
      </w:tblGrid>
      <w:tr w:rsidR="00D31F42" w:rsidRPr="00074FC0" w:rsidTr="005E020C">
        <w:trPr>
          <w:trHeight w:val="270"/>
        </w:trPr>
        <w:tc>
          <w:tcPr>
            <w:tcW w:w="1800" w:type="dxa"/>
            <w:vMerge w:val="restart"/>
            <w:tcBorders>
              <w:top w:val="single" w:sz="8" w:space="0" w:color="auto"/>
              <w:left w:val="single" w:sz="8" w:space="0" w:color="auto"/>
              <w:bottom w:val="single" w:sz="8" w:space="0" w:color="000000"/>
              <w:right w:val="single" w:sz="8" w:space="0" w:color="auto"/>
            </w:tcBorders>
            <w:shd w:val="clear" w:color="auto" w:fill="EAF1DD"/>
            <w:noWrap/>
            <w:vAlign w:val="center"/>
          </w:tcPr>
          <w:p w:rsidR="00D31F42" w:rsidRPr="005E020C" w:rsidRDefault="00D31F42">
            <w:pPr>
              <w:jc w:val="center"/>
              <w:rPr>
                <w:rFonts w:ascii="Calibri" w:hAnsi="Calibri" w:cs="Arial"/>
                <w:b/>
                <w:bCs/>
                <w:sz w:val="16"/>
                <w:szCs w:val="16"/>
              </w:rPr>
            </w:pPr>
            <w:r w:rsidRPr="005E020C">
              <w:rPr>
                <w:rFonts w:ascii="Calibri" w:hAnsi="Calibri" w:cs="Arial"/>
                <w:b/>
                <w:bCs/>
                <w:sz w:val="16"/>
                <w:szCs w:val="16"/>
              </w:rPr>
              <w:t>PIEs</w:t>
            </w:r>
          </w:p>
        </w:tc>
        <w:tc>
          <w:tcPr>
            <w:tcW w:w="4498" w:type="dxa"/>
            <w:gridSpan w:val="3"/>
            <w:tcBorders>
              <w:top w:val="single" w:sz="8" w:space="0" w:color="auto"/>
              <w:left w:val="nil"/>
              <w:bottom w:val="single" w:sz="8" w:space="0" w:color="auto"/>
              <w:right w:val="single" w:sz="8" w:space="0" w:color="000000"/>
            </w:tcBorders>
            <w:shd w:val="clear" w:color="auto" w:fill="EAF1DD"/>
            <w:vAlign w:val="center"/>
          </w:tcPr>
          <w:p w:rsidR="00D31F42" w:rsidRPr="005E020C" w:rsidRDefault="00D31F42">
            <w:pPr>
              <w:jc w:val="center"/>
              <w:rPr>
                <w:rFonts w:ascii="Calibri" w:hAnsi="Calibri" w:cs="Arial"/>
                <w:b/>
                <w:bCs/>
                <w:sz w:val="16"/>
                <w:szCs w:val="16"/>
              </w:rPr>
            </w:pPr>
            <w:r w:rsidRPr="005E020C">
              <w:rPr>
                <w:rFonts w:ascii="Calibri" w:hAnsi="Calibri" w:cs="Arial"/>
                <w:b/>
                <w:bCs/>
                <w:sz w:val="16"/>
                <w:szCs w:val="16"/>
              </w:rPr>
              <w:t>Section 5.1.7</w:t>
            </w:r>
          </w:p>
        </w:tc>
      </w:tr>
      <w:tr w:rsidR="00D31F42" w:rsidRPr="00074FC0" w:rsidTr="00DE3FCD">
        <w:trPr>
          <w:trHeight w:val="1222"/>
        </w:trPr>
        <w:tc>
          <w:tcPr>
            <w:tcW w:w="1800" w:type="dxa"/>
            <w:vMerge/>
            <w:tcBorders>
              <w:top w:val="single" w:sz="8" w:space="0" w:color="auto"/>
              <w:left w:val="single" w:sz="8" w:space="0" w:color="auto"/>
              <w:bottom w:val="single" w:sz="8" w:space="0" w:color="000000"/>
              <w:right w:val="single" w:sz="8" w:space="0" w:color="auto"/>
            </w:tcBorders>
            <w:shd w:val="clear" w:color="auto" w:fill="EAF1DD"/>
            <w:vAlign w:val="center"/>
          </w:tcPr>
          <w:p w:rsidR="00D31F42" w:rsidRPr="005E020C" w:rsidRDefault="00D31F42">
            <w:pPr>
              <w:rPr>
                <w:rFonts w:ascii="Calibri" w:hAnsi="Calibri" w:cs="Arial"/>
                <w:b/>
                <w:bCs/>
                <w:sz w:val="16"/>
                <w:szCs w:val="16"/>
              </w:rPr>
            </w:pPr>
          </w:p>
        </w:tc>
        <w:tc>
          <w:tcPr>
            <w:tcW w:w="1800" w:type="dxa"/>
            <w:tcBorders>
              <w:top w:val="nil"/>
              <w:left w:val="nil"/>
              <w:bottom w:val="single" w:sz="8" w:space="0" w:color="auto"/>
              <w:right w:val="single" w:sz="8" w:space="0" w:color="auto"/>
            </w:tcBorders>
            <w:shd w:val="clear" w:color="auto" w:fill="EAF1DD"/>
            <w:vAlign w:val="center"/>
          </w:tcPr>
          <w:p w:rsidR="00D31F42" w:rsidRPr="005E020C" w:rsidRDefault="00D31F42">
            <w:pPr>
              <w:jc w:val="center"/>
              <w:rPr>
                <w:rFonts w:ascii="Calibri" w:hAnsi="Calibri" w:cs="Arial"/>
                <w:b/>
                <w:bCs/>
                <w:sz w:val="16"/>
                <w:szCs w:val="16"/>
              </w:rPr>
            </w:pPr>
            <w:r w:rsidRPr="005E020C">
              <w:rPr>
                <w:rFonts w:ascii="Calibri" w:hAnsi="Calibri" w:cs="Arial"/>
                <w:b/>
                <w:bCs/>
                <w:sz w:val="16"/>
                <w:szCs w:val="16"/>
              </w:rPr>
              <w:t xml:space="preserve">Reported on the requirement of risk consideration and management in key risk areas </w:t>
            </w:r>
          </w:p>
        </w:tc>
        <w:tc>
          <w:tcPr>
            <w:tcW w:w="1440" w:type="dxa"/>
            <w:tcBorders>
              <w:top w:val="nil"/>
              <w:left w:val="nil"/>
              <w:bottom w:val="single" w:sz="8" w:space="0" w:color="auto"/>
              <w:right w:val="single" w:sz="8" w:space="0" w:color="auto"/>
            </w:tcBorders>
            <w:shd w:val="clear" w:color="auto" w:fill="EAF1DD"/>
            <w:vAlign w:val="center"/>
          </w:tcPr>
          <w:p w:rsidR="00D31F42" w:rsidRPr="005E020C" w:rsidRDefault="00D31F42">
            <w:pPr>
              <w:jc w:val="center"/>
              <w:rPr>
                <w:rFonts w:ascii="Calibri" w:hAnsi="Calibri" w:cs="Arial"/>
                <w:b/>
                <w:bCs/>
                <w:sz w:val="16"/>
                <w:szCs w:val="16"/>
              </w:rPr>
            </w:pPr>
            <w:r w:rsidRPr="005E020C">
              <w:rPr>
                <w:rFonts w:ascii="Calibri" w:hAnsi="Calibri" w:cs="Arial"/>
                <w:b/>
                <w:bCs/>
                <w:sz w:val="16"/>
                <w:szCs w:val="16"/>
              </w:rPr>
              <w:t xml:space="preserve">Not Reported on the requirement of risk consideration and management in key risk areas </w:t>
            </w:r>
          </w:p>
        </w:tc>
        <w:tc>
          <w:tcPr>
            <w:tcW w:w="1258" w:type="dxa"/>
            <w:tcBorders>
              <w:top w:val="nil"/>
              <w:left w:val="nil"/>
              <w:bottom w:val="single" w:sz="8" w:space="0" w:color="auto"/>
              <w:right w:val="single" w:sz="8" w:space="0" w:color="auto"/>
            </w:tcBorders>
            <w:shd w:val="clear" w:color="auto" w:fill="EAF1DD"/>
            <w:vAlign w:val="center"/>
          </w:tcPr>
          <w:p w:rsidR="00D31F42" w:rsidRPr="005E020C" w:rsidRDefault="00D31F42">
            <w:pPr>
              <w:jc w:val="center"/>
              <w:rPr>
                <w:rFonts w:ascii="Calibri" w:hAnsi="Calibri" w:cs="Arial"/>
                <w:b/>
                <w:bCs/>
                <w:sz w:val="16"/>
                <w:szCs w:val="16"/>
              </w:rPr>
            </w:pPr>
            <w:r w:rsidRPr="005E020C">
              <w:rPr>
                <w:rFonts w:ascii="Calibri" w:hAnsi="Calibri" w:cs="Arial"/>
                <w:b/>
                <w:bCs/>
                <w:sz w:val="16"/>
                <w:szCs w:val="16"/>
              </w:rPr>
              <w:t xml:space="preserve">Total </w:t>
            </w:r>
          </w:p>
        </w:tc>
      </w:tr>
      <w:tr w:rsidR="00D31F42" w:rsidRPr="00074FC0" w:rsidTr="00E41CF7">
        <w:trPr>
          <w:trHeight w:val="495"/>
        </w:trPr>
        <w:tc>
          <w:tcPr>
            <w:tcW w:w="1800" w:type="dxa"/>
            <w:tcBorders>
              <w:top w:val="nil"/>
              <w:left w:val="single" w:sz="8" w:space="0" w:color="auto"/>
              <w:bottom w:val="single" w:sz="8" w:space="0" w:color="auto"/>
              <w:right w:val="single" w:sz="8" w:space="0" w:color="auto"/>
            </w:tcBorders>
            <w:noWrap/>
            <w:vAlign w:val="center"/>
          </w:tcPr>
          <w:p w:rsidR="00D31F42" w:rsidRPr="005E020C" w:rsidRDefault="00D31F42">
            <w:pPr>
              <w:jc w:val="both"/>
              <w:rPr>
                <w:rFonts w:ascii="Calibri" w:hAnsi="Calibri" w:cs="Arial"/>
                <w:sz w:val="18"/>
                <w:szCs w:val="18"/>
              </w:rPr>
            </w:pPr>
            <w:r w:rsidRPr="005E020C">
              <w:rPr>
                <w:rFonts w:ascii="Calibri" w:hAnsi="Calibri" w:cs="Arial"/>
                <w:sz w:val="18"/>
                <w:szCs w:val="18"/>
              </w:rPr>
              <w:t>Listed on SEM</w:t>
            </w:r>
          </w:p>
        </w:tc>
        <w:tc>
          <w:tcPr>
            <w:tcW w:w="1800" w:type="dxa"/>
            <w:tcBorders>
              <w:top w:val="nil"/>
              <w:left w:val="nil"/>
              <w:bottom w:val="single" w:sz="8" w:space="0" w:color="auto"/>
              <w:right w:val="single" w:sz="8" w:space="0" w:color="auto"/>
            </w:tcBorders>
            <w:noWrap/>
            <w:vAlign w:val="center"/>
          </w:tcPr>
          <w:p w:rsidR="00D31F42" w:rsidRPr="005E020C" w:rsidRDefault="00D31F42">
            <w:pPr>
              <w:jc w:val="center"/>
              <w:rPr>
                <w:rFonts w:ascii="Calibri" w:hAnsi="Calibri" w:cs="Arial"/>
                <w:sz w:val="18"/>
                <w:szCs w:val="18"/>
              </w:rPr>
            </w:pPr>
            <w:r w:rsidRPr="005E020C">
              <w:rPr>
                <w:rFonts w:ascii="Calibri" w:hAnsi="Calibri" w:cs="Arial"/>
                <w:sz w:val="18"/>
                <w:szCs w:val="18"/>
              </w:rPr>
              <w:t>4</w:t>
            </w:r>
          </w:p>
        </w:tc>
        <w:tc>
          <w:tcPr>
            <w:tcW w:w="1440" w:type="dxa"/>
            <w:tcBorders>
              <w:top w:val="nil"/>
              <w:left w:val="nil"/>
              <w:bottom w:val="single" w:sz="8" w:space="0" w:color="auto"/>
              <w:right w:val="single" w:sz="8" w:space="0" w:color="auto"/>
            </w:tcBorders>
            <w:noWrap/>
            <w:vAlign w:val="center"/>
          </w:tcPr>
          <w:p w:rsidR="00D31F42" w:rsidRPr="005E020C" w:rsidRDefault="00D31F42">
            <w:pPr>
              <w:jc w:val="center"/>
              <w:rPr>
                <w:rFonts w:ascii="Calibri" w:hAnsi="Calibri" w:cs="Arial"/>
                <w:sz w:val="18"/>
                <w:szCs w:val="18"/>
              </w:rPr>
            </w:pPr>
            <w:r w:rsidRPr="005E020C">
              <w:rPr>
                <w:rFonts w:ascii="Calibri" w:hAnsi="Calibri" w:cs="Arial"/>
                <w:sz w:val="18"/>
                <w:szCs w:val="18"/>
              </w:rPr>
              <w:t>1</w:t>
            </w:r>
          </w:p>
        </w:tc>
        <w:tc>
          <w:tcPr>
            <w:tcW w:w="1258" w:type="dxa"/>
            <w:tcBorders>
              <w:top w:val="nil"/>
              <w:left w:val="nil"/>
              <w:bottom w:val="single" w:sz="8" w:space="0" w:color="auto"/>
              <w:right w:val="single" w:sz="8" w:space="0" w:color="auto"/>
            </w:tcBorders>
            <w:noWrap/>
            <w:vAlign w:val="center"/>
          </w:tcPr>
          <w:p w:rsidR="00D31F42" w:rsidRPr="005E020C" w:rsidRDefault="00D31F42">
            <w:pPr>
              <w:jc w:val="center"/>
              <w:rPr>
                <w:rFonts w:ascii="Calibri" w:hAnsi="Calibri" w:cs="Arial"/>
                <w:b/>
                <w:bCs/>
                <w:sz w:val="18"/>
                <w:szCs w:val="18"/>
              </w:rPr>
            </w:pPr>
            <w:r w:rsidRPr="005E020C">
              <w:rPr>
                <w:rFonts w:ascii="Calibri" w:hAnsi="Calibri" w:cs="Arial"/>
                <w:b/>
                <w:bCs/>
                <w:sz w:val="18"/>
                <w:szCs w:val="18"/>
              </w:rPr>
              <w:t>5</w:t>
            </w:r>
          </w:p>
        </w:tc>
      </w:tr>
      <w:tr w:rsidR="00D31F42" w:rsidRPr="00074FC0" w:rsidTr="00E41CF7">
        <w:trPr>
          <w:trHeight w:val="495"/>
        </w:trPr>
        <w:tc>
          <w:tcPr>
            <w:tcW w:w="1800" w:type="dxa"/>
            <w:tcBorders>
              <w:top w:val="nil"/>
              <w:left w:val="single" w:sz="8" w:space="0" w:color="auto"/>
              <w:bottom w:val="single" w:sz="8" w:space="0" w:color="auto"/>
              <w:right w:val="single" w:sz="8" w:space="0" w:color="auto"/>
            </w:tcBorders>
            <w:noWrap/>
            <w:vAlign w:val="center"/>
          </w:tcPr>
          <w:p w:rsidR="00D31F42" w:rsidRPr="005E020C" w:rsidRDefault="00D31F42">
            <w:pPr>
              <w:jc w:val="both"/>
              <w:rPr>
                <w:rFonts w:ascii="Calibri" w:hAnsi="Calibri" w:cs="Arial"/>
                <w:sz w:val="18"/>
                <w:szCs w:val="18"/>
              </w:rPr>
            </w:pPr>
            <w:r w:rsidRPr="005E020C">
              <w:rPr>
                <w:rFonts w:ascii="Calibri" w:hAnsi="Calibri" w:cs="Arial"/>
                <w:sz w:val="18"/>
                <w:szCs w:val="18"/>
              </w:rPr>
              <w:t>Regulated by BOM</w:t>
            </w:r>
          </w:p>
        </w:tc>
        <w:tc>
          <w:tcPr>
            <w:tcW w:w="1800" w:type="dxa"/>
            <w:tcBorders>
              <w:top w:val="nil"/>
              <w:left w:val="nil"/>
              <w:bottom w:val="single" w:sz="8" w:space="0" w:color="auto"/>
              <w:right w:val="single" w:sz="8" w:space="0" w:color="auto"/>
            </w:tcBorders>
            <w:noWrap/>
            <w:vAlign w:val="center"/>
          </w:tcPr>
          <w:p w:rsidR="00D31F42" w:rsidRPr="005E020C" w:rsidRDefault="00D31F42">
            <w:pPr>
              <w:jc w:val="center"/>
              <w:rPr>
                <w:rFonts w:ascii="Calibri" w:hAnsi="Calibri" w:cs="Arial"/>
                <w:sz w:val="18"/>
                <w:szCs w:val="18"/>
              </w:rPr>
            </w:pPr>
            <w:r w:rsidRPr="005E020C">
              <w:rPr>
                <w:rFonts w:ascii="Calibri" w:hAnsi="Calibri" w:cs="Arial"/>
                <w:sz w:val="18"/>
                <w:szCs w:val="18"/>
              </w:rPr>
              <w:t>1</w:t>
            </w:r>
          </w:p>
        </w:tc>
        <w:tc>
          <w:tcPr>
            <w:tcW w:w="1440" w:type="dxa"/>
            <w:tcBorders>
              <w:top w:val="nil"/>
              <w:left w:val="nil"/>
              <w:bottom w:val="single" w:sz="8" w:space="0" w:color="auto"/>
              <w:right w:val="single" w:sz="8" w:space="0" w:color="auto"/>
            </w:tcBorders>
            <w:noWrap/>
            <w:vAlign w:val="center"/>
          </w:tcPr>
          <w:p w:rsidR="00D31F42" w:rsidRPr="005E020C" w:rsidRDefault="00D31F42">
            <w:pPr>
              <w:jc w:val="center"/>
              <w:rPr>
                <w:rFonts w:ascii="Calibri" w:hAnsi="Calibri" w:cs="Arial"/>
                <w:sz w:val="18"/>
                <w:szCs w:val="18"/>
              </w:rPr>
            </w:pPr>
            <w:r w:rsidRPr="005E020C">
              <w:rPr>
                <w:rFonts w:ascii="Calibri" w:hAnsi="Calibri" w:cs="Arial"/>
                <w:sz w:val="18"/>
                <w:szCs w:val="18"/>
              </w:rPr>
              <w:t>-</w:t>
            </w:r>
          </w:p>
        </w:tc>
        <w:tc>
          <w:tcPr>
            <w:tcW w:w="1258" w:type="dxa"/>
            <w:tcBorders>
              <w:top w:val="nil"/>
              <w:left w:val="nil"/>
              <w:bottom w:val="single" w:sz="8" w:space="0" w:color="auto"/>
              <w:right w:val="single" w:sz="8" w:space="0" w:color="auto"/>
            </w:tcBorders>
            <w:noWrap/>
            <w:vAlign w:val="center"/>
          </w:tcPr>
          <w:p w:rsidR="00D31F42" w:rsidRPr="005E020C" w:rsidRDefault="00D31F42">
            <w:pPr>
              <w:jc w:val="center"/>
              <w:rPr>
                <w:rFonts w:ascii="Calibri" w:hAnsi="Calibri" w:cs="Arial"/>
                <w:b/>
                <w:bCs/>
                <w:sz w:val="18"/>
                <w:szCs w:val="18"/>
              </w:rPr>
            </w:pPr>
            <w:r w:rsidRPr="005E020C">
              <w:rPr>
                <w:rFonts w:ascii="Calibri" w:hAnsi="Calibri" w:cs="Arial"/>
                <w:b/>
                <w:bCs/>
                <w:sz w:val="18"/>
                <w:szCs w:val="18"/>
              </w:rPr>
              <w:t>1</w:t>
            </w:r>
          </w:p>
        </w:tc>
      </w:tr>
      <w:tr w:rsidR="00D31F42" w:rsidRPr="00074FC0" w:rsidTr="00E41CF7">
        <w:trPr>
          <w:trHeight w:val="547"/>
        </w:trPr>
        <w:tc>
          <w:tcPr>
            <w:tcW w:w="1800" w:type="dxa"/>
            <w:tcBorders>
              <w:top w:val="nil"/>
              <w:left w:val="single" w:sz="8" w:space="0" w:color="auto"/>
              <w:bottom w:val="single" w:sz="8" w:space="0" w:color="auto"/>
              <w:right w:val="single" w:sz="8" w:space="0" w:color="auto"/>
            </w:tcBorders>
            <w:noWrap/>
            <w:vAlign w:val="center"/>
          </w:tcPr>
          <w:p w:rsidR="00D31F42" w:rsidRPr="005E020C" w:rsidRDefault="00D31F42">
            <w:pPr>
              <w:jc w:val="both"/>
              <w:rPr>
                <w:rFonts w:ascii="Calibri" w:hAnsi="Calibri" w:cs="Arial"/>
                <w:sz w:val="18"/>
                <w:szCs w:val="18"/>
              </w:rPr>
            </w:pPr>
            <w:r w:rsidRPr="005E020C">
              <w:rPr>
                <w:rFonts w:ascii="Calibri" w:hAnsi="Calibri" w:cs="Arial"/>
                <w:sz w:val="18"/>
                <w:szCs w:val="18"/>
              </w:rPr>
              <w:t>Category 4 PIEs as per the FRA</w:t>
            </w:r>
          </w:p>
        </w:tc>
        <w:tc>
          <w:tcPr>
            <w:tcW w:w="1800" w:type="dxa"/>
            <w:tcBorders>
              <w:top w:val="nil"/>
              <w:left w:val="nil"/>
              <w:bottom w:val="single" w:sz="8" w:space="0" w:color="auto"/>
              <w:right w:val="single" w:sz="8" w:space="0" w:color="auto"/>
            </w:tcBorders>
            <w:noWrap/>
            <w:vAlign w:val="center"/>
          </w:tcPr>
          <w:p w:rsidR="00D31F42" w:rsidRPr="005E020C" w:rsidRDefault="00D31F42">
            <w:pPr>
              <w:jc w:val="center"/>
              <w:rPr>
                <w:rFonts w:ascii="Calibri" w:hAnsi="Calibri" w:cs="Arial"/>
                <w:sz w:val="18"/>
                <w:szCs w:val="18"/>
              </w:rPr>
            </w:pPr>
            <w:r w:rsidRPr="005E020C">
              <w:rPr>
                <w:rFonts w:ascii="Calibri" w:hAnsi="Calibri" w:cs="Arial"/>
                <w:sz w:val="18"/>
                <w:szCs w:val="18"/>
              </w:rPr>
              <w:t>3</w:t>
            </w:r>
          </w:p>
        </w:tc>
        <w:tc>
          <w:tcPr>
            <w:tcW w:w="1440" w:type="dxa"/>
            <w:tcBorders>
              <w:top w:val="nil"/>
              <w:left w:val="nil"/>
              <w:bottom w:val="single" w:sz="8" w:space="0" w:color="auto"/>
              <w:right w:val="single" w:sz="8" w:space="0" w:color="auto"/>
            </w:tcBorders>
            <w:noWrap/>
            <w:vAlign w:val="center"/>
          </w:tcPr>
          <w:p w:rsidR="00D31F42" w:rsidRPr="005E020C" w:rsidRDefault="00D31F42">
            <w:pPr>
              <w:jc w:val="center"/>
              <w:rPr>
                <w:rFonts w:ascii="Calibri" w:hAnsi="Calibri" w:cs="Arial"/>
                <w:sz w:val="18"/>
                <w:szCs w:val="18"/>
              </w:rPr>
            </w:pPr>
            <w:r w:rsidRPr="005E020C">
              <w:rPr>
                <w:rFonts w:ascii="Calibri" w:hAnsi="Calibri" w:cs="Arial"/>
                <w:sz w:val="18"/>
                <w:szCs w:val="18"/>
              </w:rPr>
              <w:t>1</w:t>
            </w:r>
          </w:p>
        </w:tc>
        <w:tc>
          <w:tcPr>
            <w:tcW w:w="1258" w:type="dxa"/>
            <w:tcBorders>
              <w:top w:val="nil"/>
              <w:left w:val="nil"/>
              <w:bottom w:val="single" w:sz="8" w:space="0" w:color="auto"/>
              <w:right w:val="single" w:sz="8" w:space="0" w:color="auto"/>
            </w:tcBorders>
            <w:noWrap/>
            <w:vAlign w:val="center"/>
          </w:tcPr>
          <w:p w:rsidR="00D31F42" w:rsidRPr="005E020C" w:rsidRDefault="00D31F42">
            <w:pPr>
              <w:jc w:val="center"/>
              <w:rPr>
                <w:rFonts w:ascii="Calibri" w:hAnsi="Calibri" w:cs="Arial"/>
                <w:b/>
                <w:bCs/>
                <w:sz w:val="18"/>
                <w:szCs w:val="18"/>
              </w:rPr>
            </w:pPr>
            <w:r w:rsidRPr="005E020C">
              <w:rPr>
                <w:rFonts w:ascii="Calibri" w:hAnsi="Calibri" w:cs="Arial"/>
                <w:b/>
                <w:bCs/>
                <w:sz w:val="18"/>
                <w:szCs w:val="18"/>
              </w:rPr>
              <w:t>4</w:t>
            </w:r>
          </w:p>
        </w:tc>
      </w:tr>
      <w:tr w:rsidR="00D31F42" w:rsidRPr="00074FC0" w:rsidTr="00E41CF7">
        <w:trPr>
          <w:trHeight w:val="520"/>
        </w:trPr>
        <w:tc>
          <w:tcPr>
            <w:tcW w:w="1800" w:type="dxa"/>
            <w:tcBorders>
              <w:top w:val="nil"/>
              <w:left w:val="single" w:sz="8" w:space="0" w:color="auto"/>
              <w:bottom w:val="single" w:sz="8" w:space="0" w:color="auto"/>
              <w:right w:val="single" w:sz="8" w:space="0" w:color="auto"/>
            </w:tcBorders>
            <w:noWrap/>
            <w:vAlign w:val="center"/>
          </w:tcPr>
          <w:p w:rsidR="00D31F42" w:rsidRPr="005E020C" w:rsidRDefault="00DE3FCD">
            <w:pPr>
              <w:jc w:val="both"/>
              <w:rPr>
                <w:rFonts w:ascii="Calibri" w:hAnsi="Calibri" w:cs="Arial"/>
                <w:sz w:val="18"/>
                <w:szCs w:val="18"/>
              </w:rPr>
            </w:pPr>
            <w:r>
              <w:rPr>
                <w:rFonts w:ascii="Calibri" w:hAnsi="Calibri" w:cs="Arial"/>
                <w:sz w:val="18"/>
                <w:szCs w:val="18"/>
              </w:rPr>
              <w:t>SOEs</w:t>
            </w:r>
            <w:r w:rsidR="00D31F42" w:rsidRPr="005E020C">
              <w:rPr>
                <w:rFonts w:ascii="Calibri" w:hAnsi="Calibri" w:cs="Arial"/>
                <w:sz w:val="18"/>
                <w:szCs w:val="18"/>
              </w:rPr>
              <w:t xml:space="preserve"> as </w:t>
            </w:r>
            <w:r w:rsidR="004F5E3B">
              <w:rPr>
                <w:rFonts w:ascii="Calibri" w:hAnsi="Calibri" w:cs="Arial"/>
                <w:sz w:val="18"/>
                <w:szCs w:val="18"/>
              </w:rPr>
              <w:t xml:space="preserve">per the </w:t>
            </w:r>
            <w:r w:rsidR="00D31F42" w:rsidRPr="005E020C">
              <w:rPr>
                <w:rFonts w:ascii="Calibri" w:hAnsi="Calibri" w:cs="Arial"/>
                <w:sz w:val="18"/>
                <w:szCs w:val="18"/>
              </w:rPr>
              <w:t>First Schedule of FRA</w:t>
            </w:r>
          </w:p>
        </w:tc>
        <w:tc>
          <w:tcPr>
            <w:tcW w:w="1800" w:type="dxa"/>
            <w:tcBorders>
              <w:top w:val="nil"/>
              <w:left w:val="nil"/>
              <w:bottom w:val="single" w:sz="8" w:space="0" w:color="auto"/>
              <w:right w:val="single" w:sz="8" w:space="0" w:color="auto"/>
            </w:tcBorders>
            <w:noWrap/>
            <w:vAlign w:val="center"/>
          </w:tcPr>
          <w:p w:rsidR="00D31F42" w:rsidRPr="005E020C" w:rsidRDefault="00D31F42">
            <w:pPr>
              <w:jc w:val="center"/>
              <w:rPr>
                <w:rFonts w:ascii="Calibri" w:hAnsi="Calibri" w:cs="Arial"/>
                <w:sz w:val="18"/>
                <w:szCs w:val="18"/>
              </w:rPr>
            </w:pPr>
            <w:r w:rsidRPr="005E020C">
              <w:rPr>
                <w:rFonts w:ascii="Calibri" w:hAnsi="Calibri" w:cs="Arial"/>
                <w:sz w:val="18"/>
                <w:szCs w:val="18"/>
              </w:rPr>
              <w:t>1</w:t>
            </w:r>
          </w:p>
        </w:tc>
        <w:tc>
          <w:tcPr>
            <w:tcW w:w="1440" w:type="dxa"/>
            <w:tcBorders>
              <w:top w:val="nil"/>
              <w:left w:val="nil"/>
              <w:bottom w:val="single" w:sz="8" w:space="0" w:color="auto"/>
              <w:right w:val="single" w:sz="8" w:space="0" w:color="auto"/>
            </w:tcBorders>
            <w:noWrap/>
            <w:vAlign w:val="center"/>
          </w:tcPr>
          <w:p w:rsidR="00D31F42" w:rsidRPr="005E020C" w:rsidRDefault="00D31F42">
            <w:pPr>
              <w:jc w:val="center"/>
              <w:rPr>
                <w:rFonts w:ascii="Calibri" w:hAnsi="Calibri" w:cs="Arial"/>
                <w:sz w:val="18"/>
                <w:szCs w:val="18"/>
              </w:rPr>
            </w:pPr>
            <w:r w:rsidRPr="005E020C">
              <w:rPr>
                <w:rFonts w:ascii="Calibri" w:hAnsi="Calibri" w:cs="Arial"/>
                <w:sz w:val="18"/>
                <w:szCs w:val="18"/>
              </w:rPr>
              <w:t>2</w:t>
            </w:r>
          </w:p>
        </w:tc>
        <w:tc>
          <w:tcPr>
            <w:tcW w:w="1258" w:type="dxa"/>
            <w:tcBorders>
              <w:top w:val="nil"/>
              <w:left w:val="nil"/>
              <w:bottom w:val="single" w:sz="8" w:space="0" w:color="auto"/>
              <w:right w:val="single" w:sz="8" w:space="0" w:color="auto"/>
            </w:tcBorders>
            <w:noWrap/>
            <w:vAlign w:val="center"/>
          </w:tcPr>
          <w:p w:rsidR="00D31F42" w:rsidRPr="005E020C" w:rsidRDefault="00D31F42">
            <w:pPr>
              <w:jc w:val="center"/>
              <w:rPr>
                <w:rFonts w:ascii="Calibri" w:hAnsi="Calibri" w:cs="Arial"/>
                <w:b/>
                <w:bCs/>
                <w:sz w:val="18"/>
                <w:szCs w:val="18"/>
              </w:rPr>
            </w:pPr>
            <w:r w:rsidRPr="005E020C">
              <w:rPr>
                <w:rFonts w:ascii="Calibri" w:hAnsi="Calibri" w:cs="Arial"/>
                <w:b/>
                <w:bCs/>
                <w:sz w:val="18"/>
                <w:szCs w:val="18"/>
              </w:rPr>
              <w:t>3</w:t>
            </w:r>
          </w:p>
        </w:tc>
      </w:tr>
      <w:tr w:rsidR="00D31F42" w:rsidRPr="00074FC0" w:rsidTr="00E41CF7">
        <w:trPr>
          <w:trHeight w:val="270"/>
        </w:trPr>
        <w:tc>
          <w:tcPr>
            <w:tcW w:w="1800" w:type="dxa"/>
            <w:tcBorders>
              <w:top w:val="nil"/>
              <w:left w:val="single" w:sz="8" w:space="0" w:color="auto"/>
              <w:bottom w:val="single" w:sz="8" w:space="0" w:color="auto"/>
              <w:right w:val="single" w:sz="8" w:space="0" w:color="auto"/>
            </w:tcBorders>
            <w:vAlign w:val="center"/>
          </w:tcPr>
          <w:p w:rsidR="00D31F42" w:rsidRPr="005E020C" w:rsidRDefault="00D31F42">
            <w:pPr>
              <w:jc w:val="both"/>
              <w:rPr>
                <w:rFonts w:ascii="Calibri" w:hAnsi="Calibri" w:cs="Arial"/>
                <w:b/>
                <w:bCs/>
                <w:sz w:val="18"/>
                <w:szCs w:val="18"/>
              </w:rPr>
            </w:pPr>
            <w:r w:rsidRPr="005E020C">
              <w:rPr>
                <w:rFonts w:ascii="Calibri" w:hAnsi="Calibri" w:cs="Arial"/>
                <w:b/>
                <w:bCs/>
                <w:sz w:val="18"/>
                <w:szCs w:val="18"/>
              </w:rPr>
              <w:t xml:space="preserve">Total </w:t>
            </w:r>
          </w:p>
        </w:tc>
        <w:tc>
          <w:tcPr>
            <w:tcW w:w="1800" w:type="dxa"/>
            <w:tcBorders>
              <w:top w:val="nil"/>
              <w:left w:val="nil"/>
              <w:bottom w:val="single" w:sz="8" w:space="0" w:color="auto"/>
              <w:right w:val="single" w:sz="8" w:space="0" w:color="auto"/>
            </w:tcBorders>
            <w:noWrap/>
            <w:vAlign w:val="center"/>
          </w:tcPr>
          <w:p w:rsidR="00D31F42" w:rsidRPr="005E020C" w:rsidRDefault="00D31F42">
            <w:pPr>
              <w:jc w:val="center"/>
              <w:rPr>
                <w:rFonts w:ascii="Calibri" w:hAnsi="Calibri" w:cs="Arial"/>
                <w:b/>
                <w:bCs/>
                <w:sz w:val="18"/>
                <w:szCs w:val="18"/>
              </w:rPr>
            </w:pPr>
            <w:r w:rsidRPr="005E020C">
              <w:rPr>
                <w:rFonts w:ascii="Calibri" w:hAnsi="Calibri" w:cs="Arial"/>
                <w:b/>
                <w:bCs/>
                <w:sz w:val="18"/>
                <w:szCs w:val="18"/>
              </w:rPr>
              <w:t>9</w:t>
            </w:r>
          </w:p>
        </w:tc>
        <w:tc>
          <w:tcPr>
            <w:tcW w:w="1440" w:type="dxa"/>
            <w:tcBorders>
              <w:top w:val="nil"/>
              <w:left w:val="nil"/>
              <w:bottom w:val="single" w:sz="8" w:space="0" w:color="auto"/>
              <w:right w:val="single" w:sz="8" w:space="0" w:color="auto"/>
            </w:tcBorders>
            <w:noWrap/>
            <w:vAlign w:val="center"/>
          </w:tcPr>
          <w:p w:rsidR="00D31F42" w:rsidRPr="005E020C" w:rsidRDefault="00D31F42">
            <w:pPr>
              <w:jc w:val="center"/>
              <w:rPr>
                <w:rFonts w:ascii="Calibri" w:hAnsi="Calibri" w:cs="Arial"/>
                <w:b/>
                <w:bCs/>
                <w:sz w:val="18"/>
                <w:szCs w:val="18"/>
              </w:rPr>
            </w:pPr>
            <w:r w:rsidRPr="005E020C">
              <w:rPr>
                <w:rFonts w:ascii="Calibri" w:hAnsi="Calibri" w:cs="Arial"/>
                <w:b/>
                <w:bCs/>
                <w:sz w:val="18"/>
                <w:szCs w:val="18"/>
              </w:rPr>
              <w:t>4</w:t>
            </w:r>
          </w:p>
        </w:tc>
        <w:tc>
          <w:tcPr>
            <w:tcW w:w="1258" w:type="dxa"/>
            <w:tcBorders>
              <w:top w:val="nil"/>
              <w:left w:val="nil"/>
              <w:bottom w:val="single" w:sz="8" w:space="0" w:color="auto"/>
              <w:right w:val="single" w:sz="8" w:space="0" w:color="auto"/>
            </w:tcBorders>
            <w:noWrap/>
            <w:vAlign w:val="center"/>
          </w:tcPr>
          <w:p w:rsidR="00D31F42" w:rsidRPr="005E020C" w:rsidRDefault="00D31F42">
            <w:pPr>
              <w:jc w:val="center"/>
              <w:rPr>
                <w:rFonts w:ascii="Calibri" w:hAnsi="Calibri" w:cs="Arial"/>
                <w:b/>
                <w:bCs/>
                <w:sz w:val="18"/>
                <w:szCs w:val="18"/>
              </w:rPr>
            </w:pPr>
            <w:r w:rsidRPr="005E020C">
              <w:rPr>
                <w:rFonts w:ascii="Calibri" w:hAnsi="Calibri" w:cs="Arial"/>
                <w:b/>
                <w:bCs/>
                <w:sz w:val="18"/>
                <w:szCs w:val="18"/>
              </w:rPr>
              <w:t>13</w:t>
            </w:r>
          </w:p>
        </w:tc>
      </w:tr>
    </w:tbl>
    <w:p w:rsidR="00D31F42" w:rsidRPr="005E020C" w:rsidRDefault="00D31F42" w:rsidP="00E41CF7">
      <w:pPr>
        <w:ind w:left="1980"/>
        <w:jc w:val="both"/>
        <w:rPr>
          <w:rFonts w:ascii="Calibri" w:hAnsi="Calibri"/>
        </w:rPr>
      </w:pPr>
      <w:r w:rsidRPr="005E020C">
        <w:rPr>
          <w:rFonts w:ascii="Calibri" w:hAnsi="Calibri"/>
        </w:rPr>
        <w:lastRenderedPageBreak/>
        <w:t xml:space="preserve">As shown in the table above, FRC noted that 4 out of the 13 PIEs reviewed, had not reported on consideration and management of key risks. </w:t>
      </w:r>
    </w:p>
    <w:p w:rsidR="00D31F42" w:rsidRPr="005E020C" w:rsidRDefault="00D31F42" w:rsidP="00844538">
      <w:pPr>
        <w:tabs>
          <w:tab w:val="left" w:pos="2715"/>
        </w:tabs>
        <w:ind w:left="1800"/>
        <w:jc w:val="both"/>
        <w:rPr>
          <w:rFonts w:ascii="Calibri" w:hAnsi="Calibri"/>
        </w:rPr>
      </w:pPr>
      <w:r w:rsidRPr="005E020C">
        <w:rPr>
          <w:rFonts w:ascii="Calibri" w:hAnsi="Calibri"/>
        </w:rPr>
        <w:tab/>
      </w:r>
    </w:p>
    <w:p w:rsidR="00D31F42" w:rsidRPr="005E020C" w:rsidRDefault="00D31F42" w:rsidP="00F7611C">
      <w:pPr>
        <w:pStyle w:val="ListParagraph"/>
        <w:numPr>
          <w:ilvl w:val="0"/>
          <w:numId w:val="6"/>
        </w:numPr>
        <w:tabs>
          <w:tab w:val="left" w:pos="1980"/>
        </w:tabs>
        <w:ind w:hanging="90"/>
        <w:contextualSpacing/>
        <w:rPr>
          <w:rFonts w:ascii="Calibri" w:hAnsi="Calibri"/>
        </w:rPr>
      </w:pPr>
      <w:r w:rsidRPr="005E020C">
        <w:rPr>
          <w:rFonts w:ascii="Calibri" w:hAnsi="Calibri"/>
        </w:rPr>
        <w:t>Internal controls</w:t>
      </w:r>
    </w:p>
    <w:p w:rsidR="00D31F42" w:rsidRPr="005E020C" w:rsidRDefault="00D31F42" w:rsidP="008D6865">
      <w:pPr>
        <w:pStyle w:val="ListParagraph"/>
        <w:ind w:left="0"/>
        <w:contextualSpacing/>
        <w:rPr>
          <w:rFonts w:ascii="Calibri" w:hAnsi="Calibri"/>
          <w:b/>
        </w:rPr>
      </w:pPr>
    </w:p>
    <w:p w:rsidR="00D31F42" w:rsidRPr="005E020C" w:rsidRDefault="00D31F42" w:rsidP="00E41CF7">
      <w:pPr>
        <w:autoSpaceDE w:val="0"/>
        <w:autoSpaceDN w:val="0"/>
        <w:adjustRightInd w:val="0"/>
        <w:ind w:left="1980"/>
        <w:jc w:val="both"/>
        <w:rPr>
          <w:rFonts w:ascii="Calibri" w:hAnsi="Calibri"/>
        </w:rPr>
      </w:pPr>
      <w:r w:rsidRPr="005E020C">
        <w:rPr>
          <w:rFonts w:ascii="Calibri" w:hAnsi="Calibri"/>
        </w:rPr>
        <w:t>An effective internal control system ensures that the processes and systems used by the entity is operating effectively. It enables the board of director to report any lack of, or breach of internal controls and any unethical or irregular behaviour concerning the company. It also provides assurance that the system manages risk in the manner approved by the board.</w:t>
      </w:r>
    </w:p>
    <w:p w:rsidR="00D31F42" w:rsidRPr="005E020C" w:rsidRDefault="00D31F42" w:rsidP="00E41CF7">
      <w:pPr>
        <w:autoSpaceDE w:val="0"/>
        <w:autoSpaceDN w:val="0"/>
        <w:adjustRightInd w:val="0"/>
        <w:ind w:left="1980"/>
        <w:jc w:val="both"/>
        <w:rPr>
          <w:rFonts w:ascii="Calibri" w:hAnsi="Calibri"/>
        </w:rPr>
      </w:pPr>
    </w:p>
    <w:p w:rsidR="00D31F42" w:rsidRPr="005E020C" w:rsidRDefault="00D31F42" w:rsidP="00E41CF7">
      <w:pPr>
        <w:ind w:left="1980"/>
        <w:jc w:val="both"/>
        <w:rPr>
          <w:rFonts w:ascii="Calibri" w:hAnsi="Calibri"/>
        </w:rPr>
      </w:pPr>
      <w:r w:rsidRPr="005E020C">
        <w:rPr>
          <w:rFonts w:ascii="Calibri" w:hAnsi="Calibri"/>
        </w:rPr>
        <w:t>The table below illustrates the level of the PIEs’ compliance with this section of the code of corporate governance.</w:t>
      </w:r>
    </w:p>
    <w:p w:rsidR="00D31F42" w:rsidRPr="005E020C" w:rsidRDefault="00D31F42" w:rsidP="005F05D4">
      <w:pPr>
        <w:ind w:left="2160"/>
        <w:jc w:val="both"/>
        <w:rPr>
          <w:rFonts w:ascii="Calibri" w:hAnsi="Calibri"/>
        </w:rPr>
      </w:pPr>
    </w:p>
    <w:tbl>
      <w:tblPr>
        <w:tblW w:w="6210" w:type="dxa"/>
        <w:tblInd w:w="2088" w:type="dxa"/>
        <w:tblLook w:val="00A0" w:firstRow="1" w:lastRow="0" w:firstColumn="1" w:lastColumn="0" w:noHBand="0" w:noVBand="0"/>
      </w:tblPr>
      <w:tblGrid>
        <w:gridCol w:w="1791"/>
        <w:gridCol w:w="1629"/>
        <w:gridCol w:w="1710"/>
        <w:gridCol w:w="1080"/>
      </w:tblGrid>
      <w:tr w:rsidR="00D31F42" w:rsidRPr="00074FC0" w:rsidTr="004A0958">
        <w:trPr>
          <w:trHeight w:val="1187"/>
        </w:trPr>
        <w:tc>
          <w:tcPr>
            <w:tcW w:w="1791" w:type="dxa"/>
            <w:tcBorders>
              <w:top w:val="single" w:sz="4" w:space="0" w:color="auto"/>
              <w:left w:val="single" w:sz="8" w:space="0" w:color="auto"/>
              <w:bottom w:val="single" w:sz="8" w:space="0" w:color="000000"/>
              <w:right w:val="single" w:sz="8" w:space="0" w:color="auto"/>
            </w:tcBorders>
            <w:shd w:val="clear" w:color="auto" w:fill="EAF1DD"/>
            <w:vAlign w:val="center"/>
          </w:tcPr>
          <w:p w:rsidR="00D31F42" w:rsidRPr="005E020C" w:rsidRDefault="00D31F42" w:rsidP="00516610">
            <w:pPr>
              <w:jc w:val="center"/>
              <w:rPr>
                <w:rFonts w:ascii="Calibri" w:hAnsi="Calibri" w:cs="Arial"/>
                <w:b/>
                <w:bCs/>
                <w:sz w:val="16"/>
                <w:szCs w:val="16"/>
              </w:rPr>
            </w:pPr>
            <w:r w:rsidRPr="005E020C">
              <w:rPr>
                <w:rFonts w:ascii="Calibri" w:hAnsi="Calibri" w:cs="Arial"/>
                <w:b/>
                <w:bCs/>
                <w:sz w:val="16"/>
                <w:szCs w:val="16"/>
              </w:rPr>
              <w:t>PIEs</w:t>
            </w:r>
          </w:p>
        </w:tc>
        <w:tc>
          <w:tcPr>
            <w:tcW w:w="1629" w:type="dxa"/>
            <w:tcBorders>
              <w:top w:val="single" w:sz="4" w:space="0" w:color="auto"/>
              <w:left w:val="nil"/>
              <w:bottom w:val="single" w:sz="8" w:space="0" w:color="auto"/>
              <w:right w:val="single" w:sz="8" w:space="0" w:color="auto"/>
            </w:tcBorders>
            <w:shd w:val="clear" w:color="auto" w:fill="EAF1DD"/>
            <w:vAlign w:val="center"/>
          </w:tcPr>
          <w:p w:rsidR="00D31F42" w:rsidRPr="005E020C" w:rsidRDefault="00D31F42" w:rsidP="00516610">
            <w:pPr>
              <w:jc w:val="center"/>
              <w:rPr>
                <w:rFonts w:ascii="Calibri" w:hAnsi="Calibri" w:cs="Arial"/>
                <w:b/>
                <w:bCs/>
                <w:sz w:val="16"/>
                <w:szCs w:val="16"/>
              </w:rPr>
            </w:pPr>
            <w:r w:rsidRPr="005E020C">
              <w:rPr>
                <w:rFonts w:ascii="Calibri" w:hAnsi="Calibri" w:cs="Arial"/>
                <w:b/>
                <w:bCs/>
                <w:sz w:val="16"/>
                <w:szCs w:val="16"/>
              </w:rPr>
              <w:t xml:space="preserve">Reported on the methods by which the directors' responsibilities for internal control </w:t>
            </w:r>
          </w:p>
        </w:tc>
        <w:tc>
          <w:tcPr>
            <w:tcW w:w="1710" w:type="dxa"/>
            <w:tcBorders>
              <w:top w:val="single" w:sz="4" w:space="0" w:color="auto"/>
              <w:left w:val="nil"/>
              <w:bottom w:val="single" w:sz="8" w:space="0" w:color="auto"/>
              <w:right w:val="single" w:sz="8" w:space="0" w:color="auto"/>
            </w:tcBorders>
            <w:shd w:val="clear" w:color="auto" w:fill="EAF1DD"/>
            <w:vAlign w:val="center"/>
          </w:tcPr>
          <w:p w:rsidR="00D31F42" w:rsidRPr="005E020C" w:rsidRDefault="00D31F42">
            <w:pPr>
              <w:jc w:val="center"/>
              <w:rPr>
                <w:rFonts w:ascii="Calibri" w:hAnsi="Calibri" w:cs="Arial"/>
                <w:b/>
                <w:bCs/>
                <w:sz w:val="16"/>
                <w:szCs w:val="16"/>
              </w:rPr>
            </w:pPr>
            <w:r w:rsidRPr="005E020C">
              <w:rPr>
                <w:rFonts w:ascii="Calibri" w:hAnsi="Calibri" w:cs="Arial"/>
                <w:b/>
                <w:bCs/>
                <w:sz w:val="16"/>
                <w:szCs w:val="16"/>
              </w:rPr>
              <w:t>Not Reported on the methods by which the directors' responsibilities for internal control has been disclosed</w:t>
            </w:r>
          </w:p>
        </w:tc>
        <w:tc>
          <w:tcPr>
            <w:tcW w:w="1080" w:type="dxa"/>
            <w:tcBorders>
              <w:top w:val="single" w:sz="4" w:space="0" w:color="auto"/>
              <w:left w:val="nil"/>
              <w:bottom w:val="single" w:sz="8" w:space="0" w:color="auto"/>
              <w:right w:val="single" w:sz="8" w:space="0" w:color="auto"/>
            </w:tcBorders>
            <w:shd w:val="clear" w:color="auto" w:fill="EAF1DD"/>
            <w:vAlign w:val="center"/>
          </w:tcPr>
          <w:p w:rsidR="00D31F42" w:rsidRPr="005E020C" w:rsidRDefault="00D31F42">
            <w:pPr>
              <w:jc w:val="center"/>
              <w:rPr>
                <w:rFonts w:ascii="Calibri" w:hAnsi="Calibri" w:cs="Arial"/>
                <w:b/>
                <w:bCs/>
                <w:sz w:val="16"/>
                <w:szCs w:val="16"/>
              </w:rPr>
            </w:pPr>
            <w:r w:rsidRPr="005E020C">
              <w:rPr>
                <w:rFonts w:ascii="Calibri" w:hAnsi="Calibri" w:cs="Arial"/>
                <w:b/>
                <w:bCs/>
                <w:sz w:val="16"/>
                <w:szCs w:val="16"/>
              </w:rPr>
              <w:t xml:space="preserve">Total </w:t>
            </w:r>
          </w:p>
        </w:tc>
      </w:tr>
      <w:tr w:rsidR="00D31F42" w:rsidRPr="00074FC0" w:rsidTr="004A0958">
        <w:trPr>
          <w:trHeight w:val="439"/>
        </w:trPr>
        <w:tc>
          <w:tcPr>
            <w:tcW w:w="1791" w:type="dxa"/>
            <w:tcBorders>
              <w:top w:val="nil"/>
              <w:left w:val="single" w:sz="8" w:space="0" w:color="auto"/>
              <w:bottom w:val="single" w:sz="8" w:space="0" w:color="auto"/>
              <w:right w:val="single" w:sz="8" w:space="0" w:color="auto"/>
            </w:tcBorders>
            <w:noWrap/>
            <w:vAlign w:val="center"/>
          </w:tcPr>
          <w:p w:rsidR="00D31F42" w:rsidRPr="005E020C" w:rsidRDefault="00D31F42">
            <w:pPr>
              <w:jc w:val="both"/>
              <w:rPr>
                <w:rFonts w:ascii="Calibri" w:hAnsi="Calibri" w:cs="Arial"/>
                <w:sz w:val="18"/>
                <w:szCs w:val="18"/>
              </w:rPr>
            </w:pPr>
            <w:r w:rsidRPr="005E020C">
              <w:rPr>
                <w:rFonts w:ascii="Calibri" w:hAnsi="Calibri" w:cs="Arial"/>
                <w:sz w:val="18"/>
                <w:szCs w:val="18"/>
              </w:rPr>
              <w:t>Listed on SEM</w:t>
            </w:r>
          </w:p>
        </w:tc>
        <w:tc>
          <w:tcPr>
            <w:tcW w:w="1629" w:type="dxa"/>
            <w:tcBorders>
              <w:top w:val="nil"/>
              <w:left w:val="nil"/>
              <w:bottom w:val="single" w:sz="8" w:space="0" w:color="auto"/>
              <w:right w:val="single" w:sz="8" w:space="0" w:color="auto"/>
            </w:tcBorders>
            <w:noWrap/>
            <w:vAlign w:val="center"/>
          </w:tcPr>
          <w:p w:rsidR="00D31F42" w:rsidRPr="005E020C" w:rsidRDefault="00D31F42">
            <w:pPr>
              <w:jc w:val="center"/>
              <w:rPr>
                <w:rFonts w:ascii="Calibri" w:hAnsi="Calibri" w:cs="Arial"/>
                <w:sz w:val="18"/>
                <w:szCs w:val="18"/>
              </w:rPr>
            </w:pPr>
            <w:r w:rsidRPr="005E020C">
              <w:rPr>
                <w:rFonts w:ascii="Calibri" w:hAnsi="Calibri" w:cs="Arial"/>
                <w:sz w:val="18"/>
                <w:szCs w:val="18"/>
              </w:rPr>
              <w:t>4</w:t>
            </w:r>
          </w:p>
        </w:tc>
        <w:tc>
          <w:tcPr>
            <w:tcW w:w="1710" w:type="dxa"/>
            <w:tcBorders>
              <w:top w:val="nil"/>
              <w:left w:val="nil"/>
              <w:bottom w:val="single" w:sz="8" w:space="0" w:color="auto"/>
              <w:right w:val="single" w:sz="8" w:space="0" w:color="auto"/>
            </w:tcBorders>
            <w:noWrap/>
            <w:vAlign w:val="center"/>
          </w:tcPr>
          <w:p w:rsidR="00D31F42" w:rsidRPr="005E020C" w:rsidRDefault="00D31F42">
            <w:pPr>
              <w:jc w:val="center"/>
              <w:rPr>
                <w:rFonts w:ascii="Calibri" w:hAnsi="Calibri" w:cs="Arial"/>
                <w:sz w:val="18"/>
                <w:szCs w:val="18"/>
              </w:rPr>
            </w:pPr>
            <w:r w:rsidRPr="005E020C">
              <w:rPr>
                <w:rFonts w:ascii="Calibri" w:hAnsi="Calibri" w:cs="Arial"/>
                <w:sz w:val="18"/>
                <w:szCs w:val="18"/>
              </w:rPr>
              <w:t>1</w:t>
            </w:r>
          </w:p>
        </w:tc>
        <w:tc>
          <w:tcPr>
            <w:tcW w:w="1080" w:type="dxa"/>
            <w:tcBorders>
              <w:top w:val="nil"/>
              <w:left w:val="nil"/>
              <w:bottom w:val="single" w:sz="8" w:space="0" w:color="auto"/>
              <w:right w:val="single" w:sz="8" w:space="0" w:color="auto"/>
            </w:tcBorders>
            <w:vAlign w:val="center"/>
          </w:tcPr>
          <w:p w:rsidR="00D31F42" w:rsidRPr="005E020C" w:rsidRDefault="00D31F42">
            <w:pPr>
              <w:jc w:val="center"/>
              <w:rPr>
                <w:rFonts w:ascii="Calibri" w:hAnsi="Calibri" w:cs="Arial"/>
                <w:b/>
                <w:bCs/>
                <w:sz w:val="18"/>
                <w:szCs w:val="18"/>
              </w:rPr>
            </w:pPr>
            <w:r w:rsidRPr="005E020C">
              <w:rPr>
                <w:rFonts w:ascii="Calibri" w:hAnsi="Calibri" w:cs="Arial"/>
                <w:b/>
                <w:bCs/>
                <w:sz w:val="18"/>
                <w:szCs w:val="18"/>
              </w:rPr>
              <w:t>5</w:t>
            </w:r>
          </w:p>
        </w:tc>
      </w:tr>
      <w:tr w:rsidR="00D31F42" w:rsidRPr="00074FC0" w:rsidTr="004A0958">
        <w:trPr>
          <w:trHeight w:val="439"/>
        </w:trPr>
        <w:tc>
          <w:tcPr>
            <w:tcW w:w="1791" w:type="dxa"/>
            <w:tcBorders>
              <w:top w:val="nil"/>
              <w:left w:val="single" w:sz="8" w:space="0" w:color="auto"/>
              <w:bottom w:val="single" w:sz="8" w:space="0" w:color="auto"/>
              <w:right w:val="single" w:sz="8" w:space="0" w:color="auto"/>
            </w:tcBorders>
            <w:noWrap/>
            <w:vAlign w:val="center"/>
          </w:tcPr>
          <w:p w:rsidR="00D31F42" w:rsidRPr="005E020C" w:rsidRDefault="00D31F42">
            <w:pPr>
              <w:jc w:val="both"/>
              <w:rPr>
                <w:rFonts w:ascii="Calibri" w:hAnsi="Calibri" w:cs="Arial"/>
                <w:sz w:val="18"/>
                <w:szCs w:val="18"/>
              </w:rPr>
            </w:pPr>
            <w:r w:rsidRPr="005E020C">
              <w:rPr>
                <w:rFonts w:ascii="Calibri" w:hAnsi="Calibri" w:cs="Arial"/>
                <w:sz w:val="18"/>
                <w:szCs w:val="18"/>
              </w:rPr>
              <w:t>Regulated by BOM</w:t>
            </w:r>
          </w:p>
        </w:tc>
        <w:tc>
          <w:tcPr>
            <w:tcW w:w="1629" w:type="dxa"/>
            <w:tcBorders>
              <w:top w:val="nil"/>
              <w:left w:val="nil"/>
              <w:bottom w:val="single" w:sz="8" w:space="0" w:color="auto"/>
              <w:right w:val="single" w:sz="8" w:space="0" w:color="auto"/>
            </w:tcBorders>
            <w:noWrap/>
            <w:vAlign w:val="center"/>
          </w:tcPr>
          <w:p w:rsidR="00D31F42" w:rsidRPr="005E020C" w:rsidRDefault="00D31F42">
            <w:pPr>
              <w:jc w:val="center"/>
              <w:rPr>
                <w:rFonts w:ascii="Calibri" w:hAnsi="Calibri" w:cs="Arial"/>
                <w:sz w:val="18"/>
                <w:szCs w:val="18"/>
              </w:rPr>
            </w:pPr>
            <w:r w:rsidRPr="005E020C">
              <w:rPr>
                <w:rFonts w:ascii="Calibri" w:hAnsi="Calibri" w:cs="Arial"/>
                <w:sz w:val="18"/>
                <w:szCs w:val="18"/>
              </w:rPr>
              <w:t>1</w:t>
            </w:r>
          </w:p>
        </w:tc>
        <w:tc>
          <w:tcPr>
            <w:tcW w:w="1710" w:type="dxa"/>
            <w:tcBorders>
              <w:top w:val="nil"/>
              <w:left w:val="nil"/>
              <w:bottom w:val="single" w:sz="8" w:space="0" w:color="auto"/>
              <w:right w:val="single" w:sz="8" w:space="0" w:color="auto"/>
            </w:tcBorders>
            <w:noWrap/>
            <w:vAlign w:val="center"/>
          </w:tcPr>
          <w:p w:rsidR="00D31F42" w:rsidRPr="005E020C" w:rsidRDefault="00D31F42">
            <w:pPr>
              <w:jc w:val="center"/>
              <w:rPr>
                <w:rFonts w:ascii="Calibri" w:hAnsi="Calibri" w:cs="Arial"/>
                <w:sz w:val="18"/>
                <w:szCs w:val="18"/>
              </w:rPr>
            </w:pPr>
            <w:r w:rsidRPr="005E020C">
              <w:rPr>
                <w:rFonts w:ascii="Calibri" w:hAnsi="Calibri" w:cs="Arial"/>
                <w:sz w:val="18"/>
                <w:szCs w:val="18"/>
              </w:rPr>
              <w:t>-</w:t>
            </w:r>
          </w:p>
        </w:tc>
        <w:tc>
          <w:tcPr>
            <w:tcW w:w="1080" w:type="dxa"/>
            <w:tcBorders>
              <w:top w:val="nil"/>
              <w:left w:val="nil"/>
              <w:bottom w:val="single" w:sz="8" w:space="0" w:color="auto"/>
              <w:right w:val="single" w:sz="8" w:space="0" w:color="auto"/>
            </w:tcBorders>
            <w:vAlign w:val="center"/>
          </w:tcPr>
          <w:p w:rsidR="00D31F42" w:rsidRPr="005E020C" w:rsidRDefault="00D31F42">
            <w:pPr>
              <w:jc w:val="center"/>
              <w:rPr>
                <w:rFonts w:ascii="Calibri" w:hAnsi="Calibri" w:cs="Arial"/>
                <w:b/>
                <w:bCs/>
                <w:sz w:val="18"/>
                <w:szCs w:val="18"/>
              </w:rPr>
            </w:pPr>
            <w:r w:rsidRPr="005E020C">
              <w:rPr>
                <w:rFonts w:ascii="Calibri" w:hAnsi="Calibri" w:cs="Arial"/>
                <w:b/>
                <w:bCs/>
                <w:sz w:val="18"/>
                <w:szCs w:val="18"/>
              </w:rPr>
              <w:t>1</w:t>
            </w:r>
          </w:p>
        </w:tc>
      </w:tr>
      <w:tr w:rsidR="00D31F42" w:rsidRPr="00074FC0" w:rsidTr="004A0958">
        <w:trPr>
          <w:trHeight w:val="511"/>
        </w:trPr>
        <w:tc>
          <w:tcPr>
            <w:tcW w:w="1791" w:type="dxa"/>
            <w:tcBorders>
              <w:top w:val="nil"/>
              <w:left w:val="single" w:sz="8" w:space="0" w:color="auto"/>
              <w:bottom w:val="single" w:sz="8" w:space="0" w:color="auto"/>
              <w:right w:val="single" w:sz="8" w:space="0" w:color="auto"/>
            </w:tcBorders>
            <w:noWrap/>
            <w:vAlign w:val="center"/>
          </w:tcPr>
          <w:p w:rsidR="00D31F42" w:rsidRPr="005E020C" w:rsidRDefault="00D31F42">
            <w:pPr>
              <w:jc w:val="both"/>
              <w:rPr>
                <w:rFonts w:ascii="Calibri" w:hAnsi="Calibri" w:cs="Arial"/>
                <w:sz w:val="18"/>
                <w:szCs w:val="18"/>
              </w:rPr>
            </w:pPr>
            <w:r w:rsidRPr="005E020C">
              <w:rPr>
                <w:rFonts w:ascii="Calibri" w:hAnsi="Calibri" w:cs="Arial"/>
                <w:sz w:val="18"/>
                <w:szCs w:val="18"/>
              </w:rPr>
              <w:t>Category 4 PIEs as per the FRA</w:t>
            </w:r>
          </w:p>
        </w:tc>
        <w:tc>
          <w:tcPr>
            <w:tcW w:w="1629" w:type="dxa"/>
            <w:tcBorders>
              <w:top w:val="nil"/>
              <w:left w:val="nil"/>
              <w:bottom w:val="single" w:sz="8" w:space="0" w:color="auto"/>
              <w:right w:val="single" w:sz="8" w:space="0" w:color="auto"/>
            </w:tcBorders>
            <w:noWrap/>
            <w:vAlign w:val="center"/>
          </w:tcPr>
          <w:p w:rsidR="00D31F42" w:rsidRPr="005E020C" w:rsidRDefault="00D31F42">
            <w:pPr>
              <w:jc w:val="center"/>
              <w:rPr>
                <w:rFonts w:ascii="Calibri" w:hAnsi="Calibri" w:cs="Arial"/>
                <w:sz w:val="18"/>
                <w:szCs w:val="18"/>
              </w:rPr>
            </w:pPr>
            <w:r w:rsidRPr="005E020C">
              <w:rPr>
                <w:rFonts w:ascii="Calibri" w:hAnsi="Calibri" w:cs="Arial"/>
                <w:sz w:val="18"/>
                <w:szCs w:val="18"/>
              </w:rPr>
              <w:t>4</w:t>
            </w:r>
          </w:p>
        </w:tc>
        <w:tc>
          <w:tcPr>
            <w:tcW w:w="1710" w:type="dxa"/>
            <w:tcBorders>
              <w:top w:val="nil"/>
              <w:left w:val="nil"/>
              <w:bottom w:val="single" w:sz="8" w:space="0" w:color="auto"/>
              <w:right w:val="single" w:sz="8" w:space="0" w:color="auto"/>
            </w:tcBorders>
            <w:noWrap/>
            <w:vAlign w:val="center"/>
          </w:tcPr>
          <w:p w:rsidR="00D31F42" w:rsidRPr="005E020C" w:rsidRDefault="00D31F42">
            <w:pPr>
              <w:jc w:val="center"/>
              <w:rPr>
                <w:rFonts w:ascii="Calibri" w:hAnsi="Calibri" w:cs="Arial"/>
                <w:sz w:val="18"/>
                <w:szCs w:val="18"/>
              </w:rPr>
            </w:pPr>
            <w:r w:rsidRPr="005E020C">
              <w:rPr>
                <w:rFonts w:ascii="Calibri" w:hAnsi="Calibri" w:cs="Arial"/>
                <w:sz w:val="18"/>
                <w:szCs w:val="18"/>
              </w:rPr>
              <w:t>-</w:t>
            </w:r>
          </w:p>
        </w:tc>
        <w:tc>
          <w:tcPr>
            <w:tcW w:w="1080" w:type="dxa"/>
            <w:tcBorders>
              <w:top w:val="nil"/>
              <w:left w:val="nil"/>
              <w:bottom w:val="single" w:sz="8" w:space="0" w:color="auto"/>
              <w:right w:val="single" w:sz="8" w:space="0" w:color="auto"/>
            </w:tcBorders>
            <w:vAlign w:val="center"/>
          </w:tcPr>
          <w:p w:rsidR="00D31F42" w:rsidRPr="005E020C" w:rsidRDefault="00D31F42">
            <w:pPr>
              <w:jc w:val="center"/>
              <w:rPr>
                <w:rFonts w:ascii="Calibri" w:hAnsi="Calibri" w:cs="Arial"/>
                <w:b/>
                <w:bCs/>
                <w:sz w:val="18"/>
                <w:szCs w:val="18"/>
              </w:rPr>
            </w:pPr>
            <w:r w:rsidRPr="005E020C">
              <w:rPr>
                <w:rFonts w:ascii="Calibri" w:hAnsi="Calibri" w:cs="Arial"/>
                <w:b/>
                <w:bCs/>
                <w:sz w:val="18"/>
                <w:szCs w:val="18"/>
              </w:rPr>
              <w:t>4</w:t>
            </w:r>
          </w:p>
        </w:tc>
      </w:tr>
      <w:tr w:rsidR="00D31F42" w:rsidRPr="00074FC0" w:rsidTr="004A0958">
        <w:trPr>
          <w:trHeight w:val="637"/>
        </w:trPr>
        <w:tc>
          <w:tcPr>
            <w:tcW w:w="1791" w:type="dxa"/>
            <w:tcBorders>
              <w:top w:val="nil"/>
              <w:left w:val="single" w:sz="8" w:space="0" w:color="auto"/>
              <w:bottom w:val="single" w:sz="8" w:space="0" w:color="auto"/>
              <w:right w:val="single" w:sz="8" w:space="0" w:color="auto"/>
            </w:tcBorders>
            <w:noWrap/>
            <w:vAlign w:val="center"/>
          </w:tcPr>
          <w:p w:rsidR="00D31F42" w:rsidRPr="005E020C" w:rsidRDefault="00D31F42">
            <w:pPr>
              <w:jc w:val="both"/>
              <w:rPr>
                <w:rFonts w:ascii="Calibri" w:hAnsi="Calibri" w:cs="Arial"/>
                <w:sz w:val="18"/>
                <w:szCs w:val="18"/>
              </w:rPr>
            </w:pPr>
            <w:r w:rsidRPr="005E020C">
              <w:rPr>
                <w:rFonts w:ascii="Calibri" w:hAnsi="Calibri" w:cs="Arial"/>
                <w:sz w:val="18"/>
                <w:szCs w:val="18"/>
              </w:rPr>
              <w:t xml:space="preserve">SOEs  as </w:t>
            </w:r>
            <w:r w:rsidR="004F5E3B">
              <w:rPr>
                <w:rFonts w:ascii="Calibri" w:hAnsi="Calibri" w:cs="Arial"/>
                <w:sz w:val="18"/>
                <w:szCs w:val="18"/>
              </w:rPr>
              <w:t xml:space="preserve">per the </w:t>
            </w:r>
            <w:r w:rsidRPr="005E020C">
              <w:rPr>
                <w:rFonts w:ascii="Calibri" w:hAnsi="Calibri" w:cs="Arial"/>
                <w:sz w:val="18"/>
                <w:szCs w:val="18"/>
              </w:rPr>
              <w:t>First Schedule of FRA</w:t>
            </w:r>
          </w:p>
        </w:tc>
        <w:tc>
          <w:tcPr>
            <w:tcW w:w="1629" w:type="dxa"/>
            <w:tcBorders>
              <w:top w:val="nil"/>
              <w:left w:val="nil"/>
              <w:bottom w:val="single" w:sz="8" w:space="0" w:color="auto"/>
              <w:right w:val="single" w:sz="8" w:space="0" w:color="auto"/>
            </w:tcBorders>
            <w:noWrap/>
            <w:vAlign w:val="center"/>
          </w:tcPr>
          <w:p w:rsidR="00D31F42" w:rsidRPr="005E020C" w:rsidRDefault="00D31F42">
            <w:pPr>
              <w:jc w:val="center"/>
              <w:rPr>
                <w:rFonts w:ascii="Calibri" w:hAnsi="Calibri" w:cs="Arial"/>
                <w:sz w:val="18"/>
                <w:szCs w:val="18"/>
              </w:rPr>
            </w:pPr>
            <w:r w:rsidRPr="005E020C">
              <w:rPr>
                <w:rFonts w:ascii="Calibri" w:hAnsi="Calibri" w:cs="Arial"/>
                <w:sz w:val="18"/>
                <w:szCs w:val="18"/>
              </w:rPr>
              <w:t>2</w:t>
            </w:r>
          </w:p>
        </w:tc>
        <w:tc>
          <w:tcPr>
            <w:tcW w:w="1710" w:type="dxa"/>
            <w:tcBorders>
              <w:top w:val="nil"/>
              <w:left w:val="nil"/>
              <w:bottom w:val="single" w:sz="8" w:space="0" w:color="auto"/>
              <w:right w:val="single" w:sz="8" w:space="0" w:color="auto"/>
            </w:tcBorders>
            <w:noWrap/>
            <w:vAlign w:val="center"/>
          </w:tcPr>
          <w:p w:rsidR="00D31F42" w:rsidRPr="005E020C" w:rsidRDefault="00D31F42">
            <w:pPr>
              <w:jc w:val="center"/>
              <w:rPr>
                <w:rFonts w:ascii="Calibri" w:hAnsi="Calibri" w:cs="Arial"/>
                <w:sz w:val="18"/>
                <w:szCs w:val="18"/>
              </w:rPr>
            </w:pPr>
            <w:r w:rsidRPr="005E020C">
              <w:rPr>
                <w:rFonts w:ascii="Calibri" w:hAnsi="Calibri" w:cs="Arial"/>
                <w:sz w:val="18"/>
                <w:szCs w:val="18"/>
              </w:rPr>
              <w:t>1</w:t>
            </w:r>
          </w:p>
        </w:tc>
        <w:tc>
          <w:tcPr>
            <w:tcW w:w="1080" w:type="dxa"/>
            <w:tcBorders>
              <w:top w:val="nil"/>
              <w:left w:val="nil"/>
              <w:bottom w:val="single" w:sz="8" w:space="0" w:color="auto"/>
              <w:right w:val="single" w:sz="8" w:space="0" w:color="auto"/>
            </w:tcBorders>
            <w:vAlign w:val="center"/>
          </w:tcPr>
          <w:p w:rsidR="00D31F42" w:rsidRPr="005E020C" w:rsidRDefault="00D31F42">
            <w:pPr>
              <w:jc w:val="center"/>
              <w:rPr>
                <w:rFonts w:ascii="Calibri" w:hAnsi="Calibri" w:cs="Arial"/>
                <w:b/>
                <w:bCs/>
                <w:sz w:val="18"/>
                <w:szCs w:val="18"/>
              </w:rPr>
            </w:pPr>
            <w:r w:rsidRPr="005E020C">
              <w:rPr>
                <w:rFonts w:ascii="Calibri" w:hAnsi="Calibri" w:cs="Arial"/>
                <w:b/>
                <w:bCs/>
                <w:sz w:val="18"/>
                <w:szCs w:val="18"/>
              </w:rPr>
              <w:t>3</w:t>
            </w:r>
          </w:p>
        </w:tc>
      </w:tr>
      <w:tr w:rsidR="00D31F42" w:rsidRPr="00074FC0" w:rsidTr="004A0958">
        <w:trPr>
          <w:trHeight w:val="270"/>
        </w:trPr>
        <w:tc>
          <w:tcPr>
            <w:tcW w:w="1791" w:type="dxa"/>
            <w:tcBorders>
              <w:top w:val="nil"/>
              <w:left w:val="single" w:sz="8" w:space="0" w:color="auto"/>
              <w:bottom w:val="single" w:sz="8" w:space="0" w:color="auto"/>
              <w:right w:val="single" w:sz="8" w:space="0" w:color="auto"/>
            </w:tcBorders>
            <w:vAlign w:val="center"/>
          </w:tcPr>
          <w:p w:rsidR="00D31F42" w:rsidRPr="005E020C" w:rsidRDefault="00D31F42">
            <w:pPr>
              <w:jc w:val="both"/>
              <w:rPr>
                <w:rFonts w:ascii="Calibri" w:hAnsi="Calibri" w:cs="Arial"/>
                <w:b/>
                <w:bCs/>
                <w:sz w:val="18"/>
                <w:szCs w:val="18"/>
              </w:rPr>
            </w:pPr>
            <w:r w:rsidRPr="005E020C">
              <w:rPr>
                <w:rFonts w:ascii="Calibri" w:hAnsi="Calibri" w:cs="Arial"/>
                <w:b/>
                <w:bCs/>
                <w:sz w:val="18"/>
                <w:szCs w:val="18"/>
              </w:rPr>
              <w:t xml:space="preserve">Total </w:t>
            </w:r>
          </w:p>
        </w:tc>
        <w:tc>
          <w:tcPr>
            <w:tcW w:w="1629" w:type="dxa"/>
            <w:tcBorders>
              <w:top w:val="nil"/>
              <w:left w:val="nil"/>
              <w:bottom w:val="single" w:sz="8" w:space="0" w:color="auto"/>
              <w:right w:val="single" w:sz="8" w:space="0" w:color="auto"/>
            </w:tcBorders>
            <w:noWrap/>
            <w:vAlign w:val="center"/>
          </w:tcPr>
          <w:p w:rsidR="00D31F42" w:rsidRPr="005E020C" w:rsidRDefault="00D31F42" w:rsidP="00DF356E">
            <w:pPr>
              <w:jc w:val="center"/>
              <w:rPr>
                <w:rFonts w:ascii="Calibri" w:hAnsi="Calibri" w:cs="Arial"/>
                <w:b/>
                <w:bCs/>
                <w:sz w:val="18"/>
                <w:szCs w:val="18"/>
              </w:rPr>
            </w:pPr>
            <w:r w:rsidRPr="005E020C">
              <w:rPr>
                <w:rFonts w:ascii="Calibri" w:hAnsi="Calibri" w:cs="Arial"/>
                <w:b/>
                <w:bCs/>
                <w:sz w:val="18"/>
                <w:szCs w:val="18"/>
              </w:rPr>
              <w:t>11</w:t>
            </w:r>
          </w:p>
        </w:tc>
        <w:tc>
          <w:tcPr>
            <w:tcW w:w="1710" w:type="dxa"/>
            <w:tcBorders>
              <w:top w:val="nil"/>
              <w:left w:val="nil"/>
              <w:bottom w:val="single" w:sz="8" w:space="0" w:color="auto"/>
              <w:right w:val="single" w:sz="8" w:space="0" w:color="auto"/>
            </w:tcBorders>
            <w:noWrap/>
            <w:vAlign w:val="center"/>
          </w:tcPr>
          <w:p w:rsidR="00D31F42" w:rsidRPr="005E020C" w:rsidRDefault="00D31F42">
            <w:pPr>
              <w:jc w:val="center"/>
              <w:rPr>
                <w:rFonts w:ascii="Calibri" w:hAnsi="Calibri" w:cs="Arial"/>
                <w:b/>
                <w:bCs/>
                <w:sz w:val="18"/>
                <w:szCs w:val="18"/>
              </w:rPr>
            </w:pPr>
            <w:r w:rsidRPr="005E020C">
              <w:rPr>
                <w:rFonts w:ascii="Calibri" w:hAnsi="Calibri" w:cs="Arial"/>
                <w:b/>
                <w:bCs/>
                <w:sz w:val="18"/>
                <w:szCs w:val="18"/>
              </w:rPr>
              <w:t>2</w:t>
            </w:r>
          </w:p>
        </w:tc>
        <w:tc>
          <w:tcPr>
            <w:tcW w:w="1080" w:type="dxa"/>
            <w:tcBorders>
              <w:top w:val="nil"/>
              <w:left w:val="nil"/>
              <w:bottom w:val="single" w:sz="8" w:space="0" w:color="auto"/>
              <w:right w:val="single" w:sz="8" w:space="0" w:color="auto"/>
            </w:tcBorders>
            <w:noWrap/>
            <w:vAlign w:val="center"/>
          </w:tcPr>
          <w:p w:rsidR="00D31F42" w:rsidRPr="005E020C" w:rsidRDefault="00D31F42">
            <w:pPr>
              <w:jc w:val="center"/>
              <w:rPr>
                <w:rFonts w:ascii="Calibri" w:hAnsi="Calibri" w:cs="Arial"/>
                <w:b/>
                <w:bCs/>
                <w:sz w:val="18"/>
                <w:szCs w:val="18"/>
              </w:rPr>
            </w:pPr>
            <w:r w:rsidRPr="005E020C">
              <w:rPr>
                <w:rFonts w:ascii="Calibri" w:hAnsi="Calibri" w:cs="Arial"/>
                <w:b/>
                <w:bCs/>
                <w:sz w:val="18"/>
                <w:szCs w:val="18"/>
              </w:rPr>
              <w:t>13</w:t>
            </w:r>
          </w:p>
        </w:tc>
      </w:tr>
    </w:tbl>
    <w:p w:rsidR="00D31F42" w:rsidRPr="005E020C" w:rsidRDefault="00D31F42" w:rsidP="005F05D4">
      <w:pPr>
        <w:autoSpaceDE w:val="0"/>
        <w:autoSpaceDN w:val="0"/>
        <w:adjustRightInd w:val="0"/>
        <w:ind w:left="1620"/>
        <w:jc w:val="both"/>
        <w:rPr>
          <w:rFonts w:ascii="Calibri" w:hAnsi="Calibri"/>
        </w:rPr>
      </w:pPr>
    </w:p>
    <w:p w:rsidR="00D31F42" w:rsidRPr="005E020C" w:rsidRDefault="00D31F42" w:rsidP="00E250AF">
      <w:pPr>
        <w:autoSpaceDE w:val="0"/>
        <w:autoSpaceDN w:val="0"/>
        <w:adjustRightInd w:val="0"/>
        <w:ind w:left="1980"/>
        <w:jc w:val="both"/>
        <w:rPr>
          <w:rFonts w:ascii="Calibri" w:hAnsi="Calibri"/>
        </w:rPr>
      </w:pPr>
      <w:r w:rsidRPr="005E020C">
        <w:rPr>
          <w:rFonts w:ascii="Calibri" w:hAnsi="Calibri"/>
        </w:rPr>
        <w:t xml:space="preserve">From the above table, FRC noted that 2 PIEs had not provided information on internal control. These PIEs were informed of the requirement of </w:t>
      </w:r>
      <w:r w:rsidRPr="005E020C">
        <w:rPr>
          <w:rFonts w:ascii="Calibri" w:hAnsi="Calibri"/>
          <w:b/>
        </w:rPr>
        <w:t>Section 5 of the code of Corporate Governance.</w:t>
      </w:r>
    </w:p>
    <w:p w:rsidR="00D31F42" w:rsidRPr="005E020C" w:rsidRDefault="00D31F42" w:rsidP="008D6865">
      <w:pPr>
        <w:autoSpaceDE w:val="0"/>
        <w:autoSpaceDN w:val="0"/>
        <w:adjustRightInd w:val="0"/>
        <w:rPr>
          <w:rFonts w:ascii="Calibri" w:hAnsi="Calibri"/>
        </w:rPr>
      </w:pPr>
    </w:p>
    <w:p w:rsidR="00D31F42" w:rsidRPr="005E020C" w:rsidRDefault="00D31F42" w:rsidP="00F7611C">
      <w:pPr>
        <w:pStyle w:val="ListParagraph"/>
        <w:numPr>
          <w:ilvl w:val="0"/>
          <w:numId w:val="6"/>
        </w:numPr>
        <w:tabs>
          <w:tab w:val="left" w:pos="1980"/>
        </w:tabs>
        <w:ind w:hanging="90"/>
        <w:contextualSpacing/>
        <w:rPr>
          <w:rFonts w:ascii="Calibri" w:hAnsi="Calibri"/>
        </w:rPr>
      </w:pPr>
      <w:r w:rsidRPr="005E020C">
        <w:rPr>
          <w:rFonts w:ascii="Calibri" w:hAnsi="Calibri"/>
        </w:rPr>
        <w:t xml:space="preserve">Internal Audit </w:t>
      </w:r>
    </w:p>
    <w:p w:rsidR="00D31F42" w:rsidRPr="005E020C" w:rsidRDefault="00D31F42" w:rsidP="00844538">
      <w:pPr>
        <w:pStyle w:val="ListParagraph"/>
        <w:ind w:left="2160"/>
        <w:rPr>
          <w:rFonts w:ascii="Calibri" w:hAnsi="Calibri"/>
        </w:rPr>
      </w:pPr>
    </w:p>
    <w:p w:rsidR="00D31F42" w:rsidRPr="005E020C" w:rsidRDefault="00D31F42" w:rsidP="00E250AF">
      <w:pPr>
        <w:pStyle w:val="ListParagraph"/>
        <w:ind w:left="1980"/>
        <w:jc w:val="both"/>
        <w:rPr>
          <w:rFonts w:ascii="Calibri" w:hAnsi="Calibri"/>
        </w:rPr>
      </w:pPr>
      <w:r w:rsidRPr="005E020C">
        <w:rPr>
          <w:rFonts w:ascii="Calibri" w:hAnsi="Calibri"/>
        </w:rPr>
        <w:t>The internal audit function is responsible for providing assurance to the board regarding the implementation, operation and effectiveness of internal control and risk management. Information on this function provides a better understanding of the level of internal audit processes implemented by the PIEs.</w:t>
      </w:r>
    </w:p>
    <w:p w:rsidR="00D31F42" w:rsidRPr="005E020C" w:rsidRDefault="00D31F42" w:rsidP="0096561A">
      <w:pPr>
        <w:tabs>
          <w:tab w:val="left" w:pos="2853"/>
        </w:tabs>
        <w:jc w:val="both"/>
        <w:rPr>
          <w:rFonts w:ascii="Calibri" w:hAnsi="Calibri"/>
        </w:rPr>
      </w:pPr>
    </w:p>
    <w:tbl>
      <w:tblPr>
        <w:tblW w:w="6120" w:type="dxa"/>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7"/>
        <w:gridCol w:w="838"/>
        <w:gridCol w:w="1068"/>
        <w:gridCol w:w="1006"/>
        <w:gridCol w:w="1521"/>
      </w:tblGrid>
      <w:tr w:rsidR="00D31F42" w:rsidRPr="00074FC0" w:rsidTr="005E020C">
        <w:trPr>
          <w:trHeight w:val="270"/>
        </w:trPr>
        <w:tc>
          <w:tcPr>
            <w:tcW w:w="1687" w:type="dxa"/>
            <w:vMerge w:val="restart"/>
            <w:shd w:val="clear" w:color="auto" w:fill="EAF1DD"/>
            <w:noWrap/>
            <w:vAlign w:val="center"/>
          </w:tcPr>
          <w:p w:rsidR="00D31F42" w:rsidRPr="005E020C" w:rsidRDefault="00D31F42">
            <w:pPr>
              <w:jc w:val="center"/>
              <w:rPr>
                <w:rFonts w:ascii="Calibri" w:hAnsi="Calibri" w:cs="Arial"/>
                <w:b/>
                <w:bCs/>
                <w:sz w:val="16"/>
                <w:szCs w:val="16"/>
              </w:rPr>
            </w:pPr>
            <w:r w:rsidRPr="005E020C">
              <w:rPr>
                <w:rFonts w:ascii="Calibri" w:hAnsi="Calibri" w:cs="Arial"/>
                <w:b/>
                <w:bCs/>
                <w:sz w:val="16"/>
                <w:szCs w:val="16"/>
              </w:rPr>
              <w:lastRenderedPageBreak/>
              <w:t>PIEs</w:t>
            </w:r>
          </w:p>
        </w:tc>
        <w:tc>
          <w:tcPr>
            <w:tcW w:w="4433" w:type="dxa"/>
            <w:gridSpan w:val="4"/>
            <w:shd w:val="clear" w:color="auto" w:fill="EAF1DD"/>
            <w:vAlign w:val="center"/>
          </w:tcPr>
          <w:p w:rsidR="00D31F42" w:rsidRPr="005E020C" w:rsidRDefault="00D31F42">
            <w:pPr>
              <w:jc w:val="center"/>
              <w:rPr>
                <w:rFonts w:ascii="Calibri" w:hAnsi="Calibri" w:cs="Arial"/>
                <w:b/>
                <w:bCs/>
                <w:sz w:val="16"/>
                <w:szCs w:val="16"/>
              </w:rPr>
            </w:pPr>
            <w:r w:rsidRPr="005E020C">
              <w:rPr>
                <w:rFonts w:ascii="Calibri" w:hAnsi="Calibri" w:cs="Arial"/>
                <w:b/>
                <w:bCs/>
                <w:sz w:val="16"/>
                <w:szCs w:val="16"/>
              </w:rPr>
              <w:t>Section 5.3</w:t>
            </w:r>
          </w:p>
        </w:tc>
      </w:tr>
      <w:tr w:rsidR="00D31F42" w:rsidRPr="00074FC0" w:rsidTr="005E020C">
        <w:trPr>
          <w:trHeight w:val="1412"/>
        </w:trPr>
        <w:tc>
          <w:tcPr>
            <w:tcW w:w="1687" w:type="dxa"/>
            <w:vMerge/>
            <w:shd w:val="clear" w:color="auto" w:fill="EAF1DD"/>
            <w:vAlign w:val="center"/>
          </w:tcPr>
          <w:p w:rsidR="00D31F42" w:rsidRPr="005E020C" w:rsidRDefault="00D31F42">
            <w:pPr>
              <w:rPr>
                <w:rFonts w:ascii="Calibri" w:hAnsi="Calibri" w:cs="Arial"/>
                <w:b/>
                <w:bCs/>
                <w:sz w:val="16"/>
                <w:szCs w:val="16"/>
              </w:rPr>
            </w:pPr>
          </w:p>
        </w:tc>
        <w:tc>
          <w:tcPr>
            <w:tcW w:w="838" w:type="dxa"/>
            <w:shd w:val="clear" w:color="auto" w:fill="EAF1DD"/>
            <w:vAlign w:val="center"/>
          </w:tcPr>
          <w:p w:rsidR="00D31F42" w:rsidRPr="005E020C" w:rsidRDefault="00D31F42">
            <w:pPr>
              <w:jc w:val="center"/>
              <w:rPr>
                <w:rFonts w:ascii="Calibri" w:hAnsi="Calibri" w:cs="Arial"/>
                <w:b/>
                <w:bCs/>
                <w:sz w:val="16"/>
                <w:szCs w:val="16"/>
              </w:rPr>
            </w:pPr>
            <w:r w:rsidRPr="005E020C">
              <w:rPr>
                <w:rFonts w:ascii="Calibri" w:hAnsi="Calibri" w:cs="Arial"/>
                <w:b/>
                <w:bCs/>
                <w:sz w:val="16"/>
                <w:szCs w:val="16"/>
              </w:rPr>
              <w:t>Reported on internal audit</w:t>
            </w:r>
          </w:p>
        </w:tc>
        <w:tc>
          <w:tcPr>
            <w:tcW w:w="1068" w:type="dxa"/>
            <w:shd w:val="clear" w:color="auto" w:fill="EAF1DD"/>
            <w:vAlign w:val="center"/>
          </w:tcPr>
          <w:p w:rsidR="00D31F42" w:rsidRPr="005E020C" w:rsidRDefault="00D31F42">
            <w:pPr>
              <w:jc w:val="center"/>
              <w:rPr>
                <w:rFonts w:ascii="Calibri" w:hAnsi="Calibri" w:cs="Arial"/>
                <w:b/>
                <w:bCs/>
                <w:sz w:val="16"/>
                <w:szCs w:val="16"/>
              </w:rPr>
            </w:pPr>
            <w:r w:rsidRPr="005E020C">
              <w:rPr>
                <w:rFonts w:ascii="Calibri" w:hAnsi="Calibri" w:cs="Arial"/>
                <w:b/>
                <w:bCs/>
                <w:sz w:val="16"/>
                <w:szCs w:val="16"/>
              </w:rPr>
              <w:t>Explanations provided</w:t>
            </w:r>
          </w:p>
        </w:tc>
        <w:tc>
          <w:tcPr>
            <w:tcW w:w="1006" w:type="dxa"/>
            <w:shd w:val="clear" w:color="auto" w:fill="EAF1DD"/>
            <w:vAlign w:val="center"/>
          </w:tcPr>
          <w:p w:rsidR="00D31F42" w:rsidRPr="005E020C" w:rsidRDefault="00D31F42">
            <w:pPr>
              <w:jc w:val="center"/>
              <w:rPr>
                <w:rFonts w:ascii="Calibri" w:hAnsi="Calibri" w:cs="Arial"/>
                <w:b/>
                <w:bCs/>
                <w:sz w:val="16"/>
                <w:szCs w:val="16"/>
              </w:rPr>
            </w:pPr>
            <w:r w:rsidRPr="005E020C">
              <w:rPr>
                <w:rFonts w:ascii="Calibri" w:hAnsi="Calibri" w:cs="Arial"/>
                <w:b/>
                <w:bCs/>
                <w:sz w:val="16"/>
                <w:szCs w:val="16"/>
              </w:rPr>
              <w:t>Not reported on internal audit and explanation not provided</w:t>
            </w:r>
          </w:p>
        </w:tc>
        <w:tc>
          <w:tcPr>
            <w:tcW w:w="1521" w:type="dxa"/>
            <w:shd w:val="clear" w:color="auto" w:fill="EAF1DD"/>
            <w:vAlign w:val="center"/>
          </w:tcPr>
          <w:p w:rsidR="00D31F42" w:rsidRPr="005E020C" w:rsidRDefault="00D31F42">
            <w:pPr>
              <w:jc w:val="center"/>
              <w:rPr>
                <w:rFonts w:ascii="Calibri" w:hAnsi="Calibri" w:cs="Arial"/>
                <w:b/>
                <w:bCs/>
                <w:sz w:val="16"/>
                <w:szCs w:val="16"/>
              </w:rPr>
            </w:pPr>
            <w:r w:rsidRPr="005E020C">
              <w:rPr>
                <w:rFonts w:ascii="Calibri" w:hAnsi="Calibri" w:cs="Arial"/>
                <w:b/>
                <w:bCs/>
                <w:sz w:val="16"/>
                <w:szCs w:val="16"/>
              </w:rPr>
              <w:t xml:space="preserve">Total </w:t>
            </w:r>
          </w:p>
        </w:tc>
      </w:tr>
      <w:tr w:rsidR="00D31F42" w:rsidRPr="00074FC0" w:rsidTr="00E250AF">
        <w:trPr>
          <w:trHeight w:val="270"/>
        </w:trPr>
        <w:tc>
          <w:tcPr>
            <w:tcW w:w="1687" w:type="dxa"/>
            <w:vAlign w:val="center"/>
          </w:tcPr>
          <w:p w:rsidR="00D31F42" w:rsidRPr="005E020C" w:rsidRDefault="00D31F42">
            <w:pPr>
              <w:jc w:val="both"/>
              <w:rPr>
                <w:rFonts w:ascii="Calibri" w:hAnsi="Calibri" w:cs="Arial"/>
                <w:sz w:val="16"/>
                <w:szCs w:val="16"/>
              </w:rPr>
            </w:pPr>
            <w:r w:rsidRPr="005E020C">
              <w:rPr>
                <w:rFonts w:ascii="Calibri" w:hAnsi="Calibri" w:cs="Arial"/>
                <w:sz w:val="16"/>
                <w:szCs w:val="16"/>
              </w:rPr>
              <w:t>Listed on SEM</w:t>
            </w:r>
          </w:p>
        </w:tc>
        <w:tc>
          <w:tcPr>
            <w:tcW w:w="838" w:type="dxa"/>
            <w:noWrap/>
            <w:vAlign w:val="center"/>
          </w:tcPr>
          <w:p w:rsidR="00D31F42" w:rsidRPr="005E020C" w:rsidRDefault="00D31F42">
            <w:pPr>
              <w:jc w:val="center"/>
              <w:rPr>
                <w:rFonts w:ascii="Calibri" w:hAnsi="Calibri" w:cs="Arial"/>
                <w:sz w:val="16"/>
                <w:szCs w:val="16"/>
              </w:rPr>
            </w:pPr>
            <w:r w:rsidRPr="005E020C">
              <w:rPr>
                <w:rFonts w:ascii="Calibri" w:hAnsi="Calibri" w:cs="Arial"/>
                <w:sz w:val="16"/>
                <w:szCs w:val="16"/>
              </w:rPr>
              <w:t>2</w:t>
            </w:r>
          </w:p>
        </w:tc>
        <w:tc>
          <w:tcPr>
            <w:tcW w:w="1068" w:type="dxa"/>
            <w:noWrap/>
            <w:vAlign w:val="center"/>
          </w:tcPr>
          <w:p w:rsidR="00D31F42" w:rsidRPr="005E020C" w:rsidRDefault="00D31F42">
            <w:pPr>
              <w:jc w:val="center"/>
              <w:rPr>
                <w:rFonts w:ascii="Calibri" w:hAnsi="Calibri" w:cs="Arial"/>
                <w:sz w:val="16"/>
                <w:szCs w:val="16"/>
              </w:rPr>
            </w:pPr>
            <w:r w:rsidRPr="005E020C">
              <w:rPr>
                <w:rFonts w:ascii="Calibri" w:hAnsi="Calibri" w:cs="Arial"/>
                <w:sz w:val="16"/>
                <w:szCs w:val="16"/>
              </w:rPr>
              <w:t>2</w:t>
            </w:r>
          </w:p>
        </w:tc>
        <w:tc>
          <w:tcPr>
            <w:tcW w:w="1006" w:type="dxa"/>
            <w:noWrap/>
            <w:vAlign w:val="center"/>
          </w:tcPr>
          <w:p w:rsidR="00D31F42" w:rsidRPr="005E020C" w:rsidRDefault="00D31F42">
            <w:pPr>
              <w:jc w:val="center"/>
              <w:rPr>
                <w:rFonts w:ascii="Calibri" w:hAnsi="Calibri" w:cs="Arial"/>
                <w:sz w:val="16"/>
                <w:szCs w:val="16"/>
              </w:rPr>
            </w:pPr>
            <w:r w:rsidRPr="005E020C">
              <w:rPr>
                <w:rFonts w:ascii="Calibri" w:hAnsi="Calibri" w:cs="Arial"/>
                <w:sz w:val="16"/>
                <w:szCs w:val="16"/>
              </w:rPr>
              <w:t>1</w:t>
            </w:r>
          </w:p>
        </w:tc>
        <w:tc>
          <w:tcPr>
            <w:tcW w:w="1521" w:type="dxa"/>
            <w:noWrap/>
            <w:vAlign w:val="center"/>
          </w:tcPr>
          <w:p w:rsidR="00D31F42" w:rsidRPr="005E020C" w:rsidRDefault="00D31F42">
            <w:pPr>
              <w:jc w:val="center"/>
              <w:rPr>
                <w:rFonts w:ascii="Calibri" w:hAnsi="Calibri" w:cs="Arial"/>
                <w:sz w:val="16"/>
                <w:szCs w:val="16"/>
              </w:rPr>
            </w:pPr>
            <w:r w:rsidRPr="005E020C">
              <w:rPr>
                <w:rFonts w:ascii="Calibri" w:hAnsi="Calibri" w:cs="Arial"/>
                <w:sz w:val="16"/>
                <w:szCs w:val="16"/>
              </w:rPr>
              <w:t>5</w:t>
            </w:r>
          </w:p>
        </w:tc>
      </w:tr>
      <w:tr w:rsidR="00D31F42" w:rsidRPr="00074FC0" w:rsidTr="00E250AF">
        <w:trPr>
          <w:trHeight w:val="270"/>
        </w:trPr>
        <w:tc>
          <w:tcPr>
            <w:tcW w:w="1687" w:type="dxa"/>
            <w:vAlign w:val="center"/>
          </w:tcPr>
          <w:p w:rsidR="00D31F42" w:rsidRPr="005E020C" w:rsidRDefault="00D31F42">
            <w:pPr>
              <w:jc w:val="both"/>
              <w:rPr>
                <w:rFonts w:ascii="Calibri" w:hAnsi="Calibri" w:cs="Arial"/>
                <w:sz w:val="16"/>
                <w:szCs w:val="16"/>
              </w:rPr>
            </w:pPr>
            <w:r w:rsidRPr="005E020C">
              <w:rPr>
                <w:rFonts w:ascii="Calibri" w:hAnsi="Calibri" w:cs="Arial"/>
                <w:sz w:val="16"/>
                <w:szCs w:val="16"/>
              </w:rPr>
              <w:t>Regulated by BOM</w:t>
            </w:r>
          </w:p>
        </w:tc>
        <w:tc>
          <w:tcPr>
            <w:tcW w:w="838" w:type="dxa"/>
            <w:noWrap/>
            <w:vAlign w:val="center"/>
          </w:tcPr>
          <w:p w:rsidR="00D31F42" w:rsidRPr="005E020C" w:rsidRDefault="00D31F42">
            <w:pPr>
              <w:jc w:val="center"/>
              <w:rPr>
                <w:rFonts w:ascii="Calibri" w:hAnsi="Calibri" w:cs="Arial"/>
                <w:sz w:val="16"/>
                <w:szCs w:val="16"/>
              </w:rPr>
            </w:pPr>
            <w:r w:rsidRPr="005E020C">
              <w:rPr>
                <w:rFonts w:ascii="Calibri" w:hAnsi="Calibri" w:cs="Arial"/>
                <w:sz w:val="16"/>
                <w:szCs w:val="16"/>
              </w:rPr>
              <w:t>1</w:t>
            </w:r>
          </w:p>
        </w:tc>
        <w:tc>
          <w:tcPr>
            <w:tcW w:w="1068" w:type="dxa"/>
            <w:noWrap/>
            <w:vAlign w:val="center"/>
          </w:tcPr>
          <w:p w:rsidR="00D31F42" w:rsidRPr="005E020C" w:rsidRDefault="00D31F42">
            <w:pPr>
              <w:jc w:val="center"/>
              <w:rPr>
                <w:rFonts w:ascii="Calibri" w:hAnsi="Calibri" w:cs="Arial"/>
                <w:sz w:val="16"/>
                <w:szCs w:val="16"/>
              </w:rPr>
            </w:pPr>
            <w:r w:rsidRPr="005E020C">
              <w:rPr>
                <w:rFonts w:ascii="Calibri" w:hAnsi="Calibri" w:cs="Arial"/>
                <w:sz w:val="16"/>
                <w:szCs w:val="16"/>
              </w:rPr>
              <w:t>-</w:t>
            </w:r>
          </w:p>
        </w:tc>
        <w:tc>
          <w:tcPr>
            <w:tcW w:w="1006" w:type="dxa"/>
            <w:noWrap/>
            <w:vAlign w:val="center"/>
          </w:tcPr>
          <w:p w:rsidR="00D31F42" w:rsidRPr="005E020C" w:rsidRDefault="00D31F42">
            <w:pPr>
              <w:jc w:val="center"/>
              <w:rPr>
                <w:rFonts w:ascii="Calibri" w:hAnsi="Calibri" w:cs="Arial"/>
                <w:sz w:val="16"/>
                <w:szCs w:val="16"/>
              </w:rPr>
            </w:pPr>
            <w:r w:rsidRPr="005E020C">
              <w:rPr>
                <w:rFonts w:ascii="Calibri" w:hAnsi="Calibri" w:cs="Arial"/>
                <w:sz w:val="16"/>
                <w:szCs w:val="16"/>
              </w:rPr>
              <w:t>-</w:t>
            </w:r>
          </w:p>
        </w:tc>
        <w:tc>
          <w:tcPr>
            <w:tcW w:w="1521" w:type="dxa"/>
            <w:noWrap/>
            <w:vAlign w:val="center"/>
          </w:tcPr>
          <w:p w:rsidR="00D31F42" w:rsidRPr="005E020C" w:rsidRDefault="00D31F42">
            <w:pPr>
              <w:jc w:val="center"/>
              <w:rPr>
                <w:rFonts w:ascii="Calibri" w:hAnsi="Calibri" w:cs="Arial"/>
                <w:sz w:val="16"/>
                <w:szCs w:val="16"/>
              </w:rPr>
            </w:pPr>
            <w:r w:rsidRPr="005E020C">
              <w:rPr>
                <w:rFonts w:ascii="Calibri" w:hAnsi="Calibri" w:cs="Arial"/>
                <w:sz w:val="16"/>
                <w:szCs w:val="16"/>
              </w:rPr>
              <w:t>1</w:t>
            </w:r>
          </w:p>
        </w:tc>
      </w:tr>
      <w:tr w:rsidR="00D31F42" w:rsidRPr="00074FC0" w:rsidTr="00E250AF">
        <w:trPr>
          <w:trHeight w:val="270"/>
        </w:trPr>
        <w:tc>
          <w:tcPr>
            <w:tcW w:w="1687" w:type="dxa"/>
            <w:vAlign w:val="center"/>
          </w:tcPr>
          <w:p w:rsidR="00D31F42" w:rsidRPr="005E020C" w:rsidRDefault="00D31F42">
            <w:pPr>
              <w:jc w:val="both"/>
              <w:rPr>
                <w:rFonts w:ascii="Calibri" w:hAnsi="Calibri" w:cs="Arial"/>
                <w:sz w:val="16"/>
                <w:szCs w:val="16"/>
              </w:rPr>
            </w:pPr>
            <w:r w:rsidRPr="005E020C">
              <w:rPr>
                <w:rFonts w:ascii="Calibri" w:hAnsi="Calibri" w:cs="Arial"/>
                <w:sz w:val="16"/>
                <w:szCs w:val="16"/>
              </w:rPr>
              <w:t>Category 4 PIEs as per the FRA</w:t>
            </w:r>
          </w:p>
        </w:tc>
        <w:tc>
          <w:tcPr>
            <w:tcW w:w="838" w:type="dxa"/>
            <w:noWrap/>
            <w:vAlign w:val="center"/>
          </w:tcPr>
          <w:p w:rsidR="00D31F42" w:rsidRPr="005E020C" w:rsidRDefault="00D31F42">
            <w:pPr>
              <w:jc w:val="center"/>
              <w:rPr>
                <w:rFonts w:ascii="Calibri" w:hAnsi="Calibri" w:cs="Arial"/>
                <w:sz w:val="16"/>
                <w:szCs w:val="16"/>
              </w:rPr>
            </w:pPr>
            <w:r w:rsidRPr="005E020C">
              <w:rPr>
                <w:rFonts w:ascii="Calibri" w:hAnsi="Calibri" w:cs="Arial"/>
                <w:sz w:val="16"/>
                <w:szCs w:val="16"/>
              </w:rPr>
              <w:t>3</w:t>
            </w:r>
          </w:p>
        </w:tc>
        <w:tc>
          <w:tcPr>
            <w:tcW w:w="1068" w:type="dxa"/>
            <w:noWrap/>
            <w:vAlign w:val="center"/>
          </w:tcPr>
          <w:p w:rsidR="00D31F42" w:rsidRPr="005E020C" w:rsidRDefault="00D31F42">
            <w:pPr>
              <w:jc w:val="center"/>
              <w:rPr>
                <w:rFonts w:ascii="Calibri" w:hAnsi="Calibri" w:cs="Arial"/>
                <w:sz w:val="16"/>
                <w:szCs w:val="16"/>
              </w:rPr>
            </w:pPr>
            <w:r w:rsidRPr="005E020C">
              <w:rPr>
                <w:rFonts w:ascii="Calibri" w:hAnsi="Calibri" w:cs="Arial"/>
                <w:sz w:val="16"/>
                <w:szCs w:val="16"/>
              </w:rPr>
              <w:t>1</w:t>
            </w:r>
          </w:p>
        </w:tc>
        <w:tc>
          <w:tcPr>
            <w:tcW w:w="1006" w:type="dxa"/>
            <w:noWrap/>
            <w:vAlign w:val="center"/>
          </w:tcPr>
          <w:p w:rsidR="00D31F42" w:rsidRPr="005E020C" w:rsidRDefault="00D31F42">
            <w:pPr>
              <w:jc w:val="center"/>
              <w:rPr>
                <w:rFonts w:ascii="Calibri" w:hAnsi="Calibri" w:cs="Arial"/>
                <w:sz w:val="16"/>
                <w:szCs w:val="16"/>
              </w:rPr>
            </w:pPr>
            <w:r w:rsidRPr="005E020C">
              <w:rPr>
                <w:rFonts w:ascii="Calibri" w:hAnsi="Calibri" w:cs="Arial"/>
                <w:sz w:val="16"/>
                <w:szCs w:val="16"/>
              </w:rPr>
              <w:t>-</w:t>
            </w:r>
          </w:p>
        </w:tc>
        <w:tc>
          <w:tcPr>
            <w:tcW w:w="1521" w:type="dxa"/>
            <w:noWrap/>
            <w:vAlign w:val="center"/>
          </w:tcPr>
          <w:p w:rsidR="00D31F42" w:rsidRPr="005E020C" w:rsidRDefault="00D31F42">
            <w:pPr>
              <w:jc w:val="center"/>
              <w:rPr>
                <w:rFonts w:ascii="Calibri" w:hAnsi="Calibri" w:cs="Arial"/>
                <w:sz w:val="16"/>
                <w:szCs w:val="16"/>
              </w:rPr>
            </w:pPr>
            <w:r w:rsidRPr="005E020C">
              <w:rPr>
                <w:rFonts w:ascii="Calibri" w:hAnsi="Calibri" w:cs="Arial"/>
                <w:sz w:val="16"/>
                <w:szCs w:val="16"/>
              </w:rPr>
              <w:t>4</w:t>
            </w:r>
          </w:p>
        </w:tc>
      </w:tr>
      <w:tr w:rsidR="00D31F42" w:rsidRPr="00074FC0" w:rsidTr="00E250AF">
        <w:trPr>
          <w:trHeight w:val="270"/>
        </w:trPr>
        <w:tc>
          <w:tcPr>
            <w:tcW w:w="1687" w:type="dxa"/>
            <w:vAlign w:val="center"/>
          </w:tcPr>
          <w:p w:rsidR="00D31F42" w:rsidRPr="005E020C" w:rsidRDefault="00D31F42">
            <w:pPr>
              <w:jc w:val="both"/>
              <w:rPr>
                <w:rFonts w:ascii="Calibri" w:hAnsi="Calibri" w:cs="Arial"/>
                <w:sz w:val="16"/>
                <w:szCs w:val="16"/>
              </w:rPr>
            </w:pPr>
            <w:r w:rsidRPr="005E020C">
              <w:rPr>
                <w:rFonts w:ascii="Calibri" w:hAnsi="Calibri" w:cs="Arial"/>
                <w:sz w:val="16"/>
                <w:szCs w:val="16"/>
              </w:rPr>
              <w:t xml:space="preserve">SOEs  as </w:t>
            </w:r>
            <w:r w:rsidR="004F5E3B">
              <w:rPr>
                <w:rFonts w:ascii="Calibri" w:hAnsi="Calibri" w:cs="Arial"/>
                <w:sz w:val="16"/>
                <w:szCs w:val="16"/>
              </w:rPr>
              <w:t xml:space="preserve">per the </w:t>
            </w:r>
            <w:r w:rsidRPr="005E020C">
              <w:rPr>
                <w:rFonts w:ascii="Calibri" w:hAnsi="Calibri" w:cs="Arial"/>
                <w:sz w:val="16"/>
                <w:szCs w:val="16"/>
              </w:rPr>
              <w:t>First Schedule of FRA</w:t>
            </w:r>
          </w:p>
        </w:tc>
        <w:tc>
          <w:tcPr>
            <w:tcW w:w="838" w:type="dxa"/>
            <w:noWrap/>
            <w:vAlign w:val="center"/>
          </w:tcPr>
          <w:p w:rsidR="00D31F42" w:rsidRPr="005E020C" w:rsidRDefault="00D31F42">
            <w:pPr>
              <w:jc w:val="center"/>
              <w:rPr>
                <w:rFonts w:ascii="Calibri" w:hAnsi="Calibri" w:cs="Arial"/>
                <w:sz w:val="16"/>
                <w:szCs w:val="16"/>
              </w:rPr>
            </w:pPr>
            <w:r w:rsidRPr="005E020C">
              <w:rPr>
                <w:rFonts w:ascii="Calibri" w:hAnsi="Calibri" w:cs="Arial"/>
                <w:sz w:val="16"/>
                <w:szCs w:val="16"/>
              </w:rPr>
              <w:t>2</w:t>
            </w:r>
          </w:p>
        </w:tc>
        <w:tc>
          <w:tcPr>
            <w:tcW w:w="1068" w:type="dxa"/>
            <w:noWrap/>
            <w:vAlign w:val="center"/>
          </w:tcPr>
          <w:p w:rsidR="00D31F42" w:rsidRPr="005E020C" w:rsidRDefault="00D31F42">
            <w:pPr>
              <w:jc w:val="center"/>
              <w:rPr>
                <w:rFonts w:ascii="Calibri" w:hAnsi="Calibri" w:cs="Arial"/>
                <w:sz w:val="16"/>
                <w:szCs w:val="16"/>
              </w:rPr>
            </w:pPr>
            <w:r w:rsidRPr="005E020C">
              <w:rPr>
                <w:rFonts w:ascii="Calibri" w:hAnsi="Calibri" w:cs="Arial"/>
                <w:sz w:val="16"/>
                <w:szCs w:val="16"/>
              </w:rPr>
              <w:t>-</w:t>
            </w:r>
          </w:p>
        </w:tc>
        <w:tc>
          <w:tcPr>
            <w:tcW w:w="1006" w:type="dxa"/>
            <w:noWrap/>
            <w:vAlign w:val="center"/>
          </w:tcPr>
          <w:p w:rsidR="00D31F42" w:rsidRPr="005E020C" w:rsidRDefault="00D31F42">
            <w:pPr>
              <w:jc w:val="center"/>
              <w:rPr>
                <w:rFonts w:ascii="Calibri" w:hAnsi="Calibri" w:cs="Arial"/>
                <w:sz w:val="16"/>
                <w:szCs w:val="16"/>
              </w:rPr>
            </w:pPr>
            <w:r w:rsidRPr="005E020C">
              <w:rPr>
                <w:rFonts w:ascii="Calibri" w:hAnsi="Calibri" w:cs="Arial"/>
                <w:sz w:val="16"/>
                <w:szCs w:val="16"/>
              </w:rPr>
              <w:t>1</w:t>
            </w:r>
          </w:p>
        </w:tc>
        <w:tc>
          <w:tcPr>
            <w:tcW w:w="1521" w:type="dxa"/>
            <w:noWrap/>
            <w:vAlign w:val="center"/>
          </w:tcPr>
          <w:p w:rsidR="00D31F42" w:rsidRPr="005E020C" w:rsidRDefault="00D31F42">
            <w:pPr>
              <w:jc w:val="center"/>
              <w:rPr>
                <w:rFonts w:ascii="Calibri" w:hAnsi="Calibri" w:cs="Arial"/>
                <w:sz w:val="16"/>
                <w:szCs w:val="16"/>
              </w:rPr>
            </w:pPr>
            <w:r w:rsidRPr="005E020C">
              <w:rPr>
                <w:rFonts w:ascii="Calibri" w:hAnsi="Calibri" w:cs="Arial"/>
                <w:sz w:val="16"/>
                <w:szCs w:val="16"/>
              </w:rPr>
              <w:t>3</w:t>
            </w:r>
          </w:p>
        </w:tc>
      </w:tr>
      <w:tr w:rsidR="00D31F42" w:rsidRPr="00074FC0" w:rsidTr="00E250AF">
        <w:trPr>
          <w:trHeight w:val="270"/>
        </w:trPr>
        <w:tc>
          <w:tcPr>
            <w:tcW w:w="1687" w:type="dxa"/>
            <w:vAlign w:val="center"/>
          </w:tcPr>
          <w:p w:rsidR="00D31F42" w:rsidRPr="005E020C" w:rsidRDefault="00D31F42">
            <w:pPr>
              <w:jc w:val="both"/>
              <w:rPr>
                <w:rFonts w:ascii="Calibri" w:hAnsi="Calibri" w:cs="Arial"/>
                <w:sz w:val="16"/>
                <w:szCs w:val="16"/>
              </w:rPr>
            </w:pPr>
            <w:r w:rsidRPr="005E020C">
              <w:rPr>
                <w:rFonts w:ascii="Calibri" w:hAnsi="Calibri" w:cs="Arial"/>
                <w:sz w:val="16"/>
                <w:szCs w:val="16"/>
              </w:rPr>
              <w:t xml:space="preserve">Total </w:t>
            </w:r>
          </w:p>
        </w:tc>
        <w:tc>
          <w:tcPr>
            <w:tcW w:w="838" w:type="dxa"/>
            <w:noWrap/>
            <w:vAlign w:val="center"/>
          </w:tcPr>
          <w:p w:rsidR="00D31F42" w:rsidRPr="005E020C" w:rsidRDefault="00D31F42">
            <w:pPr>
              <w:jc w:val="center"/>
              <w:rPr>
                <w:rFonts w:ascii="Calibri" w:hAnsi="Calibri" w:cs="Arial"/>
                <w:sz w:val="16"/>
                <w:szCs w:val="16"/>
              </w:rPr>
            </w:pPr>
            <w:r w:rsidRPr="005E020C">
              <w:rPr>
                <w:rFonts w:ascii="Calibri" w:hAnsi="Calibri" w:cs="Arial"/>
                <w:sz w:val="16"/>
                <w:szCs w:val="16"/>
              </w:rPr>
              <w:t>8</w:t>
            </w:r>
          </w:p>
        </w:tc>
        <w:tc>
          <w:tcPr>
            <w:tcW w:w="1068" w:type="dxa"/>
            <w:noWrap/>
            <w:vAlign w:val="center"/>
          </w:tcPr>
          <w:p w:rsidR="00D31F42" w:rsidRPr="005E020C" w:rsidRDefault="00D31F42">
            <w:pPr>
              <w:jc w:val="center"/>
              <w:rPr>
                <w:rFonts w:ascii="Calibri" w:hAnsi="Calibri" w:cs="Arial"/>
                <w:sz w:val="16"/>
                <w:szCs w:val="16"/>
              </w:rPr>
            </w:pPr>
            <w:r w:rsidRPr="005E020C">
              <w:rPr>
                <w:rFonts w:ascii="Calibri" w:hAnsi="Calibri" w:cs="Arial"/>
                <w:sz w:val="16"/>
                <w:szCs w:val="16"/>
              </w:rPr>
              <w:t>3</w:t>
            </w:r>
          </w:p>
        </w:tc>
        <w:tc>
          <w:tcPr>
            <w:tcW w:w="1006" w:type="dxa"/>
            <w:noWrap/>
            <w:vAlign w:val="center"/>
          </w:tcPr>
          <w:p w:rsidR="00D31F42" w:rsidRPr="005E020C" w:rsidRDefault="00D31F42">
            <w:pPr>
              <w:jc w:val="center"/>
              <w:rPr>
                <w:rFonts w:ascii="Calibri" w:hAnsi="Calibri" w:cs="Arial"/>
                <w:sz w:val="16"/>
                <w:szCs w:val="16"/>
              </w:rPr>
            </w:pPr>
            <w:r w:rsidRPr="005E020C">
              <w:rPr>
                <w:rFonts w:ascii="Calibri" w:hAnsi="Calibri" w:cs="Arial"/>
                <w:sz w:val="16"/>
                <w:szCs w:val="16"/>
              </w:rPr>
              <w:t>2</w:t>
            </w:r>
          </w:p>
        </w:tc>
        <w:tc>
          <w:tcPr>
            <w:tcW w:w="1521" w:type="dxa"/>
            <w:noWrap/>
            <w:vAlign w:val="center"/>
          </w:tcPr>
          <w:p w:rsidR="00D31F42" w:rsidRPr="005E020C" w:rsidRDefault="00D31F42">
            <w:pPr>
              <w:jc w:val="center"/>
              <w:rPr>
                <w:rFonts w:ascii="Calibri" w:hAnsi="Calibri" w:cs="Arial"/>
                <w:sz w:val="16"/>
                <w:szCs w:val="16"/>
              </w:rPr>
            </w:pPr>
            <w:r w:rsidRPr="005E020C">
              <w:rPr>
                <w:rFonts w:ascii="Calibri" w:hAnsi="Calibri" w:cs="Arial"/>
                <w:sz w:val="16"/>
                <w:szCs w:val="16"/>
              </w:rPr>
              <w:t>13</w:t>
            </w:r>
          </w:p>
        </w:tc>
      </w:tr>
    </w:tbl>
    <w:p w:rsidR="00D31F42" w:rsidRPr="005E020C" w:rsidRDefault="00D31F42" w:rsidP="007711DD">
      <w:pPr>
        <w:tabs>
          <w:tab w:val="left" w:pos="2853"/>
        </w:tabs>
        <w:jc w:val="both"/>
        <w:rPr>
          <w:rFonts w:ascii="Calibri" w:hAnsi="Calibri"/>
        </w:rPr>
      </w:pPr>
    </w:p>
    <w:p w:rsidR="00D31F42" w:rsidRPr="005E020C" w:rsidRDefault="00D31F42" w:rsidP="00E250AF">
      <w:pPr>
        <w:ind w:left="1980" w:hanging="180"/>
        <w:jc w:val="both"/>
        <w:rPr>
          <w:rFonts w:ascii="Calibri" w:hAnsi="Calibri"/>
        </w:rPr>
      </w:pPr>
      <w:r w:rsidRPr="005E020C">
        <w:rPr>
          <w:rFonts w:ascii="Calibri" w:hAnsi="Calibri"/>
        </w:rPr>
        <w:tab/>
        <w:t>The table above shows that out of the 13 PIEs, 5 PIEs had not made disclosures in the annual report for their internal audit function, as per the requirement of the code. Out of these 5 PIEs, 3 had explained the following:</w:t>
      </w:r>
    </w:p>
    <w:p w:rsidR="00D31F42" w:rsidRPr="005E020C" w:rsidRDefault="00D31F42" w:rsidP="00844538">
      <w:pPr>
        <w:ind w:left="2160" w:hanging="360"/>
        <w:jc w:val="both"/>
        <w:rPr>
          <w:rFonts w:ascii="Calibri" w:hAnsi="Calibri"/>
        </w:rPr>
      </w:pPr>
    </w:p>
    <w:p w:rsidR="00D31F42" w:rsidRPr="005E020C" w:rsidRDefault="00D31F42" w:rsidP="00F7611C">
      <w:pPr>
        <w:pStyle w:val="ListParagraph"/>
        <w:numPr>
          <w:ilvl w:val="0"/>
          <w:numId w:val="32"/>
        </w:numPr>
        <w:tabs>
          <w:tab w:val="left" w:pos="2160"/>
        </w:tabs>
        <w:ind w:left="2430"/>
        <w:contextualSpacing/>
        <w:jc w:val="both"/>
        <w:rPr>
          <w:rFonts w:ascii="Calibri" w:hAnsi="Calibri"/>
        </w:rPr>
      </w:pPr>
      <w:r w:rsidRPr="005E020C">
        <w:rPr>
          <w:rFonts w:ascii="Calibri" w:hAnsi="Calibri"/>
        </w:rPr>
        <w:t>Oversight of the financial reporting process was made by the Board of Directors.</w:t>
      </w:r>
    </w:p>
    <w:p w:rsidR="00D31F42" w:rsidRPr="005E020C" w:rsidRDefault="00D31F42" w:rsidP="00F7611C">
      <w:pPr>
        <w:pStyle w:val="ListParagraph"/>
        <w:numPr>
          <w:ilvl w:val="0"/>
          <w:numId w:val="32"/>
        </w:numPr>
        <w:tabs>
          <w:tab w:val="left" w:pos="2160"/>
        </w:tabs>
        <w:ind w:left="2430"/>
        <w:contextualSpacing/>
        <w:jc w:val="both"/>
        <w:rPr>
          <w:rFonts w:ascii="Calibri" w:hAnsi="Calibri"/>
        </w:rPr>
      </w:pPr>
      <w:r w:rsidRPr="005E020C">
        <w:rPr>
          <w:rFonts w:ascii="Calibri" w:hAnsi="Calibri"/>
        </w:rPr>
        <w:t>The board of directors believes that the managerial and supervisory control put in place are sufficient to protect the company’s income and assets.</w:t>
      </w:r>
    </w:p>
    <w:p w:rsidR="00D31F42" w:rsidRPr="005E020C" w:rsidRDefault="00D31F42" w:rsidP="00E12A5D">
      <w:pPr>
        <w:pStyle w:val="ListParagraph"/>
        <w:tabs>
          <w:tab w:val="left" w:pos="2160"/>
        </w:tabs>
        <w:ind w:left="2520"/>
        <w:contextualSpacing/>
        <w:jc w:val="both"/>
        <w:rPr>
          <w:rFonts w:ascii="Calibri" w:hAnsi="Calibri"/>
        </w:rPr>
      </w:pPr>
    </w:p>
    <w:p w:rsidR="00D31F42" w:rsidRPr="005E020C" w:rsidRDefault="00D31F42" w:rsidP="00E250AF">
      <w:pPr>
        <w:tabs>
          <w:tab w:val="left" w:pos="2715"/>
        </w:tabs>
        <w:ind w:left="1980"/>
        <w:jc w:val="both"/>
        <w:rPr>
          <w:rFonts w:ascii="Calibri" w:hAnsi="Calibri"/>
          <w:i/>
        </w:rPr>
      </w:pPr>
      <w:r w:rsidRPr="005E020C">
        <w:rPr>
          <w:rFonts w:ascii="Calibri" w:hAnsi="Calibri"/>
        </w:rPr>
        <w:t xml:space="preserve">With respect to the 2 PIEs that had not provided information on internal audit function, FRC draws their attention to </w:t>
      </w:r>
      <w:r w:rsidRPr="005E020C">
        <w:rPr>
          <w:rFonts w:ascii="Calibri" w:hAnsi="Calibri"/>
          <w:b/>
        </w:rPr>
        <w:t>Section 5 of the Code of Corporate Governance</w:t>
      </w:r>
      <w:r w:rsidRPr="005E020C">
        <w:rPr>
          <w:rFonts w:ascii="Calibri" w:hAnsi="Calibri"/>
        </w:rPr>
        <w:t xml:space="preserve"> which requires that ‘</w:t>
      </w:r>
      <w:r w:rsidRPr="005E020C">
        <w:rPr>
          <w:rFonts w:ascii="Calibri" w:hAnsi="Calibri"/>
          <w:i/>
        </w:rPr>
        <w:t>the Statement of Directors’ Responsibilities for Internal Control shall state whether or not the board has established an internal audit function.’</w:t>
      </w:r>
    </w:p>
    <w:p w:rsidR="00D31F42" w:rsidRPr="005E020C" w:rsidRDefault="00D31F42" w:rsidP="00B00290">
      <w:pPr>
        <w:tabs>
          <w:tab w:val="left" w:pos="2715"/>
        </w:tabs>
        <w:jc w:val="both"/>
        <w:rPr>
          <w:rFonts w:ascii="Calibri" w:hAnsi="Calibri"/>
          <w:sz w:val="22"/>
        </w:rPr>
      </w:pPr>
    </w:p>
    <w:p w:rsidR="00D31F42" w:rsidRPr="005E020C" w:rsidRDefault="00D31F42" w:rsidP="00F7611C">
      <w:pPr>
        <w:pStyle w:val="ListParagraph"/>
        <w:numPr>
          <w:ilvl w:val="0"/>
          <w:numId w:val="6"/>
        </w:numPr>
        <w:tabs>
          <w:tab w:val="left" w:pos="1980"/>
        </w:tabs>
        <w:ind w:hanging="90"/>
        <w:contextualSpacing/>
        <w:rPr>
          <w:rFonts w:ascii="Calibri" w:hAnsi="Calibri"/>
        </w:rPr>
      </w:pPr>
      <w:r w:rsidRPr="005E020C">
        <w:rPr>
          <w:rFonts w:ascii="Calibri" w:hAnsi="Calibri"/>
        </w:rPr>
        <w:t>Other corporate governance issues</w:t>
      </w:r>
    </w:p>
    <w:p w:rsidR="00D31F42" w:rsidRPr="005E020C" w:rsidRDefault="00D31F42" w:rsidP="00844538">
      <w:pPr>
        <w:rPr>
          <w:rFonts w:ascii="Calibri" w:hAnsi="Calibri"/>
          <w:b/>
        </w:rPr>
      </w:pPr>
    </w:p>
    <w:p w:rsidR="00D31F42" w:rsidRPr="005E020C" w:rsidRDefault="00D31F42" w:rsidP="00E250AF">
      <w:pPr>
        <w:ind w:left="1980"/>
        <w:jc w:val="both"/>
        <w:rPr>
          <w:rFonts w:ascii="Calibri" w:hAnsi="Calibri"/>
        </w:rPr>
      </w:pPr>
      <w:r w:rsidRPr="005E020C">
        <w:rPr>
          <w:rFonts w:ascii="Calibri" w:hAnsi="Calibri"/>
        </w:rPr>
        <w:t>During the course of its annual report reviews, FRC identified other non-compliances with respect to the following:</w:t>
      </w:r>
    </w:p>
    <w:p w:rsidR="00D31F42" w:rsidRPr="005E020C" w:rsidRDefault="00D31F42" w:rsidP="00844538">
      <w:pPr>
        <w:ind w:left="1800"/>
        <w:rPr>
          <w:rFonts w:ascii="Calibri" w:hAnsi="Calibri"/>
          <w:b/>
        </w:rPr>
      </w:pPr>
    </w:p>
    <w:p w:rsidR="00D31F42" w:rsidRPr="005E020C" w:rsidRDefault="00D31F42" w:rsidP="00F7611C">
      <w:pPr>
        <w:pStyle w:val="ListParagraph"/>
        <w:numPr>
          <w:ilvl w:val="0"/>
          <w:numId w:val="8"/>
        </w:numPr>
        <w:ind w:left="2340"/>
        <w:contextualSpacing/>
        <w:jc w:val="both"/>
        <w:rPr>
          <w:rFonts w:ascii="Calibri" w:hAnsi="Calibri"/>
        </w:rPr>
      </w:pPr>
      <w:r w:rsidRPr="005E020C">
        <w:rPr>
          <w:rFonts w:ascii="Calibri" w:hAnsi="Calibri"/>
        </w:rPr>
        <w:t xml:space="preserve">   Details and amount paid for non-audit services (section 6 of the code);</w:t>
      </w:r>
    </w:p>
    <w:p w:rsidR="00D31F42" w:rsidRPr="005E020C" w:rsidRDefault="00D31F42" w:rsidP="00F7611C">
      <w:pPr>
        <w:pStyle w:val="ListParagraph"/>
        <w:numPr>
          <w:ilvl w:val="0"/>
          <w:numId w:val="8"/>
        </w:numPr>
        <w:ind w:left="2340"/>
        <w:contextualSpacing/>
        <w:jc w:val="both"/>
        <w:rPr>
          <w:rFonts w:ascii="Calibri" w:hAnsi="Calibri"/>
        </w:rPr>
      </w:pPr>
      <w:r w:rsidRPr="005E020C">
        <w:rPr>
          <w:rFonts w:ascii="Calibri" w:hAnsi="Calibri"/>
        </w:rPr>
        <w:t xml:space="preserve">   Detailed time table specifying important events (section 8 of the code); </w:t>
      </w:r>
    </w:p>
    <w:p w:rsidR="00D31F42" w:rsidRPr="005E020C" w:rsidRDefault="00D31F42" w:rsidP="00F7611C">
      <w:pPr>
        <w:pStyle w:val="ListParagraph"/>
        <w:numPr>
          <w:ilvl w:val="0"/>
          <w:numId w:val="8"/>
        </w:numPr>
        <w:ind w:left="2340"/>
        <w:contextualSpacing/>
        <w:jc w:val="both"/>
        <w:rPr>
          <w:rFonts w:ascii="Calibri" w:hAnsi="Calibri"/>
        </w:rPr>
      </w:pPr>
      <w:r w:rsidRPr="005E020C">
        <w:rPr>
          <w:rFonts w:ascii="Calibri" w:hAnsi="Calibri"/>
        </w:rPr>
        <w:t xml:space="preserve">   Material clauses of the company’s constitution (section 8 of the code);</w:t>
      </w:r>
    </w:p>
    <w:p w:rsidR="00D31F42" w:rsidRPr="005E020C" w:rsidRDefault="00D31F42" w:rsidP="00F7611C">
      <w:pPr>
        <w:numPr>
          <w:ilvl w:val="0"/>
          <w:numId w:val="8"/>
        </w:numPr>
        <w:ind w:left="2340"/>
        <w:jc w:val="both"/>
        <w:rPr>
          <w:rFonts w:ascii="Calibri" w:hAnsi="Calibri"/>
        </w:rPr>
      </w:pPr>
      <w:r w:rsidRPr="005E020C">
        <w:rPr>
          <w:rFonts w:ascii="Calibri" w:hAnsi="Calibri"/>
        </w:rPr>
        <w:t xml:space="preserve">   Description of non-audit services (section 6 of the code);</w:t>
      </w:r>
    </w:p>
    <w:p w:rsidR="00D31F42" w:rsidRPr="005E020C" w:rsidRDefault="00D31F42" w:rsidP="00F7611C">
      <w:pPr>
        <w:numPr>
          <w:ilvl w:val="0"/>
          <w:numId w:val="8"/>
        </w:numPr>
        <w:ind w:left="2340"/>
        <w:jc w:val="both"/>
        <w:rPr>
          <w:rFonts w:ascii="Calibri" w:hAnsi="Calibri"/>
        </w:rPr>
      </w:pPr>
      <w:r w:rsidRPr="005E020C">
        <w:rPr>
          <w:rFonts w:ascii="Calibri" w:hAnsi="Calibri"/>
        </w:rPr>
        <w:lastRenderedPageBreak/>
        <w:t xml:space="preserve">   Policies and procedures as regards ethics, environment, health and safety and social issues (section 8 of the code); and</w:t>
      </w:r>
    </w:p>
    <w:p w:rsidR="00D31F42" w:rsidRPr="005E020C" w:rsidRDefault="00D31F42" w:rsidP="00F7611C">
      <w:pPr>
        <w:numPr>
          <w:ilvl w:val="0"/>
          <w:numId w:val="8"/>
        </w:numPr>
        <w:ind w:left="2340"/>
        <w:jc w:val="both"/>
        <w:rPr>
          <w:rFonts w:ascii="Calibri" w:hAnsi="Calibri"/>
        </w:rPr>
      </w:pPr>
      <w:r w:rsidRPr="005E020C">
        <w:rPr>
          <w:rFonts w:ascii="Calibri" w:hAnsi="Calibri"/>
        </w:rPr>
        <w:t xml:space="preserve">   Dividend policy (section 8 of the code).</w:t>
      </w:r>
    </w:p>
    <w:p w:rsidR="00D31F42" w:rsidRPr="005E020C" w:rsidRDefault="00D31F42" w:rsidP="00844538">
      <w:pPr>
        <w:pStyle w:val="ListParagraph"/>
        <w:ind w:left="2160"/>
        <w:contextualSpacing/>
        <w:jc w:val="both"/>
        <w:rPr>
          <w:rFonts w:ascii="Calibri" w:hAnsi="Calibri"/>
        </w:rPr>
      </w:pPr>
    </w:p>
    <w:p w:rsidR="00D31F42" w:rsidRPr="005E020C" w:rsidRDefault="00D31F42" w:rsidP="00844538">
      <w:pPr>
        <w:pStyle w:val="ListParagraph"/>
        <w:ind w:left="2160"/>
        <w:contextualSpacing/>
        <w:jc w:val="both"/>
        <w:rPr>
          <w:rFonts w:ascii="Calibri" w:hAnsi="Calibri"/>
        </w:rPr>
      </w:pPr>
    </w:p>
    <w:p w:rsidR="00D31F42" w:rsidRPr="005E020C" w:rsidRDefault="00D31F42" w:rsidP="00F7611C">
      <w:pPr>
        <w:numPr>
          <w:ilvl w:val="1"/>
          <w:numId w:val="35"/>
        </w:numPr>
        <w:ind w:left="1530" w:hanging="450"/>
        <w:jc w:val="both"/>
        <w:rPr>
          <w:rFonts w:ascii="Calibri" w:hAnsi="Calibri"/>
          <w:b/>
        </w:rPr>
      </w:pPr>
      <w:bookmarkStart w:id="10" w:name="Reporting"/>
      <w:r w:rsidRPr="005E020C">
        <w:rPr>
          <w:rFonts w:ascii="Calibri" w:hAnsi="Calibri" w:cs="Arial"/>
          <w:b/>
          <w:color w:val="000000"/>
        </w:rPr>
        <w:t xml:space="preserve">  Reporting by Auditors in compliance with Section 39(3) of the FR Act</w:t>
      </w:r>
    </w:p>
    <w:bookmarkEnd w:id="10"/>
    <w:p w:rsidR="00D31F42" w:rsidRPr="005E020C" w:rsidRDefault="00D31F42" w:rsidP="00844538">
      <w:pPr>
        <w:tabs>
          <w:tab w:val="left" w:pos="709"/>
          <w:tab w:val="left" w:pos="810"/>
        </w:tabs>
        <w:ind w:left="709"/>
        <w:jc w:val="both"/>
        <w:rPr>
          <w:rFonts w:ascii="Calibri" w:hAnsi="Calibri"/>
        </w:rPr>
      </w:pPr>
    </w:p>
    <w:p w:rsidR="00D31F42" w:rsidRPr="005E020C" w:rsidRDefault="00D31F42" w:rsidP="002B4110">
      <w:pPr>
        <w:tabs>
          <w:tab w:val="left" w:pos="709"/>
        </w:tabs>
        <w:ind w:left="1530"/>
        <w:jc w:val="both"/>
        <w:rPr>
          <w:rFonts w:ascii="Calibri" w:hAnsi="Calibri"/>
        </w:rPr>
      </w:pPr>
      <w:r w:rsidRPr="005E020C">
        <w:rPr>
          <w:rFonts w:ascii="Calibri" w:hAnsi="Calibri"/>
        </w:rPr>
        <w:t>Section 39(3) of the FRA requires an auditor to report whether the disclosures made in the corporate governance report are consistent with the Code. The format of this report on corporate governance by auditors is laid out in the Guidelines on compliance with corporate governance – Government Gazette No. 64 of 20 July 2013, General Notice No. 1819.</w:t>
      </w:r>
    </w:p>
    <w:p w:rsidR="00D31F42" w:rsidRPr="005E020C" w:rsidRDefault="00D31F42" w:rsidP="00844538">
      <w:pPr>
        <w:tabs>
          <w:tab w:val="left" w:pos="709"/>
        </w:tabs>
        <w:ind w:left="709"/>
        <w:jc w:val="both"/>
        <w:rPr>
          <w:rFonts w:ascii="Calibri" w:hAnsi="Calibri"/>
        </w:rPr>
      </w:pPr>
    </w:p>
    <w:p w:rsidR="00D31F42" w:rsidRPr="005E020C" w:rsidRDefault="00D31F42" w:rsidP="002B4110">
      <w:pPr>
        <w:ind w:left="1530"/>
        <w:jc w:val="both"/>
        <w:rPr>
          <w:rFonts w:ascii="Calibri" w:hAnsi="Calibri"/>
        </w:rPr>
      </w:pPr>
      <w:r w:rsidRPr="005E020C">
        <w:rPr>
          <w:rFonts w:ascii="Calibri" w:hAnsi="Calibri"/>
        </w:rPr>
        <w:t xml:space="preserve">From the 13 Annual Reports reviewed, FRC observed that the </w:t>
      </w:r>
      <w:r w:rsidRPr="005E020C">
        <w:rPr>
          <w:rFonts w:ascii="Calibri" w:hAnsi="Calibri"/>
          <w:b/>
          <w:u w:val="single"/>
        </w:rPr>
        <w:t>auditors</w:t>
      </w:r>
      <w:r w:rsidRPr="005E020C">
        <w:rPr>
          <w:rFonts w:ascii="Calibri" w:hAnsi="Calibri"/>
        </w:rPr>
        <w:t xml:space="preserve"> of:</w:t>
      </w:r>
    </w:p>
    <w:p w:rsidR="00D31F42" w:rsidRPr="005E020C" w:rsidRDefault="00D31F42" w:rsidP="00844538">
      <w:pPr>
        <w:ind w:left="720"/>
        <w:jc w:val="both"/>
        <w:rPr>
          <w:rFonts w:ascii="Calibri" w:hAnsi="Calibri"/>
        </w:rPr>
      </w:pPr>
    </w:p>
    <w:p w:rsidR="00D31F42" w:rsidRPr="005E020C" w:rsidRDefault="00D31F42" w:rsidP="00F7611C">
      <w:pPr>
        <w:numPr>
          <w:ilvl w:val="0"/>
          <w:numId w:val="17"/>
        </w:numPr>
        <w:tabs>
          <w:tab w:val="left" w:pos="1890"/>
        </w:tabs>
        <w:ind w:left="1890"/>
        <w:jc w:val="both"/>
        <w:rPr>
          <w:rFonts w:ascii="Calibri" w:hAnsi="Calibri"/>
        </w:rPr>
      </w:pPr>
      <w:r w:rsidRPr="005E020C">
        <w:rPr>
          <w:rFonts w:ascii="Calibri" w:hAnsi="Calibri"/>
          <w:b/>
        </w:rPr>
        <w:t xml:space="preserve">12 PIEs </w:t>
      </w:r>
      <w:r w:rsidRPr="005E020C">
        <w:rPr>
          <w:rFonts w:ascii="Calibri" w:hAnsi="Calibri"/>
        </w:rPr>
        <w:t xml:space="preserve">[4 listed (2 Industry and 2 Investment), 1 regulated by BOM, 4 in Category 4 and 3 </w:t>
      </w:r>
      <w:r w:rsidR="004F5E3B" w:rsidRPr="00461D30">
        <w:rPr>
          <w:rFonts w:ascii="Calibri" w:hAnsi="Calibri"/>
          <w:lang w:val="en-US"/>
        </w:rPr>
        <w:t>S</w:t>
      </w:r>
      <w:r w:rsidR="004F5E3B">
        <w:rPr>
          <w:rFonts w:ascii="Calibri" w:hAnsi="Calibri"/>
          <w:lang w:val="en-US"/>
        </w:rPr>
        <w:t>tate Owned Enterprises</w:t>
      </w:r>
      <w:r w:rsidR="004F5E3B" w:rsidRPr="00461D30">
        <w:rPr>
          <w:rFonts w:ascii="Calibri" w:hAnsi="Calibri"/>
          <w:lang w:val="en-US"/>
        </w:rPr>
        <w:t xml:space="preserve"> as per the First Schedule of FRA</w:t>
      </w:r>
      <w:r w:rsidRPr="005E020C">
        <w:rPr>
          <w:rFonts w:ascii="Calibri" w:hAnsi="Calibri"/>
        </w:rPr>
        <w:t>]</w:t>
      </w:r>
      <w:r w:rsidRPr="005E020C">
        <w:rPr>
          <w:rFonts w:ascii="Calibri" w:hAnsi="Calibri"/>
          <w:b/>
        </w:rPr>
        <w:t xml:space="preserve"> had reported on the consistency of the requirements of the Code; </w:t>
      </w:r>
      <w:r w:rsidRPr="005E020C">
        <w:rPr>
          <w:rFonts w:ascii="Calibri" w:hAnsi="Calibri"/>
        </w:rPr>
        <w:t>and</w:t>
      </w:r>
    </w:p>
    <w:p w:rsidR="00D31F42" w:rsidRPr="005E020C" w:rsidRDefault="00D31F42" w:rsidP="002B4110">
      <w:pPr>
        <w:tabs>
          <w:tab w:val="left" w:pos="1890"/>
        </w:tabs>
        <w:ind w:left="1620" w:hanging="90"/>
        <w:jc w:val="both"/>
        <w:rPr>
          <w:rFonts w:ascii="Calibri" w:hAnsi="Calibri"/>
          <w:b/>
        </w:rPr>
      </w:pPr>
    </w:p>
    <w:p w:rsidR="00D31F42" w:rsidRPr="005E020C" w:rsidRDefault="00D31F42" w:rsidP="00F7611C">
      <w:pPr>
        <w:numPr>
          <w:ilvl w:val="0"/>
          <w:numId w:val="17"/>
        </w:numPr>
        <w:tabs>
          <w:tab w:val="left" w:pos="1890"/>
        </w:tabs>
        <w:ind w:left="1890"/>
        <w:jc w:val="both"/>
        <w:rPr>
          <w:rFonts w:ascii="Calibri" w:hAnsi="Calibri"/>
        </w:rPr>
      </w:pPr>
      <w:r w:rsidRPr="005E020C">
        <w:rPr>
          <w:rFonts w:ascii="Calibri" w:hAnsi="Calibri"/>
          <w:b/>
        </w:rPr>
        <w:t xml:space="preserve">1 PIE </w:t>
      </w:r>
      <w:r w:rsidRPr="005E020C">
        <w:rPr>
          <w:rFonts w:ascii="Calibri" w:hAnsi="Calibri"/>
        </w:rPr>
        <w:t>in Category 4 of the Financial Reporting Act reported on the extent of compliance by the entity with the requirements of the Code of Corporate Governance as follows:</w:t>
      </w:r>
    </w:p>
    <w:p w:rsidR="00D31F42" w:rsidRPr="005E020C" w:rsidRDefault="00D31F42" w:rsidP="009023B5">
      <w:pPr>
        <w:ind w:left="1620" w:hanging="360"/>
        <w:jc w:val="both"/>
        <w:rPr>
          <w:rFonts w:ascii="Calibri" w:hAnsi="Calibri"/>
        </w:rPr>
      </w:pPr>
    </w:p>
    <w:p w:rsidR="00D31F42" w:rsidRPr="005E020C" w:rsidRDefault="00D31F42" w:rsidP="00E12ABD">
      <w:pPr>
        <w:ind w:left="1890"/>
        <w:jc w:val="both"/>
        <w:rPr>
          <w:rFonts w:ascii="Calibri" w:hAnsi="Calibri"/>
          <w:i/>
        </w:rPr>
      </w:pPr>
      <w:r w:rsidRPr="005E020C">
        <w:rPr>
          <w:rFonts w:ascii="Calibri" w:hAnsi="Calibri"/>
          <w:i/>
        </w:rPr>
        <w:t>“The disclosure on Corporate Governance Report is in line with Section 2.5 of</w:t>
      </w:r>
      <w:r w:rsidRPr="005E020C">
        <w:rPr>
          <w:rFonts w:ascii="Calibri" w:hAnsi="Calibri"/>
          <w:i/>
          <w:color w:val="FF0000"/>
        </w:rPr>
        <w:t xml:space="preserve"> </w:t>
      </w:r>
      <w:r w:rsidRPr="005E020C">
        <w:rPr>
          <w:rFonts w:ascii="Calibri" w:hAnsi="Calibri"/>
          <w:i/>
        </w:rPr>
        <w:t xml:space="preserve">Governance Practice Guidance for unlisted and family companies.”  </w:t>
      </w:r>
    </w:p>
    <w:p w:rsidR="00D31F42" w:rsidRPr="005E020C" w:rsidRDefault="00D31F42" w:rsidP="00E12ABD">
      <w:pPr>
        <w:ind w:left="1890"/>
        <w:jc w:val="both"/>
        <w:rPr>
          <w:rFonts w:ascii="Calibri" w:hAnsi="Calibri"/>
        </w:rPr>
      </w:pPr>
    </w:p>
    <w:p w:rsidR="00D31F42" w:rsidRPr="005E020C" w:rsidRDefault="00D31F42" w:rsidP="00E12ABD">
      <w:pPr>
        <w:tabs>
          <w:tab w:val="left" w:pos="1440"/>
          <w:tab w:val="left" w:pos="2160"/>
          <w:tab w:val="left" w:pos="2880"/>
          <w:tab w:val="left" w:pos="3600"/>
          <w:tab w:val="left" w:pos="4320"/>
          <w:tab w:val="left" w:pos="5040"/>
          <w:tab w:val="left" w:pos="5790"/>
        </w:tabs>
        <w:ind w:left="1890"/>
        <w:jc w:val="both"/>
        <w:rPr>
          <w:rFonts w:ascii="Calibri" w:hAnsi="Calibri"/>
        </w:rPr>
      </w:pPr>
      <w:r w:rsidRPr="005E020C">
        <w:rPr>
          <w:rFonts w:ascii="Calibri" w:hAnsi="Calibri"/>
        </w:rPr>
        <w:t xml:space="preserve">FRC was of the view that the auditor had made reference to the new Code of Corporate Governance, which will be effective as from 01 July 2016 rather than the prevailing Code of Corporate Governance.  </w:t>
      </w:r>
    </w:p>
    <w:p w:rsidR="00D31F42" w:rsidRPr="005E020C" w:rsidRDefault="00D31F42" w:rsidP="00214EBC">
      <w:pPr>
        <w:autoSpaceDE w:val="0"/>
        <w:autoSpaceDN w:val="0"/>
        <w:adjustRightInd w:val="0"/>
        <w:jc w:val="both"/>
        <w:rPr>
          <w:rFonts w:ascii="Calibri" w:hAnsi="Calibri"/>
        </w:rPr>
      </w:pPr>
    </w:p>
    <w:p w:rsidR="00D31F42" w:rsidRPr="005E020C" w:rsidRDefault="00D31F42" w:rsidP="00F7611C">
      <w:pPr>
        <w:numPr>
          <w:ilvl w:val="1"/>
          <w:numId w:val="35"/>
        </w:numPr>
        <w:ind w:left="1530" w:hanging="450"/>
        <w:jc w:val="both"/>
        <w:rPr>
          <w:rFonts w:ascii="Calibri" w:hAnsi="Calibri" w:cs="Arial"/>
          <w:b/>
          <w:color w:val="000000"/>
        </w:rPr>
      </w:pPr>
      <w:r w:rsidRPr="005E020C">
        <w:rPr>
          <w:rFonts w:ascii="Calibri" w:hAnsi="Calibri" w:cs="Arial"/>
          <w:b/>
          <w:color w:val="000000"/>
        </w:rPr>
        <w:tab/>
      </w:r>
      <w:bookmarkStart w:id="11" w:name="AFees"/>
      <w:r w:rsidRPr="005E020C">
        <w:rPr>
          <w:rFonts w:ascii="Calibri" w:hAnsi="Calibri" w:cs="Arial"/>
          <w:b/>
          <w:color w:val="000000"/>
        </w:rPr>
        <w:t>Audit and non-audit fees</w:t>
      </w:r>
    </w:p>
    <w:bookmarkEnd w:id="11"/>
    <w:p w:rsidR="00D31F42" w:rsidRPr="005E020C" w:rsidRDefault="00D31F42" w:rsidP="00BC15F9">
      <w:pPr>
        <w:jc w:val="both"/>
        <w:rPr>
          <w:rFonts w:ascii="Calibri" w:hAnsi="Calibri"/>
          <w:b/>
          <w:bCs/>
          <w:highlight w:val="yellow"/>
          <w:u w:val="single"/>
        </w:rPr>
      </w:pPr>
    </w:p>
    <w:p w:rsidR="00D31F42" w:rsidRPr="005E020C" w:rsidRDefault="00D31F42" w:rsidP="002B4110">
      <w:pPr>
        <w:ind w:left="1530"/>
        <w:jc w:val="both"/>
        <w:rPr>
          <w:rFonts w:ascii="Calibri" w:hAnsi="Calibri"/>
        </w:rPr>
      </w:pPr>
      <w:r w:rsidRPr="005E020C">
        <w:rPr>
          <w:rFonts w:ascii="Calibri" w:hAnsi="Calibri"/>
        </w:rPr>
        <w:t>From the annual report review, FRC observed that some licensed auditors had provided non-audit services to PIEs such as tax services.</w:t>
      </w:r>
    </w:p>
    <w:p w:rsidR="00D31F42" w:rsidRDefault="00D31F42" w:rsidP="002B4110">
      <w:pPr>
        <w:ind w:left="1530"/>
        <w:jc w:val="both"/>
        <w:rPr>
          <w:rFonts w:ascii="Calibri" w:hAnsi="Calibri"/>
          <w:sz w:val="16"/>
          <w:szCs w:val="16"/>
        </w:rPr>
      </w:pPr>
    </w:p>
    <w:p w:rsidR="00D31F42" w:rsidRPr="005E020C" w:rsidRDefault="00D31F42" w:rsidP="002B4110">
      <w:pPr>
        <w:ind w:left="1530"/>
        <w:jc w:val="both"/>
        <w:rPr>
          <w:rFonts w:ascii="Calibri" w:hAnsi="Calibri"/>
          <w:sz w:val="16"/>
          <w:szCs w:val="16"/>
        </w:rPr>
      </w:pPr>
    </w:p>
    <w:p w:rsidR="00D31F42" w:rsidRPr="005E020C" w:rsidRDefault="00D31F42" w:rsidP="00F7611C">
      <w:pPr>
        <w:numPr>
          <w:ilvl w:val="0"/>
          <w:numId w:val="5"/>
        </w:numPr>
        <w:ind w:left="1800" w:hanging="270"/>
        <w:jc w:val="both"/>
        <w:rPr>
          <w:rFonts w:ascii="Calibri" w:hAnsi="Calibri"/>
        </w:rPr>
      </w:pPr>
      <w:r w:rsidRPr="005E020C">
        <w:rPr>
          <w:rFonts w:ascii="Calibri" w:hAnsi="Calibri"/>
        </w:rPr>
        <w:lastRenderedPageBreak/>
        <w:t xml:space="preserve">   Legal requirements for PIEs</w:t>
      </w:r>
    </w:p>
    <w:p w:rsidR="00D31F42" w:rsidRPr="005E020C" w:rsidRDefault="00D31F42" w:rsidP="009023B5">
      <w:pPr>
        <w:ind w:left="1800"/>
        <w:jc w:val="both"/>
        <w:rPr>
          <w:rFonts w:ascii="Calibri" w:hAnsi="Calibri"/>
          <w:sz w:val="16"/>
          <w:szCs w:val="16"/>
          <w:u w:val="single"/>
        </w:rPr>
      </w:pPr>
    </w:p>
    <w:p w:rsidR="00D31F42" w:rsidRPr="005E020C" w:rsidRDefault="00D31F42" w:rsidP="002B4110">
      <w:pPr>
        <w:ind w:left="1980"/>
        <w:jc w:val="both"/>
        <w:rPr>
          <w:rFonts w:ascii="Calibri" w:hAnsi="Calibri"/>
        </w:rPr>
      </w:pPr>
      <w:r w:rsidRPr="005E020C">
        <w:rPr>
          <w:rFonts w:ascii="Calibri" w:hAnsi="Calibri"/>
        </w:rPr>
        <w:t>In accordance with legal requirements and under the code of corporate governance, PIEs are required to disclose the following information for the non-audit services rendered by their external auditors in their annual reports:</w:t>
      </w:r>
    </w:p>
    <w:p w:rsidR="00D31F42" w:rsidRPr="005E020C" w:rsidRDefault="00D31F42" w:rsidP="009023B5">
      <w:pPr>
        <w:ind w:left="1440"/>
        <w:jc w:val="both"/>
        <w:rPr>
          <w:rFonts w:ascii="Calibri" w:hAnsi="Calibri"/>
        </w:rPr>
      </w:pPr>
    </w:p>
    <w:p w:rsidR="00D31F42" w:rsidRPr="005E020C" w:rsidRDefault="00D31F42" w:rsidP="00F7611C">
      <w:pPr>
        <w:numPr>
          <w:ilvl w:val="0"/>
          <w:numId w:val="4"/>
        </w:numPr>
        <w:ind w:left="2250" w:hanging="270"/>
        <w:jc w:val="both"/>
        <w:rPr>
          <w:rFonts w:ascii="Calibri" w:hAnsi="Calibri"/>
        </w:rPr>
      </w:pPr>
      <w:r w:rsidRPr="005E020C">
        <w:rPr>
          <w:rFonts w:ascii="Calibri" w:hAnsi="Calibri"/>
        </w:rPr>
        <w:t xml:space="preserve">  Separate disclosure of the amount paid for non-audit services as opposed to audit services (section 221 of the Companies Act 2001 </w:t>
      </w:r>
      <w:r w:rsidRPr="005E020C">
        <w:rPr>
          <w:rFonts w:ascii="Calibri" w:hAnsi="Calibri"/>
          <w:i/>
        </w:rPr>
        <w:t>Contents of annual report</w:t>
      </w:r>
      <w:r w:rsidRPr="005E020C">
        <w:rPr>
          <w:rFonts w:ascii="Calibri" w:hAnsi="Calibri"/>
        </w:rPr>
        <w:t xml:space="preserve"> refers).</w:t>
      </w:r>
    </w:p>
    <w:p w:rsidR="00D31F42" w:rsidRPr="005E020C" w:rsidRDefault="00D31F42" w:rsidP="002B4110">
      <w:pPr>
        <w:ind w:left="2250" w:hanging="270"/>
        <w:jc w:val="both"/>
        <w:rPr>
          <w:rFonts w:ascii="Calibri" w:hAnsi="Calibri"/>
        </w:rPr>
      </w:pPr>
    </w:p>
    <w:p w:rsidR="00D31F42" w:rsidRPr="005E020C" w:rsidRDefault="00D31F42" w:rsidP="00F7611C">
      <w:pPr>
        <w:numPr>
          <w:ilvl w:val="0"/>
          <w:numId w:val="4"/>
        </w:numPr>
        <w:ind w:left="2250" w:hanging="270"/>
        <w:jc w:val="both"/>
        <w:rPr>
          <w:rFonts w:ascii="Calibri" w:hAnsi="Calibri"/>
        </w:rPr>
      </w:pPr>
      <w:r w:rsidRPr="005E020C">
        <w:rPr>
          <w:rFonts w:ascii="Calibri" w:hAnsi="Calibri"/>
        </w:rPr>
        <w:t xml:space="preserve">  Description of non-audit services rendered by the external auditor in their annual reports stating particulars of the nature of the services and amounts paid for each nature of services.</w:t>
      </w:r>
    </w:p>
    <w:p w:rsidR="00D31F42" w:rsidRPr="005E020C" w:rsidRDefault="00D31F42" w:rsidP="002B4110">
      <w:pPr>
        <w:ind w:left="2250" w:hanging="270"/>
        <w:jc w:val="both"/>
        <w:rPr>
          <w:rFonts w:ascii="Calibri" w:hAnsi="Calibri"/>
          <w:highlight w:val="yellow"/>
        </w:rPr>
      </w:pPr>
    </w:p>
    <w:p w:rsidR="00D31F42" w:rsidRPr="005E020C" w:rsidRDefault="00D31F42" w:rsidP="002B4110">
      <w:pPr>
        <w:tabs>
          <w:tab w:val="left" w:pos="1980"/>
        </w:tabs>
        <w:ind w:left="1980"/>
        <w:jc w:val="both"/>
        <w:rPr>
          <w:rFonts w:ascii="Calibri" w:hAnsi="Calibri"/>
          <w:bCs/>
        </w:rPr>
      </w:pPr>
      <w:r w:rsidRPr="005E020C">
        <w:rPr>
          <w:rFonts w:ascii="Calibri" w:hAnsi="Calibri"/>
          <w:bCs/>
        </w:rPr>
        <w:t>With respect to audit and non-audit fees, the following observations were made for the 13 reviews:</w:t>
      </w:r>
    </w:p>
    <w:p w:rsidR="00D31F42" w:rsidRPr="005E020C" w:rsidRDefault="00D31F42" w:rsidP="009023B5">
      <w:pPr>
        <w:ind w:left="2520"/>
        <w:jc w:val="both"/>
        <w:rPr>
          <w:rFonts w:ascii="Calibri" w:hAnsi="Calibri"/>
          <w:b/>
          <w:bCs/>
          <w:highlight w:val="yellow"/>
          <w:u w:val="single"/>
        </w:rPr>
      </w:pPr>
    </w:p>
    <w:p w:rsidR="00D31F42" w:rsidRPr="005E020C" w:rsidRDefault="00D31F42" w:rsidP="00F7611C">
      <w:pPr>
        <w:numPr>
          <w:ilvl w:val="0"/>
          <w:numId w:val="36"/>
        </w:numPr>
        <w:ind w:left="2340"/>
        <w:jc w:val="both"/>
        <w:rPr>
          <w:rFonts w:ascii="Calibri" w:hAnsi="Calibri"/>
          <w:b/>
        </w:rPr>
      </w:pPr>
      <w:r w:rsidRPr="005E020C">
        <w:rPr>
          <w:rFonts w:ascii="Calibri" w:hAnsi="Calibri"/>
          <w:b/>
        </w:rPr>
        <w:t xml:space="preserve">   6 PIEs</w:t>
      </w:r>
      <w:r w:rsidRPr="005E020C">
        <w:rPr>
          <w:rFonts w:ascii="Calibri" w:hAnsi="Calibri"/>
        </w:rPr>
        <w:t xml:space="preserve"> [1 listed in Industry sector, 3 PIEs in Category 4 and 2 </w:t>
      </w:r>
      <w:r w:rsidR="004F5E3B" w:rsidRPr="00461D30">
        <w:rPr>
          <w:rFonts w:ascii="Calibri" w:hAnsi="Calibri"/>
          <w:lang w:val="en-US"/>
        </w:rPr>
        <w:t>S</w:t>
      </w:r>
      <w:r w:rsidR="004F5E3B">
        <w:rPr>
          <w:rFonts w:ascii="Calibri" w:hAnsi="Calibri"/>
          <w:lang w:val="en-US"/>
        </w:rPr>
        <w:t>tate Owned Enterprises</w:t>
      </w:r>
      <w:r w:rsidR="004F5E3B" w:rsidRPr="00461D30">
        <w:rPr>
          <w:rFonts w:ascii="Calibri" w:hAnsi="Calibri"/>
          <w:lang w:val="en-US"/>
        </w:rPr>
        <w:t xml:space="preserve"> as per the First Schedule of FRA</w:t>
      </w:r>
      <w:r w:rsidRPr="005E020C">
        <w:rPr>
          <w:rFonts w:ascii="Calibri" w:hAnsi="Calibri"/>
        </w:rPr>
        <w:t xml:space="preserve">] </w:t>
      </w:r>
      <w:r w:rsidRPr="005E020C">
        <w:rPr>
          <w:rFonts w:ascii="Calibri" w:hAnsi="Calibri"/>
          <w:b/>
        </w:rPr>
        <w:t>had paid fees for audit services only.</w:t>
      </w:r>
    </w:p>
    <w:p w:rsidR="00D31F42" w:rsidRPr="005E020C" w:rsidRDefault="00D31F42" w:rsidP="002B4110">
      <w:pPr>
        <w:tabs>
          <w:tab w:val="num" w:pos="561"/>
        </w:tabs>
        <w:ind w:left="2340" w:hanging="360"/>
        <w:jc w:val="both"/>
        <w:rPr>
          <w:rFonts w:ascii="Calibri" w:hAnsi="Calibri"/>
          <w:highlight w:val="yellow"/>
        </w:rPr>
      </w:pPr>
    </w:p>
    <w:p w:rsidR="00D31F42" w:rsidRPr="005E020C" w:rsidRDefault="00D31F42" w:rsidP="00F7611C">
      <w:pPr>
        <w:numPr>
          <w:ilvl w:val="0"/>
          <w:numId w:val="36"/>
        </w:numPr>
        <w:ind w:left="2340"/>
        <w:jc w:val="both"/>
        <w:rPr>
          <w:rFonts w:ascii="Calibri" w:hAnsi="Calibri"/>
          <w:b/>
        </w:rPr>
      </w:pPr>
      <w:r w:rsidRPr="005E020C">
        <w:rPr>
          <w:rFonts w:ascii="Calibri" w:hAnsi="Calibri"/>
          <w:b/>
        </w:rPr>
        <w:t xml:space="preserve">   6 PIEs</w:t>
      </w:r>
      <w:r w:rsidRPr="005E020C">
        <w:rPr>
          <w:rFonts w:ascii="Calibri" w:hAnsi="Calibri"/>
        </w:rPr>
        <w:t xml:space="preserve"> [4 listed (1 Commerce, 1 Industry and 2 Investment), 1 PIE regulated by BOM and 1 PIE in Category 4] </w:t>
      </w:r>
      <w:r w:rsidRPr="005E020C">
        <w:rPr>
          <w:rFonts w:ascii="Calibri" w:hAnsi="Calibri"/>
          <w:b/>
        </w:rPr>
        <w:t xml:space="preserve">had disclosed fees paid for audit services as well as ‘other services’ provided by the same firms of external auditors. The ‘other services’ rendered by the auditors consisted mainly of taxation services. </w:t>
      </w:r>
    </w:p>
    <w:p w:rsidR="00D31F42" w:rsidRPr="005E020C" w:rsidRDefault="00D31F42" w:rsidP="002B4110">
      <w:pPr>
        <w:ind w:left="2340" w:hanging="360"/>
        <w:jc w:val="both"/>
        <w:rPr>
          <w:rFonts w:ascii="Calibri" w:hAnsi="Calibri"/>
          <w:b/>
        </w:rPr>
      </w:pPr>
    </w:p>
    <w:p w:rsidR="00D31F42" w:rsidRPr="005E020C" w:rsidRDefault="006C5C83" w:rsidP="00F7611C">
      <w:pPr>
        <w:numPr>
          <w:ilvl w:val="0"/>
          <w:numId w:val="36"/>
        </w:numPr>
        <w:ind w:left="2340"/>
        <w:jc w:val="both"/>
        <w:rPr>
          <w:rFonts w:ascii="Calibri" w:hAnsi="Calibri"/>
          <w:b/>
        </w:rPr>
      </w:pPr>
      <w:r>
        <w:rPr>
          <w:rFonts w:ascii="Calibri" w:hAnsi="Calibri"/>
          <w:b/>
        </w:rPr>
        <w:t xml:space="preserve">   1 </w:t>
      </w:r>
      <w:r w:rsidRPr="006C5C83">
        <w:rPr>
          <w:rFonts w:ascii="Calibri" w:hAnsi="Calibri"/>
          <w:b/>
        </w:rPr>
        <w:t xml:space="preserve">Stated Owned Enterprise </w:t>
      </w:r>
      <w:r w:rsidR="004F5E3B">
        <w:rPr>
          <w:rFonts w:ascii="Calibri" w:hAnsi="Calibri"/>
          <w:b/>
        </w:rPr>
        <w:t xml:space="preserve">as per </w:t>
      </w:r>
      <w:r w:rsidRPr="00246673">
        <w:rPr>
          <w:rFonts w:ascii="Calibri" w:hAnsi="Calibri"/>
          <w:b/>
        </w:rPr>
        <w:t xml:space="preserve">the First Schedule of FRA </w:t>
      </w:r>
      <w:r w:rsidR="00D31F42" w:rsidRPr="00246673">
        <w:rPr>
          <w:rFonts w:ascii="Calibri" w:hAnsi="Calibri"/>
          <w:b/>
        </w:rPr>
        <w:t>had not disclosed the audit fees payable to its external</w:t>
      </w:r>
      <w:r w:rsidR="00D31F42" w:rsidRPr="005E020C">
        <w:rPr>
          <w:rFonts w:ascii="Calibri" w:hAnsi="Calibri"/>
          <w:b/>
        </w:rPr>
        <w:t xml:space="preserve"> auditor as it was not required to comply with the requirements of the Companies Act 2001.  </w:t>
      </w:r>
    </w:p>
    <w:p w:rsidR="00D31F42" w:rsidRDefault="00D31F42" w:rsidP="004A0958">
      <w:pPr>
        <w:jc w:val="both"/>
        <w:rPr>
          <w:rFonts w:ascii="Calibri" w:hAnsi="Calibri" w:cs="Arial"/>
          <w:highlight w:val="yellow"/>
        </w:rPr>
      </w:pPr>
    </w:p>
    <w:p w:rsidR="00D31F42" w:rsidRPr="005E020C" w:rsidRDefault="00D31F42" w:rsidP="004A0958">
      <w:pPr>
        <w:jc w:val="both"/>
        <w:rPr>
          <w:rFonts w:ascii="Calibri" w:hAnsi="Calibri" w:cs="Arial"/>
          <w:highlight w:val="yellow"/>
        </w:rPr>
      </w:pPr>
    </w:p>
    <w:p w:rsidR="00D31F42" w:rsidRPr="005E020C" w:rsidRDefault="00D31F42" w:rsidP="00F7611C">
      <w:pPr>
        <w:numPr>
          <w:ilvl w:val="0"/>
          <w:numId w:val="5"/>
        </w:numPr>
        <w:tabs>
          <w:tab w:val="left" w:pos="1980"/>
        </w:tabs>
        <w:ind w:left="1800" w:hanging="270"/>
        <w:jc w:val="both"/>
        <w:rPr>
          <w:rFonts w:ascii="Calibri" w:hAnsi="Calibri"/>
        </w:rPr>
      </w:pPr>
      <w:smartTag w:uri="urn:schemas-microsoft-com:office:smarttags" w:element="place">
        <w:smartTag w:uri="urn:schemas-microsoft-com:office:smarttags" w:element="City">
          <w:r w:rsidRPr="005E020C">
            <w:rPr>
              <w:rFonts w:ascii="Calibri" w:hAnsi="Calibri"/>
            </w:rPr>
            <w:t>Independence</w:t>
          </w:r>
        </w:smartTag>
      </w:smartTag>
      <w:r w:rsidRPr="005E020C">
        <w:rPr>
          <w:rFonts w:ascii="Calibri" w:hAnsi="Calibri"/>
        </w:rPr>
        <w:t xml:space="preserve"> of auditors in respect of non-audit services</w:t>
      </w:r>
    </w:p>
    <w:p w:rsidR="00D31F42" w:rsidRPr="005E020C" w:rsidRDefault="00D31F42" w:rsidP="00CE51B2">
      <w:pPr>
        <w:ind w:left="1080"/>
        <w:jc w:val="both"/>
        <w:rPr>
          <w:rFonts w:ascii="Calibri" w:hAnsi="Calibri"/>
        </w:rPr>
      </w:pPr>
    </w:p>
    <w:p w:rsidR="00D31F42" w:rsidRPr="005E020C" w:rsidRDefault="00D31F42" w:rsidP="002B4110">
      <w:pPr>
        <w:ind w:left="1980"/>
        <w:jc w:val="both"/>
        <w:rPr>
          <w:rFonts w:ascii="Calibri" w:hAnsi="Calibri"/>
        </w:rPr>
      </w:pPr>
      <w:r w:rsidRPr="005E020C">
        <w:rPr>
          <w:rFonts w:ascii="Calibri" w:hAnsi="Calibri"/>
        </w:rPr>
        <w:t>The concern is that there are certain provision of other services which may impair auditor’s independence and objectivity.  The importance of external auditor independence is a vital pre-condition for the workings of efficient capital markets that would undoubtedly promote investor’s confidence.</w:t>
      </w:r>
    </w:p>
    <w:p w:rsidR="00D31F42" w:rsidRPr="005E020C" w:rsidRDefault="00D31F42" w:rsidP="002B4110">
      <w:pPr>
        <w:ind w:left="1980"/>
        <w:jc w:val="both"/>
        <w:rPr>
          <w:rFonts w:ascii="Calibri" w:hAnsi="Calibri"/>
        </w:rPr>
      </w:pPr>
    </w:p>
    <w:p w:rsidR="00D31F42" w:rsidRDefault="00D31F42" w:rsidP="002B4110">
      <w:pPr>
        <w:ind w:left="1980"/>
        <w:jc w:val="both"/>
        <w:rPr>
          <w:rFonts w:ascii="Calibri" w:hAnsi="Calibri"/>
        </w:rPr>
      </w:pPr>
      <w:r w:rsidRPr="005E020C">
        <w:rPr>
          <w:rFonts w:ascii="Calibri" w:hAnsi="Calibri"/>
        </w:rPr>
        <w:lastRenderedPageBreak/>
        <w:t>Whenever non-audit services are provided by the engagement partner, the PIEs have to assess the significance of any threats to independence and apply safeguards when necessary to eliminate the threat or reduce it to an acceptable level in accordance with the IFAC code of Ethics. Also, the allowable non-audit services as per the IFAC Code of Ethics shall be adhered to by auditors.</w:t>
      </w:r>
    </w:p>
    <w:p w:rsidR="00D31F42" w:rsidRPr="005E020C" w:rsidRDefault="00D31F42" w:rsidP="002B4110">
      <w:pPr>
        <w:ind w:left="1980"/>
        <w:jc w:val="both"/>
        <w:rPr>
          <w:rFonts w:ascii="Calibri" w:hAnsi="Calibri"/>
        </w:rPr>
      </w:pPr>
    </w:p>
    <w:p w:rsidR="00D31F42" w:rsidRPr="005E020C" w:rsidRDefault="00D31F42" w:rsidP="00F7611C">
      <w:pPr>
        <w:numPr>
          <w:ilvl w:val="1"/>
          <w:numId w:val="35"/>
        </w:numPr>
        <w:ind w:left="1530" w:hanging="450"/>
        <w:jc w:val="both"/>
        <w:rPr>
          <w:rFonts w:ascii="Calibri" w:hAnsi="Calibri" w:cs="Arial"/>
          <w:b/>
          <w:color w:val="000000"/>
        </w:rPr>
      </w:pPr>
      <w:bookmarkStart w:id="12" w:name="Non"/>
      <w:r w:rsidRPr="005E020C">
        <w:rPr>
          <w:rFonts w:ascii="Calibri" w:hAnsi="Calibri" w:cs="Arial"/>
          <w:b/>
          <w:color w:val="000000"/>
        </w:rPr>
        <w:t xml:space="preserve">  Non-financial information</w:t>
      </w:r>
      <w:bookmarkEnd w:id="12"/>
    </w:p>
    <w:p w:rsidR="00D31F42" w:rsidRPr="005E020C" w:rsidRDefault="00D31F42" w:rsidP="00ED68ED">
      <w:pPr>
        <w:ind w:left="720"/>
        <w:jc w:val="both"/>
        <w:rPr>
          <w:rFonts w:ascii="Calibri" w:hAnsi="Calibri"/>
        </w:rPr>
      </w:pPr>
    </w:p>
    <w:p w:rsidR="00D31F42" w:rsidRPr="005E020C" w:rsidRDefault="00D31F42" w:rsidP="002B4110">
      <w:pPr>
        <w:ind w:left="1530"/>
        <w:jc w:val="both"/>
        <w:rPr>
          <w:rFonts w:ascii="Calibri" w:hAnsi="Calibri"/>
        </w:rPr>
      </w:pPr>
      <w:r w:rsidRPr="005E020C">
        <w:rPr>
          <w:rFonts w:ascii="Calibri" w:hAnsi="Calibri"/>
        </w:rPr>
        <w:t>A good annual report always addresses all the required relevant information in respect of the entities’ activities, objectives and strategic plans, firms’ values and principles, factors affecting its environment and its performance.</w:t>
      </w:r>
    </w:p>
    <w:p w:rsidR="00D31F42" w:rsidRPr="005E020C" w:rsidRDefault="00D31F42" w:rsidP="002B4110">
      <w:pPr>
        <w:ind w:left="1530"/>
        <w:jc w:val="both"/>
        <w:rPr>
          <w:rFonts w:ascii="Calibri" w:hAnsi="Calibri"/>
          <w:highlight w:val="yellow"/>
        </w:rPr>
      </w:pPr>
    </w:p>
    <w:p w:rsidR="00D31F42" w:rsidRPr="005E020C" w:rsidRDefault="00D31F42" w:rsidP="002B4110">
      <w:pPr>
        <w:ind w:left="1530"/>
        <w:jc w:val="both"/>
        <w:rPr>
          <w:rFonts w:ascii="Calibri" w:hAnsi="Calibri" w:cs="Arial"/>
          <w:bCs/>
        </w:rPr>
      </w:pPr>
      <w:r w:rsidRPr="005E020C">
        <w:rPr>
          <w:rFonts w:ascii="Calibri" w:hAnsi="Calibri" w:cs="Arial"/>
          <w:bCs/>
        </w:rPr>
        <w:t>From the 13 annual reports reviewed, FRC made the following observations:</w:t>
      </w:r>
    </w:p>
    <w:p w:rsidR="00D31F42" w:rsidRPr="005E020C" w:rsidRDefault="00D31F42" w:rsidP="002B4110">
      <w:pPr>
        <w:ind w:left="1530"/>
        <w:jc w:val="both"/>
        <w:rPr>
          <w:rFonts w:ascii="Calibri" w:hAnsi="Calibri" w:cs="Arial"/>
          <w:bCs/>
        </w:rPr>
      </w:pPr>
    </w:p>
    <w:p w:rsidR="00D31F42" w:rsidRPr="005E020C" w:rsidRDefault="00D31F42" w:rsidP="00F7611C">
      <w:pPr>
        <w:pStyle w:val="ListParagraph"/>
        <w:numPr>
          <w:ilvl w:val="0"/>
          <w:numId w:val="9"/>
        </w:numPr>
        <w:ind w:left="1800" w:hanging="270"/>
        <w:contextualSpacing/>
        <w:jc w:val="both"/>
        <w:rPr>
          <w:rFonts w:ascii="Calibri" w:hAnsi="Calibri" w:cs="Arial"/>
          <w:bCs/>
        </w:rPr>
      </w:pPr>
      <w:r w:rsidRPr="005E020C">
        <w:rPr>
          <w:rFonts w:ascii="Calibri" w:hAnsi="Calibri" w:cs="Arial"/>
          <w:bCs/>
        </w:rPr>
        <w:t xml:space="preserve">54% of companies discussed their corporate strategies </w:t>
      </w:r>
    </w:p>
    <w:p w:rsidR="00D31F42" w:rsidRPr="005E020C" w:rsidRDefault="00D31F42" w:rsidP="00F7611C">
      <w:pPr>
        <w:pStyle w:val="ListParagraph"/>
        <w:numPr>
          <w:ilvl w:val="0"/>
          <w:numId w:val="9"/>
        </w:numPr>
        <w:ind w:left="1800" w:hanging="270"/>
        <w:contextualSpacing/>
        <w:jc w:val="both"/>
        <w:rPr>
          <w:rFonts w:ascii="Calibri" w:hAnsi="Calibri" w:cs="Arial"/>
          <w:bCs/>
        </w:rPr>
      </w:pPr>
      <w:r w:rsidRPr="005E020C">
        <w:rPr>
          <w:rFonts w:ascii="Calibri" w:hAnsi="Calibri" w:cs="Arial"/>
          <w:bCs/>
        </w:rPr>
        <w:t>77% of the entities made disclosures regarding their business objectives;</w:t>
      </w:r>
    </w:p>
    <w:p w:rsidR="00D31F42" w:rsidRPr="005E020C" w:rsidRDefault="00D31F42" w:rsidP="00F7611C">
      <w:pPr>
        <w:pStyle w:val="ListParagraph"/>
        <w:numPr>
          <w:ilvl w:val="0"/>
          <w:numId w:val="9"/>
        </w:numPr>
        <w:ind w:left="1800" w:hanging="270"/>
        <w:contextualSpacing/>
        <w:jc w:val="both"/>
        <w:rPr>
          <w:rFonts w:ascii="Calibri" w:hAnsi="Calibri" w:cs="Arial"/>
          <w:bCs/>
        </w:rPr>
      </w:pPr>
      <w:r w:rsidRPr="005E020C">
        <w:rPr>
          <w:rFonts w:ascii="Calibri" w:hAnsi="Calibri" w:cs="Arial"/>
          <w:bCs/>
        </w:rPr>
        <w:t xml:space="preserve">31% of firms discussed values and principles; </w:t>
      </w:r>
    </w:p>
    <w:p w:rsidR="00D31F42" w:rsidRPr="005E020C" w:rsidRDefault="00D31F42" w:rsidP="00F7611C">
      <w:pPr>
        <w:pStyle w:val="ListParagraph"/>
        <w:numPr>
          <w:ilvl w:val="0"/>
          <w:numId w:val="9"/>
        </w:numPr>
        <w:ind w:left="1800" w:hanging="270"/>
        <w:contextualSpacing/>
        <w:jc w:val="both"/>
        <w:rPr>
          <w:rFonts w:ascii="Calibri" w:hAnsi="Calibri" w:cs="Arial"/>
          <w:bCs/>
        </w:rPr>
      </w:pPr>
      <w:r w:rsidRPr="005E020C">
        <w:rPr>
          <w:rFonts w:ascii="Calibri" w:hAnsi="Calibri" w:cs="Arial"/>
          <w:bCs/>
        </w:rPr>
        <w:t>100% of the PIEs provided a description of their businesses and scope; and</w:t>
      </w:r>
    </w:p>
    <w:p w:rsidR="00D31F42" w:rsidRPr="005E020C" w:rsidRDefault="00D31F42" w:rsidP="00F7611C">
      <w:pPr>
        <w:pStyle w:val="ListParagraph"/>
        <w:numPr>
          <w:ilvl w:val="0"/>
          <w:numId w:val="9"/>
        </w:numPr>
        <w:ind w:left="1800" w:hanging="270"/>
        <w:contextualSpacing/>
        <w:jc w:val="both"/>
        <w:rPr>
          <w:rFonts w:ascii="Calibri" w:hAnsi="Calibri" w:cs="Arial"/>
          <w:bCs/>
        </w:rPr>
      </w:pPr>
      <w:r w:rsidRPr="005E020C">
        <w:rPr>
          <w:rFonts w:ascii="Calibri" w:hAnsi="Calibri" w:cs="Arial"/>
          <w:bCs/>
        </w:rPr>
        <w:t>23% mentioned the external forces affecting the entities such as customer, suppliers and competitors.</w:t>
      </w:r>
    </w:p>
    <w:p w:rsidR="00D31F42" w:rsidRPr="005E020C" w:rsidRDefault="00D31F42" w:rsidP="0052723B">
      <w:pPr>
        <w:ind w:firstLine="720"/>
        <w:jc w:val="both"/>
        <w:rPr>
          <w:rFonts w:ascii="Calibri" w:hAnsi="Calibri" w:cs="Arial"/>
          <w:bCs/>
          <w:highlight w:val="yellow"/>
        </w:rPr>
      </w:pPr>
    </w:p>
    <w:p w:rsidR="00D31F42" w:rsidRPr="005E020C" w:rsidRDefault="00D31F42" w:rsidP="002B4110">
      <w:pPr>
        <w:ind w:left="1530"/>
        <w:jc w:val="both"/>
        <w:rPr>
          <w:rFonts w:ascii="Calibri" w:hAnsi="Calibri" w:cs="Arial"/>
          <w:bCs/>
        </w:rPr>
      </w:pPr>
      <w:r w:rsidRPr="005E020C">
        <w:rPr>
          <w:rFonts w:ascii="Calibri" w:hAnsi="Calibri" w:cs="Arial"/>
          <w:bCs/>
        </w:rPr>
        <w:t>FRC encourages PIEs to report on relevant non-financial information which will help users of accounts to interpret the financial information provided in the annual reports.</w:t>
      </w:r>
    </w:p>
    <w:p w:rsidR="00D31F42" w:rsidRPr="005E020C" w:rsidRDefault="00D31F42" w:rsidP="002B4110">
      <w:pPr>
        <w:ind w:left="1530"/>
        <w:jc w:val="both"/>
        <w:rPr>
          <w:rFonts w:ascii="Calibri" w:hAnsi="Calibri" w:cs="Arial"/>
          <w:bCs/>
        </w:rPr>
      </w:pPr>
    </w:p>
    <w:p w:rsidR="00D31F42" w:rsidRPr="005E020C" w:rsidRDefault="00D31F42" w:rsidP="00F7611C">
      <w:pPr>
        <w:numPr>
          <w:ilvl w:val="1"/>
          <w:numId w:val="35"/>
        </w:numPr>
        <w:ind w:left="1530" w:hanging="450"/>
        <w:jc w:val="both"/>
        <w:rPr>
          <w:rFonts w:ascii="Calibri" w:hAnsi="Calibri" w:cs="Arial"/>
          <w:b/>
          <w:color w:val="000000"/>
        </w:rPr>
      </w:pPr>
      <w:bookmarkStart w:id="13" w:name="Market"/>
      <w:r w:rsidRPr="005E020C">
        <w:rPr>
          <w:rFonts w:ascii="Calibri" w:hAnsi="Calibri" w:cs="Arial"/>
          <w:b/>
          <w:color w:val="000000"/>
        </w:rPr>
        <w:t xml:space="preserve">  Market Capitalisation</w:t>
      </w:r>
      <w:bookmarkEnd w:id="13"/>
    </w:p>
    <w:p w:rsidR="00D31F42" w:rsidRPr="005E020C" w:rsidRDefault="00D31F42" w:rsidP="00ED68ED">
      <w:pPr>
        <w:ind w:left="720"/>
        <w:jc w:val="both"/>
        <w:rPr>
          <w:rFonts w:ascii="Calibri" w:hAnsi="Calibri" w:cs="Arial"/>
        </w:rPr>
      </w:pPr>
    </w:p>
    <w:p w:rsidR="00D31F42" w:rsidRPr="005E020C" w:rsidRDefault="00D31F42" w:rsidP="004D66E8">
      <w:pPr>
        <w:ind w:left="1530"/>
        <w:jc w:val="both"/>
        <w:rPr>
          <w:rFonts w:ascii="Calibri" w:hAnsi="Calibri" w:cs="Arial"/>
        </w:rPr>
      </w:pPr>
      <w:r w:rsidRPr="005E020C">
        <w:rPr>
          <w:rFonts w:ascii="Calibri" w:hAnsi="Calibri" w:cs="Arial"/>
        </w:rPr>
        <w:t>Market capitalisation is calculated by multiplying a company's shares outstanding by the current market price of one share. This figure is used to determine a company's size, provides an indication of its value and its net worth.</w:t>
      </w:r>
    </w:p>
    <w:p w:rsidR="00D31F42" w:rsidRPr="005E020C" w:rsidRDefault="00D31F42" w:rsidP="004D66E8">
      <w:pPr>
        <w:ind w:left="1530"/>
        <w:jc w:val="both"/>
        <w:rPr>
          <w:rFonts w:ascii="Calibri" w:hAnsi="Calibri" w:cs="Arial"/>
        </w:rPr>
      </w:pPr>
    </w:p>
    <w:p w:rsidR="00D31F42" w:rsidRPr="005E020C" w:rsidRDefault="00D31F42" w:rsidP="004D66E8">
      <w:pPr>
        <w:ind w:left="1530"/>
        <w:jc w:val="both"/>
        <w:rPr>
          <w:rFonts w:ascii="Calibri" w:hAnsi="Calibri" w:cs="Arial"/>
        </w:rPr>
      </w:pPr>
      <w:r w:rsidRPr="005E020C">
        <w:rPr>
          <w:rFonts w:ascii="Calibri" w:hAnsi="Calibri" w:cs="Arial"/>
        </w:rPr>
        <w:t xml:space="preserve">For the six months ended 30 June 2016, FRC reviewed the annual reports of 5 listed companies and noted that their market capitalisation approximately totalled Rs 3,661,505,126. </w:t>
      </w:r>
    </w:p>
    <w:p w:rsidR="00D31F42" w:rsidRPr="005E020C" w:rsidRDefault="00D31F42" w:rsidP="004D66E8">
      <w:pPr>
        <w:ind w:left="1530"/>
        <w:jc w:val="both"/>
        <w:rPr>
          <w:rFonts w:ascii="Calibri" w:hAnsi="Calibri" w:cs="Arial"/>
        </w:rPr>
      </w:pPr>
    </w:p>
    <w:p w:rsidR="00D31F42" w:rsidRPr="005E020C" w:rsidRDefault="00D31F42" w:rsidP="004D66E8">
      <w:pPr>
        <w:ind w:left="1530"/>
        <w:jc w:val="both"/>
        <w:rPr>
          <w:rFonts w:ascii="Calibri" w:hAnsi="Calibri" w:cs="Arial"/>
        </w:rPr>
      </w:pPr>
      <w:r w:rsidRPr="005E020C">
        <w:rPr>
          <w:rFonts w:ascii="Calibri" w:hAnsi="Calibri" w:cs="Arial"/>
        </w:rPr>
        <w:lastRenderedPageBreak/>
        <w:t>3 PIEs that were the most capitalised were involved in investment and commerce. The PIEs that were least capitalised were engaged in industry.</w:t>
      </w:r>
    </w:p>
    <w:p w:rsidR="00D31F42" w:rsidRPr="005E020C" w:rsidRDefault="00D31F42" w:rsidP="00ED68ED">
      <w:pPr>
        <w:ind w:left="720"/>
        <w:jc w:val="both"/>
        <w:rPr>
          <w:rFonts w:ascii="Calibri" w:hAnsi="Calibri" w:cs="Arial"/>
          <w:bCs/>
          <w:highlight w:val="yellow"/>
        </w:rPr>
      </w:pPr>
    </w:p>
    <w:p w:rsidR="00D31F42" w:rsidRPr="00D63EDF" w:rsidRDefault="00D31F42" w:rsidP="004E2A4B">
      <w:pPr>
        <w:ind w:firstLine="540"/>
        <w:rPr>
          <w:rFonts w:ascii="Calibri" w:hAnsi="Calibri" w:cs="Arial"/>
          <w:b/>
          <w:color w:val="AEA206"/>
          <w:sz w:val="32"/>
          <w:szCs w:val="28"/>
        </w:rPr>
      </w:pPr>
      <w:bookmarkStart w:id="14" w:name="_Hlk395610500"/>
      <w:r w:rsidRPr="00D63EDF">
        <w:rPr>
          <w:rFonts w:ascii="Calibri" w:hAnsi="Calibri" w:cs="Arial"/>
          <w:b/>
          <w:color w:val="AEA206"/>
          <w:sz w:val="32"/>
          <w:szCs w:val="28"/>
        </w:rPr>
        <w:t xml:space="preserve">PART </w:t>
      </w:r>
      <w:bookmarkStart w:id="15" w:name="FUp"/>
      <w:r w:rsidRPr="00D63EDF">
        <w:rPr>
          <w:rFonts w:ascii="Calibri" w:hAnsi="Calibri" w:cs="Arial"/>
          <w:b/>
          <w:color w:val="AEA206"/>
          <w:sz w:val="32"/>
          <w:szCs w:val="28"/>
        </w:rPr>
        <w:t xml:space="preserve">B - Follow up reviews </w:t>
      </w:r>
      <w:bookmarkEnd w:id="15"/>
      <w:r w:rsidRPr="00D63EDF">
        <w:rPr>
          <w:rFonts w:ascii="Calibri" w:hAnsi="Calibri" w:cs="Arial"/>
          <w:b/>
          <w:color w:val="AEA206"/>
          <w:sz w:val="32"/>
          <w:szCs w:val="28"/>
        </w:rPr>
        <w:t>of Annual Reports</w:t>
      </w:r>
    </w:p>
    <w:bookmarkEnd w:id="14"/>
    <w:p w:rsidR="00D31F42" w:rsidRPr="00D63EDF" w:rsidRDefault="00D31F42" w:rsidP="00D63EDF">
      <w:pPr>
        <w:ind w:firstLine="540"/>
        <w:jc w:val="both"/>
        <w:rPr>
          <w:rFonts w:ascii="Calibri" w:hAnsi="Calibri" w:cs="Arial"/>
          <w:b/>
          <w:color w:val="AEA206"/>
        </w:rPr>
      </w:pPr>
      <w:r w:rsidRPr="00D63EDF">
        <w:rPr>
          <w:rFonts w:ascii="Calibri" w:hAnsi="Calibri" w:cs="Arial"/>
          <w:b/>
          <w:color w:val="AEA206"/>
        </w:rPr>
        <w:t>________________________________________________________________</w:t>
      </w:r>
    </w:p>
    <w:p w:rsidR="00D31F42" w:rsidRPr="005E020C" w:rsidRDefault="00D31F42" w:rsidP="00D63EDF">
      <w:pPr>
        <w:ind w:firstLine="540"/>
        <w:jc w:val="both"/>
        <w:rPr>
          <w:rFonts w:ascii="Calibri" w:hAnsi="Calibri" w:cs="Arial"/>
          <w:b/>
        </w:rPr>
      </w:pPr>
    </w:p>
    <w:p w:rsidR="00D31F42" w:rsidRPr="005E020C" w:rsidRDefault="00D31F42" w:rsidP="003A3DEE">
      <w:pPr>
        <w:ind w:left="540"/>
        <w:jc w:val="both"/>
        <w:rPr>
          <w:rFonts w:ascii="Calibri" w:hAnsi="Calibri" w:cs="Arial"/>
        </w:rPr>
      </w:pPr>
      <w:r w:rsidRPr="005E020C">
        <w:rPr>
          <w:rFonts w:ascii="Calibri" w:hAnsi="Calibri" w:cs="Arial"/>
        </w:rPr>
        <w:t>FRC undertook follow-up reviews to assess the extent to which findings raised on previous reviews had been satisfactorily addressed by the PIEs. New issues such as the application of new standards, amendments to standards and regulations arising during the course of the follow-up reviews of the annual reports were also considered.</w:t>
      </w:r>
    </w:p>
    <w:p w:rsidR="00D31F42" w:rsidRPr="005E020C" w:rsidRDefault="00D31F42" w:rsidP="003A3DEE">
      <w:pPr>
        <w:ind w:left="540"/>
        <w:jc w:val="both"/>
        <w:rPr>
          <w:rFonts w:ascii="Calibri" w:hAnsi="Calibri" w:cs="Arial"/>
          <w:highlight w:val="yellow"/>
        </w:rPr>
      </w:pPr>
    </w:p>
    <w:p w:rsidR="00D31F42" w:rsidRPr="005E020C" w:rsidRDefault="00D31F42" w:rsidP="003A3DEE">
      <w:pPr>
        <w:tabs>
          <w:tab w:val="left" w:pos="748"/>
        </w:tabs>
        <w:ind w:left="540"/>
        <w:jc w:val="both"/>
        <w:rPr>
          <w:rFonts w:ascii="Calibri" w:hAnsi="Calibri" w:cs="Arial"/>
        </w:rPr>
      </w:pPr>
      <w:r w:rsidRPr="005E020C">
        <w:rPr>
          <w:rFonts w:ascii="Calibri" w:hAnsi="Calibri" w:cs="Arial"/>
        </w:rPr>
        <w:t>For the period under review, 5 follow up reviews were undertaken.  These consisted of PIEs in Category 4 which had obtained Grade 2B or had liquidity issues during the previous reviews. They were from the following sectors:</w:t>
      </w:r>
    </w:p>
    <w:p w:rsidR="00D31F42" w:rsidRPr="005E020C" w:rsidRDefault="00D31F42" w:rsidP="003A3DEE">
      <w:pPr>
        <w:tabs>
          <w:tab w:val="left" w:pos="748"/>
        </w:tabs>
        <w:ind w:left="540"/>
        <w:jc w:val="both"/>
        <w:rPr>
          <w:rFonts w:ascii="Calibri" w:hAnsi="Calibri" w:cs="Arial"/>
        </w:rPr>
      </w:pPr>
    </w:p>
    <w:p w:rsidR="00D31F42" w:rsidRPr="005E020C" w:rsidRDefault="00D31F42" w:rsidP="00F7611C">
      <w:pPr>
        <w:pStyle w:val="ListParagraph"/>
        <w:numPr>
          <w:ilvl w:val="0"/>
          <w:numId w:val="15"/>
        </w:numPr>
        <w:tabs>
          <w:tab w:val="left" w:pos="900"/>
        </w:tabs>
        <w:ind w:left="540" w:firstLine="90"/>
        <w:jc w:val="both"/>
        <w:rPr>
          <w:rFonts w:ascii="Calibri" w:hAnsi="Calibri" w:cs="Arial"/>
        </w:rPr>
      </w:pPr>
      <w:r w:rsidRPr="005E020C">
        <w:rPr>
          <w:rFonts w:ascii="Calibri" w:hAnsi="Calibri" w:cs="Arial"/>
        </w:rPr>
        <w:t>Commerce (2)</w:t>
      </w:r>
    </w:p>
    <w:p w:rsidR="00D31F42" w:rsidRPr="005E020C" w:rsidRDefault="00D31F42" w:rsidP="00F7611C">
      <w:pPr>
        <w:pStyle w:val="ListParagraph"/>
        <w:numPr>
          <w:ilvl w:val="0"/>
          <w:numId w:val="15"/>
        </w:numPr>
        <w:tabs>
          <w:tab w:val="left" w:pos="900"/>
        </w:tabs>
        <w:ind w:left="540" w:firstLine="90"/>
        <w:jc w:val="both"/>
        <w:rPr>
          <w:rFonts w:ascii="Calibri" w:hAnsi="Calibri" w:cs="Arial"/>
        </w:rPr>
      </w:pPr>
      <w:r w:rsidRPr="005E020C">
        <w:rPr>
          <w:rFonts w:ascii="Calibri" w:hAnsi="Calibri" w:cs="Arial"/>
        </w:rPr>
        <w:t>Industry (2)</w:t>
      </w:r>
    </w:p>
    <w:p w:rsidR="00D31F42" w:rsidRPr="005E020C" w:rsidRDefault="00D31F42" w:rsidP="00F7611C">
      <w:pPr>
        <w:pStyle w:val="ListParagraph"/>
        <w:numPr>
          <w:ilvl w:val="0"/>
          <w:numId w:val="15"/>
        </w:numPr>
        <w:tabs>
          <w:tab w:val="left" w:pos="900"/>
        </w:tabs>
        <w:ind w:left="540" w:firstLine="90"/>
        <w:jc w:val="both"/>
        <w:rPr>
          <w:rFonts w:ascii="Calibri" w:hAnsi="Calibri" w:cs="Arial"/>
        </w:rPr>
      </w:pPr>
      <w:r w:rsidRPr="005E020C">
        <w:rPr>
          <w:rFonts w:ascii="Calibri" w:hAnsi="Calibri" w:cs="Arial"/>
        </w:rPr>
        <w:t>Investment (1)</w:t>
      </w:r>
    </w:p>
    <w:p w:rsidR="00D31F42" w:rsidRPr="005E020C" w:rsidRDefault="00D31F42" w:rsidP="00E07CF2">
      <w:pPr>
        <w:tabs>
          <w:tab w:val="left" w:pos="2353"/>
          <w:tab w:val="left" w:pos="2924"/>
          <w:tab w:val="left" w:pos="3923"/>
          <w:tab w:val="left" w:pos="4883"/>
          <w:tab w:val="left" w:pos="5926"/>
          <w:tab w:val="left" w:pos="7366"/>
          <w:tab w:val="left" w:pos="8326"/>
          <w:tab w:val="left" w:pos="9286"/>
        </w:tabs>
        <w:jc w:val="both"/>
        <w:rPr>
          <w:rFonts w:ascii="Calibri" w:hAnsi="Calibri"/>
          <w:b/>
          <w:bCs/>
          <w:sz w:val="16"/>
          <w:szCs w:val="16"/>
          <w:highlight w:val="yellow"/>
          <w:u w:val="single"/>
        </w:rPr>
      </w:pPr>
    </w:p>
    <w:p w:rsidR="00D31F42" w:rsidRPr="005E020C" w:rsidRDefault="00D31F42" w:rsidP="003A3DEE">
      <w:pPr>
        <w:ind w:left="540"/>
        <w:jc w:val="both"/>
        <w:rPr>
          <w:rFonts w:ascii="Calibri" w:hAnsi="Calibri" w:cs="Arial"/>
        </w:rPr>
      </w:pPr>
      <w:r w:rsidRPr="005E020C">
        <w:rPr>
          <w:rFonts w:ascii="Calibri" w:hAnsi="Calibri" w:cs="Arial"/>
        </w:rPr>
        <w:t>During the follow-up reviews carried out for the six months ended 31 December 2015, FRC considered whether the issues previously raised in previous full annual report reviews had been properly addressed in the PIEs’ latest annual reports and whether there are still recurrent issues from previous reviews. This would ensure that PIEs had taken corrective actions subsequent to FRC’s previous letters of observations.</w:t>
      </w:r>
    </w:p>
    <w:p w:rsidR="00D31F42" w:rsidRPr="005E020C" w:rsidRDefault="00D31F42" w:rsidP="003A3DEE">
      <w:pPr>
        <w:pStyle w:val="ListParagraph"/>
        <w:tabs>
          <w:tab w:val="left" w:pos="720"/>
        </w:tabs>
        <w:ind w:left="540"/>
        <w:jc w:val="both"/>
        <w:rPr>
          <w:rFonts w:ascii="Calibri" w:hAnsi="Calibri" w:cs="Arial"/>
          <w:b/>
          <w:color w:val="0000FF"/>
          <w:sz w:val="28"/>
          <w:szCs w:val="28"/>
        </w:rPr>
      </w:pPr>
    </w:p>
    <w:p w:rsidR="00D31F42" w:rsidRPr="005E020C" w:rsidRDefault="00D31F42" w:rsidP="003A3DEE">
      <w:pPr>
        <w:tabs>
          <w:tab w:val="left" w:pos="1170"/>
        </w:tabs>
        <w:ind w:left="540"/>
        <w:jc w:val="both"/>
        <w:rPr>
          <w:rFonts w:ascii="Calibri" w:hAnsi="Calibri" w:cs="Arial"/>
          <w:bCs/>
        </w:rPr>
      </w:pPr>
      <w:bookmarkStart w:id="16" w:name="_Hlk395610623"/>
      <w:r w:rsidRPr="005E020C">
        <w:rPr>
          <w:rFonts w:ascii="Calibri" w:hAnsi="Calibri" w:cs="Arial"/>
          <w:bCs/>
        </w:rPr>
        <w:t>From the follow up review</w:t>
      </w:r>
      <w:r w:rsidR="00F244A0">
        <w:rPr>
          <w:rFonts w:ascii="Calibri" w:hAnsi="Calibri" w:cs="Arial"/>
          <w:bCs/>
        </w:rPr>
        <w:t xml:space="preserve"> exercise</w:t>
      </w:r>
      <w:r w:rsidRPr="00F244A0">
        <w:rPr>
          <w:rFonts w:ascii="Calibri" w:hAnsi="Calibri" w:cs="Arial"/>
          <w:bCs/>
        </w:rPr>
        <w:t xml:space="preserve">, FRC </w:t>
      </w:r>
      <w:r w:rsidR="00246673" w:rsidRPr="00F244A0">
        <w:rPr>
          <w:rFonts w:ascii="Calibri" w:hAnsi="Calibri" w:cs="Arial"/>
          <w:bCs/>
        </w:rPr>
        <w:t>observed</w:t>
      </w:r>
      <w:r w:rsidRPr="00F244A0">
        <w:rPr>
          <w:rFonts w:ascii="Calibri" w:hAnsi="Calibri" w:cs="Arial"/>
          <w:bCs/>
        </w:rPr>
        <w:t xml:space="preserve"> the following issues with</w:t>
      </w:r>
      <w:r w:rsidRPr="005E020C">
        <w:rPr>
          <w:rFonts w:ascii="Calibri" w:hAnsi="Calibri" w:cs="Arial"/>
          <w:bCs/>
        </w:rPr>
        <w:t xml:space="preserve"> respect to corporate governance:</w:t>
      </w:r>
    </w:p>
    <w:p w:rsidR="00D31F42" w:rsidRPr="005E020C" w:rsidRDefault="00D31F42" w:rsidP="0017351A">
      <w:pPr>
        <w:tabs>
          <w:tab w:val="left" w:pos="1170"/>
        </w:tabs>
        <w:ind w:firstLine="1170"/>
        <w:jc w:val="both"/>
        <w:rPr>
          <w:rFonts w:ascii="Calibri" w:hAnsi="Calibri" w:cs="Arial"/>
          <w:b/>
          <w:bCs/>
          <w:highlight w:val="yellow"/>
        </w:rPr>
      </w:pPr>
    </w:p>
    <w:p w:rsidR="00D31F42" w:rsidRPr="005E020C" w:rsidRDefault="00D31F42" w:rsidP="00F7611C">
      <w:pPr>
        <w:pStyle w:val="ListParagraph"/>
        <w:numPr>
          <w:ilvl w:val="0"/>
          <w:numId w:val="33"/>
        </w:numPr>
        <w:tabs>
          <w:tab w:val="left" w:pos="540"/>
          <w:tab w:val="left" w:pos="900"/>
        </w:tabs>
        <w:ind w:firstLine="270"/>
        <w:jc w:val="both"/>
        <w:rPr>
          <w:rFonts w:ascii="Calibri" w:hAnsi="Calibri" w:cs="Arial"/>
          <w:bCs/>
        </w:rPr>
      </w:pPr>
      <w:r w:rsidRPr="005E020C">
        <w:rPr>
          <w:rFonts w:ascii="Calibri" w:hAnsi="Calibri" w:cs="Arial"/>
          <w:bCs/>
        </w:rPr>
        <w:t>Recurrent issues</w:t>
      </w:r>
    </w:p>
    <w:p w:rsidR="00D31F42" w:rsidRPr="005E020C" w:rsidRDefault="00D31F42" w:rsidP="00E12A5D">
      <w:pPr>
        <w:tabs>
          <w:tab w:val="left" w:pos="810"/>
          <w:tab w:val="left" w:pos="1080"/>
        </w:tabs>
        <w:ind w:right="-29"/>
        <w:jc w:val="both"/>
        <w:rPr>
          <w:rFonts w:ascii="Calibri" w:hAnsi="Calibri" w:cs="Arial"/>
          <w:bCs/>
        </w:rPr>
      </w:pPr>
      <w:r w:rsidRPr="005E020C">
        <w:rPr>
          <w:rFonts w:ascii="Calibri" w:hAnsi="Calibri" w:cs="Arial"/>
          <w:bCs/>
        </w:rPr>
        <w:t xml:space="preserve"> </w:t>
      </w:r>
    </w:p>
    <w:p w:rsidR="00D31F42" w:rsidRPr="005E020C" w:rsidRDefault="00D31F42" w:rsidP="003A3DEE">
      <w:pPr>
        <w:tabs>
          <w:tab w:val="left" w:pos="810"/>
          <w:tab w:val="left" w:pos="1080"/>
        </w:tabs>
        <w:ind w:left="900" w:right="-29"/>
        <w:jc w:val="both"/>
        <w:rPr>
          <w:rFonts w:ascii="Calibri" w:hAnsi="Calibri" w:cs="Arial"/>
          <w:bCs/>
        </w:rPr>
      </w:pPr>
      <w:r w:rsidRPr="005E020C">
        <w:rPr>
          <w:rFonts w:ascii="Calibri" w:hAnsi="Calibri" w:cs="Arial"/>
          <w:bCs/>
        </w:rPr>
        <w:t xml:space="preserve">With respect to the Code, </w:t>
      </w:r>
      <w:r w:rsidRPr="005E020C">
        <w:rPr>
          <w:rFonts w:ascii="Calibri" w:hAnsi="Calibri" w:cs="Arial"/>
          <w:b/>
          <w:bCs/>
        </w:rPr>
        <w:t>the following were not properly addressed in the current annual reports of 3 PIEs in Category 4</w:t>
      </w:r>
      <w:r w:rsidRPr="005E020C">
        <w:rPr>
          <w:rFonts w:ascii="Calibri" w:hAnsi="Calibri" w:cs="Arial"/>
          <w:bCs/>
        </w:rPr>
        <w:t>:</w:t>
      </w:r>
    </w:p>
    <w:p w:rsidR="00D31F42" w:rsidRPr="005E020C" w:rsidRDefault="00D31F42" w:rsidP="003A3DEE">
      <w:pPr>
        <w:tabs>
          <w:tab w:val="left" w:pos="810"/>
          <w:tab w:val="left" w:pos="1080"/>
        </w:tabs>
        <w:ind w:left="900" w:right="-29" w:firstLine="90"/>
        <w:jc w:val="both"/>
        <w:rPr>
          <w:rFonts w:ascii="Calibri" w:hAnsi="Calibri" w:cs="Arial"/>
          <w:bCs/>
        </w:rPr>
      </w:pPr>
    </w:p>
    <w:p w:rsidR="00D31F42" w:rsidRPr="005E020C" w:rsidRDefault="00D31F42" w:rsidP="00F7611C">
      <w:pPr>
        <w:pStyle w:val="ListParagraph"/>
        <w:numPr>
          <w:ilvl w:val="0"/>
          <w:numId w:val="34"/>
        </w:numPr>
        <w:tabs>
          <w:tab w:val="left" w:pos="1080"/>
          <w:tab w:val="left" w:pos="1260"/>
        </w:tabs>
        <w:ind w:left="1260" w:hanging="270"/>
        <w:contextualSpacing/>
        <w:jc w:val="both"/>
        <w:rPr>
          <w:rFonts w:ascii="Calibri" w:hAnsi="Calibri" w:cs="Arial"/>
          <w:bCs/>
        </w:rPr>
      </w:pPr>
      <w:r w:rsidRPr="005E020C">
        <w:rPr>
          <w:rFonts w:ascii="Calibri" w:hAnsi="Calibri" w:cs="Arial"/>
          <w:bCs/>
        </w:rPr>
        <w:t>Details of the remuneration of directors on an individual basis (Section 2 of the code).</w:t>
      </w:r>
    </w:p>
    <w:p w:rsidR="00D31F42" w:rsidRPr="005E020C" w:rsidRDefault="00D31F42" w:rsidP="00F7611C">
      <w:pPr>
        <w:pStyle w:val="ListParagraph"/>
        <w:numPr>
          <w:ilvl w:val="0"/>
          <w:numId w:val="34"/>
        </w:numPr>
        <w:tabs>
          <w:tab w:val="left" w:pos="1080"/>
          <w:tab w:val="left" w:pos="1260"/>
        </w:tabs>
        <w:ind w:left="1260" w:hanging="270"/>
        <w:contextualSpacing/>
        <w:jc w:val="both"/>
        <w:rPr>
          <w:rFonts w:ascii="Calibri" w:hAnsi="Calibri" w:cs="Arial"/>
          <w:bCs/>
        </w:rPr>
      </w:pPr>
      <w:r w:rsidRPr="005E020C">
        <w:rPr>
          <w:rFonts w:ascii="Calibri" w:hAnsi="Calibri" w:cs="Arial"/>
          <w:bCs/>
        </w:rPr>
        <w:t>Composition of the Board committees (Section 3 of the code).</w:t>
      </w:r>
    </w:p>
    <w:p w:rsidR="00D31F42" w:rsidRDefault="00D31F42" w:rsidP="003A3DEE">
      <w:pPr>
        <w:tabs>
          <w:tab w:val="left" w:pos="1080"/>
        </w:tabs>
        <w:ind w:right="-29"/>
        <w:jc w:val="both"/>
        <w:rPr>
          <w:rFonts w:ascii="Calibri" w:hAnsi="Calibri" w:cs="Arial"/>
          <w:bCs/>
        </w:rPr>
      </w:pPr>
    </w:p>
    <w:p w:rsidR="00D31F42" w:rsidRDefault="00D31F42" w:rsidP="003A3DEE">
      <w:pPr>
        <w:tabs>
          <w:tab w:val="left" w:pos="1080"/>
        </w:tabs>
        <w:ind w:right="-29"/>
        <w:jc w:val="both"/>
        <w:rPr>
          <w:rFonts w:ascii="Calibri" w:hAnsi="Calibri" w:cs="Arial"/>
          <w:bCs/>
        </w:rPr>
      </w:pPr>
    </w:p>
    <w:p w:rsidR="00D31F42" w:rsidRPr="005E020C" w:rsidRDefault="00D31F42" w:rsidP="003A3DEE">
      <w:pPr>
        <w:tabs>
          <w:tab w:val="left" w:pos="1080"/>
        </w:tabs>
        <w:ind w:right="-29"/>
        <w:jc w:val="both"/>
        <w:rPr>
          <w:rFonts w:ascii="Calibri" w:hAnsi="Calibri" w:cs="Arial"/>
          <w:bCs/>
        </w:rPr>
      </w:pPr>
    </w:p>
    <w:p w:rsidR="00D31F42" w:rsidRPr="005E020C" w:rsidRDefault="00D31F42" w:rsidP="00F7611C">
      <w:pPr>
        <w:pStyle w:val="ListParagraph"/>
        <w:numPr>
          <w:ilvl w:val="0"/>
          <w:numId w:val="33"/>
        </w:numPr>
        <w:tabs>
          <w:tab w:val="left" w:pos="540"/>
          <w:tab w:val="left" w:pos="900"/>
        </w:tabs>
        <w:ind w:left="900" w:hanging="450"/>
        <w:jc w:val="both"/>
        <w:rPr>
          <w:rFonts w:ascii="Calibri" w:hAnsi="Calibri" w:cs="Arial"/>
          <w:bCs/>
        </w:rPr>
      </w:pPr>
      <w:r w:rsidRPr="005E020C">
        <w:rPr>
          <w:rFonts w:ascii="Calibri" w:hAnsi="Calibri" w:cs="Arial"/>
          <w:bCs/>
        </w:rPr>
        <w:lastRenderedPageBreak/>
        <w:t>Other non-compliances with respect to corporate governance arising from the follow-up reviews</w:t>
      </w:r>
    </w:p>
    <w:p w:rsidR="00D31F42" w:rsidRPr="005E020C" w:rsidRDefault="00D31F42" w:rsidP="0059676C">
      <w:pPr>
        <w:pStyle w:val="ListParagraph"/>
        <w:tabs>
          <w:tab w:val="left" w:pos="1170"/>
        </w:tabs>
        <w:ind w:left="1530"/>
        <w:jc w:val="both"/>
        <w:rPr>
          <w:rFonts w:ascii="Calibri" w:hAnsi="Calibri" w:cs="Arial"/>
          <w:b/>
          <w:bCs/>
          <w:highlight w:val="yellow"/>
        </w:rPr>
      </w:pPr>
    </w:p>
    <w:p w:rsidR="00D31F42" w:rsidRPr="005E020C" w:rsidRDefault="00D31F42" w:rsidP="003A3DEE">
      <w:pPr>
        <w:pStyle w:val="ListParagraph"/>
        <w:tabs>
          <w:tab w:val="left" w:pos="1170"/>
        </w:tabs>
        <w:ind w:left="900"/>
        <w:jc w:val="both"/>
        <w:rPr>
          <w:rFonts w:ascii="Calibri" w:hAnsi="Calibri" w:cs="Arial"/>
          <w:b/>
          <w:bCs/>
        </w:rPr>
      </w:pPr>
      <w:r w:rsidRPr="005E020C">
        <w:rPr>
          <w:rFonts w:ascii="Calibri" w:hAnsi="Calibri" w:cs="Arial"/>
          <w:b/>
          <w:bCs/>
        </w:rPr>
        <w:t>FRC informed 1 PIE in Category 4 of the following new issues with respect to corporate governance, arising from its follow up reviews:</w:t>
      </w:r>
    </w:p>
    <w:p w:rsidR="00D31F42" w:rsidRPr="005E020C" w:rsidRDefault="00D31F42" w:rsidP="0059676C">
      <w:pPr>
        <w:pStyle w:val="ListParagraph"/>
        <w:tabs>
          <w:tab w:val="left" w:pos="1170"/>
        </w:tabs>
        <w:ind w:left="1530"/>
        <w:jc w:val="both"/>
        <w:rPr>
          <w:rFonts w:ascii="Calibri" w:hAnsi="Calibri" w:cs="Arial"/>
          <w:b/>
          <w:bCs/>
        </w:rPr>
      </w:pPr>
    </w:p>
    <w:p w:rsidR="00D31F42" w:rsidRPr="005E020C" w:rsidRDefault="00D31F42" w:rsidP="00F7611C">
      <w:pPr>
        <w:pStyle w:val="ListParagraph"/>
        <w:numPr>
          <w:ilvl w:val="0"/>
          <w:numId w:val="34"/>
        </w:numPr>
        <w:tabs>
          <w:tab w:val="left" w:pos="1170"/>
        </w:tabs>
        <w:ind w:left="1170" w:hanging="270"/>
        <w:contextualSpacing/>
        <w:jc w:val="both"/>
        <w:rPr>
          <w:rFonts w:ascii="Calibri" w:hAnsi="Calibri" w:cs="Arial"/>
          <w:bCs/>
        </w:rPr>
      </w:pPr>
      <w:r w:rsidRPr="005E020C">
        <w:rPr>
          <w:rFonts w:ascii="Calibri" w:hAnsi="Calibri" w:cs="Arial"/>
          <w:bCs/>
        </w:rPr>
        <w:t>Policies and practices as regards social and environmental issues (Section 8 of the code).</w:t>
      </w:r>
    </w:p>
    <w:p w:rsidR="00D31F42" w:rsidRPr="005E020C" w:rsidRDefault="00D31F42" w:rsidP="00F7611C">
      <w:pPr>
        <w:pStyle w:val="ListParagraph"/>
        <w:numPr>
          <w:ilvl w:val="0"/>
          <w:numId w:val="34"/>
        </w:numPr>
        <w:tabs>
          <w:tab w:val="left" w:pos="1170"/>
          <w:tab w:val="left" w:pos="1260"/>
        </w:tabs>
        <w:ind w:left="1080" w:hanging="180"/>
        <w:jc w:val="both"/>
        <w:rPr>
          <w:rFonts w:ascii="Calibri" w:hAnsi="Calibri" w:cs="Arial"/>
          <w:bCs/>
        </w:rPr>
      </w:pPr>
      <w:r w:rsidRPr="005E020C">
        <w:rPr>
          <w:rFonts w:ascii="Calibri" w:hAnsi="Calibri" w:cs="Arial"/>
          <w:bCs/>
        </w:rPr>
        <w:t>Detailed time table specifying important events (section 8 of the code).</w:t>
      </w:r>
    </w:p>
    <w:p w:rsidR="00D31F42" w:rsidRPr="005E020C" w:rsidRDefault="00D31F42" w:rsidP="0059676C">
      <w:pPr>
        <w:tabs>
          <w:tab w:val="left" w:pos="720"/>
          <w:tab w:val="left" w:pos="1080"/>
        </w:tabs>
        <w:ind w:left="2070" w:right="-29" w:hanging="540"/>
        <w:jc w:val="both"/>
        <w:rPr>
          <w:rFonts w:ascii="Calibri" w:hAnsi="Calibri" w:cs="Arial"/>
          <w:bCs/>
        </w:rPr>
      </w:pPr>
    </w:p>
    <w:p w:rsidR="00D31F42" w:rsidRPr="005E020C" w:rsidRDefault="00D31F42" w:rsidP="0059676C">
      <w:pPr>
        <w:tabs>
          <w:tab w:val="left" w:pos="720"/>
          <w:tab w:val="left" w:pos="1080"/>
        </w:tabs>
        <w:ind w:left="2070" w:right="-29" w:hanging="540"/>
        <w:jc w:val="both"/>
        <w:rPr>
          <w:rFonts w:ascii="Calibri" w:hAnsi="Calibri" w:cs="Arial"/>
          <w:bCs/>
        </w:rPr>
      </w:pPr>
    </w:p>
    <w:p w:rsidR="00D31F42" w:rsidRPr="00D63EDF" w:rsidRDefault="00D31F42" w:rsidP="003A3DEE">
      <w:pPr>
        <w:ind w:firstLine="540"/>
        <w:rPr>
          <w:rFonts w:ascii="Calibri" w:hAnsi="Calibri" w:cs="Arial"/>
          <w:b/>
          <w:color w:val="AEA206"/>
          <w:sz w:val="32"/>
          <w:szCs w:val="28"/>
        </w:rPr>
      </w:pPr>
      <w:bookmarkStart w:id="17" w:name="Status"/>
      <w:r w:rsidRPr="00D63EDF">
        <w:rPr>
          <w:rFonts w:ascii="Calibri" w:hAnsi="Calibri" w:cs="Arial"/>
          <w:b/>
          <w:color w:val="AEA206"/>
          <w:sz w:val="32"/>
          <w:szCs w:val="28"/>
        </w:rPr>
        <w:t xml:space="preserve">PART C - Grading of Annual Report Reviews </w:t>
      </w:r>
    </w:p>
    <w:bookmarkEnd w:id="16"/>
    <w:p w:rsidR="00D31F42" w:rsidRPr="00D63EDF" w:rsidRDefault="00D31F42" w:rsidP="00D63EDF">
      <w:pPr>
        <w:ind w:firstLine="540"/>
        <w:jc w:val="both"/>
        <w:rPr>
          <w:rFonts w:ascii="Calibri" w:hAnsi="Calibri" w:cs="Arial"/>
          <w:b/>
          <w:color w:val="AEA206"/>
        </w:rPr>
      </w:pPr>
      <w:r w:rsidRPr="00D63EDF">
        <w:rPr>
          <w:rFonts w:ascii="Calibri" w:hAnsi="Calibri" w:cs="Arial"/>
          <w:b/>
          <w:color w:val="AEA206"/>
        </w:rPr>
        <w:t>____________________________________________</w:t>
      </w:r>
      <w:r>
        <w:rPr>
          <w:rFonts w:ascii="Calibri" w:hAnsi="Calibri" w:cs="Arial"/>
          <w:b/>
          <w:color w:val="AEA206"/>
        </w:rPr>
        <w:t>____________________</w:t>
      </w:r>
    </w:p>
    <w:p w:rsidR="00D31F42" w:rsidRPr="005E020C" w:rsidRDefault="00D31F42" w:rsidP="00D63EDF">
      <w:pPr>
        <w:jc w:val="both"/>
        <w:rPr>
          <w:rFonts w:ascii="Calibri" w:hAnsi="Calibri" w:cs="Arial"/>
          <w:sz w:val="20"/>
          <w:highlight w:val="yellow"/>
        </w:rPr>
      </w:pPr>
    </w:p>
    <w:p w:rsidR="00D31F42" w:rsidRPr="005E020C" w:rsidRDefault="00D31F42" w:rsidP="00F95DE7">
      <w:pPr>
        <w:ind w:left="540"/>
        <w:jc w:val="both"/>
        <w:rPr>
          <w:rFonts w:ascii="Calibri" w:hAnsi="Calibri" w:cs="Arial"/>
        </w:rPr>
      </w:pPr>
      <w:r w:rsidRPr="005E020C">
        <w:rPr>
          <w:rFonts w:ascii="Calibri" w:hAnsi="Calibri" w:cs="Arial"/>
        </w:rPr>
        <w:t>FRC had graded the quality of the 18 annual reports reviewed (13 full reviews and 5 follow up reviews) for the six months ended 30 June 2016. The PIEs for which group reviews had been conducted, were not graded.</w:t>
      </w:r>
    </w:p>
    <w:p w:rsidR="00D31F42" w:rsidRPr="005E020C" w:rsidRDefault="00D31F42" w:rsidP="0059593A">
      <w:pPr>
        <w:jc w:val="both"/>
        <w:rPr>
          <w:rFonts w:ascii="Calibri" w:hAnsi="Calibri" w:cs="Arial"/>
          <w:sz w:val="18"/>
        </w:rPr>
      </w:pPr>
    </w:p>
    <w:p w:rsidR="00D31F42" w:rsidRPr="005E020C" w:rsidRDefault="00D31F42" w:rsidP="00F95DE7">
      <w:pPr>
        <w:ind w:firstLine="540"/>
        <w:jc w:val="both"/>
        <w:rPr>
          <w:rFonts w:ascii="Calibri" w:hAnsi="Calibri" w:cs="Arial"/>
        </w:rPr>
      </w:pPr>
      <w:r w:rsidRPr="005E020C">
        <w:rPr>
          <w:rFonts w:ascii="Calibri" w:hAnsi="Calibri" w:cs="Arial"/>
        </w:rPr>
        <w:t>The grading allocated to the PIEs was based on the following four levels:</w:t>
      </w:r>
    </w:p>
    <w:p w:rsidR="00D31F42" w:rsidRPr="005E020C" w:rsidRDefault="00D31F42" w:rsidP="00F95DE7">
      <w:pPr>
        <w:ind w:firstLine="540"/>
        <w:jc w:val="both"/>
        <w:rPr>
          <w:rFonts w:ascii="Calibri" w:hAnsi="Calibri" w:cs="Arial"/>
          <w:sz w:val="18"/>
        </w:rPr>
      </w:pPr>
    </w:p>
    <w:p w:rsidR="00D31F42" w:rsidRPr="005E020C" w:rsidRDefault="00D31F42" w:rsidP="00F7611C">
      <w:pPr>
        <w:numPr>
          <w:ilvl w:val="0"/>
          <w:numId w:val="41"/>
        </w:numPr>
        <w:tabs>
          <w:tab w:val="left" w:pos="540"/>
          <w:tab w:val="left" w:pos="990"/>
        </w:tabs>
        <w:ind w:hanging="630"/>
        <w:jc w:val="both"/>
        <w:rPr>
          <w:rFonts w:ascii="Calibri" w:hAnsi="Calibri" w:cs="Arial"/>
        </w:rPr>
      </w:pPr>
      <w:r w:rsidRPr="005E020C">
        <w:rPr>
          <w:rFonts w:ascii="Calibri" w:hAnsi="Calibri" w:cs="Arial"/>
        </w:rPr>
        <w:t>Good (Grade 1)</w:t>
      </w:r>
    </w:p>
    <w:p w:rsidR="00D31F42" w:rsidRPr="005E020C" w:rsidRDefault="00D31F42" w:rsidP="00F7611C">
      <w:pPr>
        <w:numPr>
          <w:ilvl w:val="0"/>
          <w:numId w:val="41"/>
        </w:numPr>
        <w:tabs>
          <w:tab w:val="left" w:pos="540"/>
          <w:tab w:val="left" w:pos="990"/>
        </w:tabs>
        <w:ind w:hanging="630"/>
        <w:jc w:val="both"/>
        <w:rPr>
          <w:rFonts w:ascii="Calibri" w:hAnsi="Calibri" w:cs="Arial"/>
        </w:rPr>
      </w:pPr>
      <w:r w:rsidRPr="005E020C">
        <w:rPr>
          <w:rFonts w:ascii="Calibri" w:hAnsi="Calibri" w:cs="Arial"/>
        </w:rPr>
        <w:t>Acceptable with limited improvements required (Grade 2A)</w:t>
      </w:r>
    </w:p>
    <w:p w:rsidR="00D31F42" w:rsidRPr="005E020C" w:rsidRDefault="00D31F42" w:rsidP="00F7611C">
      <w:pPr>
        <w:numPr>
          <w:ilvl w:val="0"/>
          <w:numId w:val="41"/>
        </w:numPr>
        <w:tabs>
          <w:tab w:val="left" w:pos="540"/>
          <w:tab w:val="left" w:pos="990"/>
        </w:tabs>
        <w:ind w:hanging="630"/>
        <w:jc w:val="both"/>
        <w:rPr>
          <w:rFonts w:ascii="Calibri" w:hAnsi="Calibri" w:cs="Arial"/>
        </w:rPr>
      </w:pPr>
      <w:r w:rsidRPr="005E020C">
        <w:rPr>
          <w:rFonts w:ascii="Calibri" w:hAnsi="Calibri" w:cs="Arial"/>
        </w:rPr>
        <w:t>Acceptable overall with improvements required (Grade 2B)</w:t>
      </w:r>
    </w:p>
    <w:p w:rsidR="00D31F42" w:rsidRPr="005E020C" w:rsidRDefault="00D31F42" w:rsidP="00F7611C">
      <w:pPr>
        <w:numPr>
          <w:ilvl w:val="0"/>
          <w:numId w:val="41"/>
        </w:numPr>
        <w:tabs>
          <w:tab w:val="left" w:pos="540"/>
          <w:tab w:val="left" w:pos="990"/>
        </w:tabs>
        <w:ind w:hanging="630"/>
        <w:jc w:val="both"/>
        <w:rPr>
          <w:rFonts w:ascii="Calibri" w:hAnsi="Calibri" w:cs="Arial"/>
        </w:rPr>
      </w:pPr>
      <w:r w:rsidRPr="005E020C">
        <w:rPr>
          <w:rFonts w:ascii="Calibri" w:hAnsi="Calibri" w:cs="Arial"/>
        </w:rPr>
        <w:t>Significant improvements required (Grade 3)</w:t>
      </w:r>
    </w:p>
    <w:p w:rsidR="00D31F42" w:rsidRDefault="00D31F42" w:rsidP="00F95DE7">
      <w:pPr>
        <w:ind w:left="540"/>
        <w:jc w:val="both"/>
        <w:rPr>
          <w:rFonts w:ascii="Calibri" w:hAnsi="Calibri" w:cs="Arial"/>
        </w:rPr>
      </w:pPr>
    </w:p>
    <w:p w:rsidR="00D31F42" w:rsidRPr="005E020C" w:rsidRDefault="00D31F42" w:rsidP="00F95DE7">
      <w:pPr>
        <w:ind w:left="540"/>
        <w:jc w:val="both"/>
        <w:rPr>
          <w:rFonts w:ascii="Calibri" w:hAnsi="Calibri" w:cs="Arial"/>
        </w:rPr>
      </w:pPr>
      <w:r w:rsidRPr="005E020C">
        <w:rPr>
          <w:rFonts w:ascii="Calibri" w:hAnsi="Calibri" w:cs="Arial"/>
        </w:rPr>
        <w:t>The grades of the annual report review were determined mainly by the nature of non-compliances raised with respect to IFRS, auditors’ report, corporate governance and other issues arising such as non-compliances with regulations, going concern problem and independence of auditors amongst others. This would highlight areas in which there is room for improvement and helps drive quality reporting.</w:t>
      </w:r>
    </w:p>
    <w:p w:rsidR="00D31F42" w:rsidRPr="005E020C" w:rsidRDefault="00D31F42" w:rsidP="00F95DE7">
      <w:pPr>
        <w:ind w:firstLine="540"/>
        <w:jc w:val="both"/>
        <w:rPr>
          <w:rFonts w:ascii="Calibri" w:hAnsi="Calibri" w:cs="Arial"/>
          <w:sz w:val="16"/>
          <w:highlight w:val="yellow"/>
        </w:rPr>
      </w:pPr>
    </w:p>
    <w:p w:rsidR="00D31F42" w:rsidRPr="005E020C" w:rsidRDefault="00D31F42" w:rsidP="00F95DE7">
      <w:pPr>
        <w:ind w:firstLine="540"/>
        <w:jc w:val="both"/>
        <w:rPr>
          <w:rFonts w:ascii="Calibri" w:hAnsi="Calibri" w:cs="Arial"/>
        </w:rPr>
      </w:pPr>
      <w:r w:rsidRPr="005E020C">
        <w:rPr>
          <w:rFonts w:ascii="Calibri" w:hAnsi="Calibri" w:cs="Arial"/>
        </w:rPr>
        <w:t>Out of the 18 PIEs reviewed, FRC noted that:</w:t>
      </w:r>
    </w:p>
    <w:p w:rsidR="00D31F42" w:rsidRPr="005E020C" w:rsidRDefault="00D31F42" w:rsidP="00F95DE7">
      <w:pPr>
        <w:tabs>
          <w:tab w:val="left" w:pos="810"/>
        </w:tabs>
        <w:ind w:firstLine="540"/>
        <w:jc w:val="both"/>
        <w:rPr>
          <w:rFonts w:ascii="Calibri" w:hAnsi="Calibri" w:cs="Arial"/>
        </w:rPr>
      </w:pPr>
    </w:p>
    <w:p w:rsidR="00D31F42" w:rsidRPr="005E020C" w:rsidRDefault="00D31F42" w:rsidP="00F7611C">
      <w:pPr>
        <w:pStyle w:val="ListParagraph"/>
        <w:numPr>
          <w:ilvl w:val="0"/>
          <w:numId w:val="16"/>
        </w:numPr>
        <w:tabs>
          <w:tab w:val="left" w:pos="990"/>
        </w:tabs>
        <w:ind w:firstLine="360"/>
        <w:jc w:val="both"/>
        <w:rPr>
          <w:rFonts w:ascii="Calibri" w:hAnsi="Calibri" w:cs="Arial"/>
        </w:rPr>
      </w:pPr>
      <w:r w:rsidRPr="005E020C">
        <w:rPr>
          <w:rFonts w:ascii="Calibri" w:hAnsi="Calibri" w:cs="Arial"/>
        </w:rPr>
        <w:t>4 PIEs a grade of 2A;</w:t>
      </w:r>
    </w:p>
    <w:p w:rsidR="00D31F42" w:rsidRPr="005E020C" w:rsidRDefault="00D31F42" w:rsidP="00F7611C">
      <w:pPr>
        <w:pStyle w:val="ListParagraph"/>
        <w:numPr>
          <w:ilvl w:val="0"/>
          <w:numId w:val="16"/>
        </w:numPr>
        <w:tabs>
          <w:tab w:val="left" w:pos="990"/>
        </w:tabs>
        <w:ind w:firstLine="360"/>
        <w:jc w:val="both"/>
        <w:rPr>
          <w:rFonts w:ascii="Calibri" w:hAnsi="Calibri" w:cs="Arial"/>
        </w:rPr>
      </w:pPr>
      <w:r w:rsidRPr="005E020C">
        <w:rPr>
          <w:rFonts w:ascii="Calibri" w:hAnsi="Calibri" w:cs="Arial"/>
        </w:rPr>
        <w:t xml:space="preserve">16 PIEs had obtained grade 2B; and </w:t>
      </w:r>
    </w:p>
    <w:p w:rsidR="00D31F42" w:rsidRPr="005E020C" w:rsidRDefault="00D31F42" w:rsidP="00F7611C">
      <w:pPr>
        <w:pStyle w:val="ListParagraph"/>
        <w:numPr>
          <w:ilvl w:val="0"/>
          <w:numId w:val="16"/>
        </w:numPr>
        <w:tabs>
          <w:tab w:val="left" w:pos="990"/>
        </w:tabs>
        <w:ind w:firstLine="360"/>
        <w:jc w:val="both"/>
        <w:rPr>
          <w:rFonts w:ascii="Calibri" w:hAnsi="Calibri" w:cs="Arial"/>
        </w:rPr>
      </w:pPr>
      <w:r w:rsidRPr="005E020C">
        <w:rPr>
          <w:rFonts w:ascii="Calibri" w:hAnsi="Calibri" w:cs="Arial"/>
        </w:rPr>
        <w:t xml:space="preserve">2 PIEs had received a grade of 3. </w:t>
      </w:r>
    </w:p>
    <w:p w:rsidR="00D31F42" w:rsidRPr="005E020C" w:rsidRDefault="00D31F42" w:rsidP="00F95DE7">
      <w:pPr>
        <w:ind w:left="2160" w:firstLine="540"/>
        <w:jc w:val="both"/>
        <w:rPr>
          <w:rFonts w:ascii="Calibri" w:hAnsi="Calibri" w:cs="Arial"/>
        </w:rPr>
      </w:pPr>
    </w:p>
    <w:p w:rsidR="00D31F42" w:rsidRPr="005E020C" w:rsidRDefault="00D31F42" w:rsidP="00F95DE7">
      <w:pPr>
        <w:ind w:left="540"/>
        <w:jc w:val="both"/>
        <w:rPr>
          <w:rFonts w:ascii="Calibri" w:hAnsi="Calibri" w:cs="Arial"/>
        </w:rPr>
      </w:pPr>
      <w:r w:rsidRPr="005E020C">
        <w:rPr>
          <w:rFonts w:ascii="Calibri" w:hAnsi="Calibri" w:cs="Arial"/>
        </w:rPr>
        <w:t>Those with grade 2A have no significant non-compliances whilst those having grade 2B had various non-compliances.</w:t>
      </w:r>
    </w:p>
    <w:p w:rsidR="00D31F42" w:rsidRPr="005E020C" w:rsidRDefault="00D31F42" w:rsidP="00F95DE7">
      <w:pPr>
        <w:ind w:firstLine="540"/>
        <w:jc w:val="both"/>
        <w:rPr>
          <w:rFonts w:ascii="Calibri" w:hAnsi="Calibri" w:cs="Arial"/>
          <w:sz w:val="18"/>
          <w:highlight w:val="yellow"/>
        </w:rPr>
      </w:pPr>
    </w:p>
    <w:p w:rsidR="00D31F42" w:rsidRDefault="00D31F42" w:rsidP="00F95DE7">
      <w:pPr>
        <w:ind w:firstLine="540"/>
        <w:jc w:val="both"/>
        <w:rPr>
          <w:rFonts w:ascii="Calibri" w:hAnsi="Calibri" w:cs="Arial"/>
        </w:rPr>
      </w:pPr>
    </w:p>
    <w:p w:rsidR="00D31F42" w:rsidRDefault="00D31F42" w:rsidP="00F95DE7">
      <w:pPr>
        <w:ind w:firstLine="540"/>
        <w:jc w:val="both"/>
        <w:rPr>
          <w:rFonts w:ascii="Calibri" w:hAnsi="Calibri" w:cs="Arial"/>
        </w:rPr>
      </w:pPr>
    </w:p>
    <w:p w:rsidR="00D31F42" w:rsidRDefault="00D31F42" w:rsidP="00F95DE7">
      <w:pPr>
        <w:ind w:firstLine="540"/>
        <w:jc w:val="both"/>
        <w:rPr>
          <w:rFonts w:ascii="Calibri" w:hAnsi="Calibri" w:cs="Arial"/>
        </w:rPr>
      </w:pPr>
    </w:p>
    <w:p w:rsidR="00D31F42" w:rsidRPr="005E020C" w:rsidRDefault="00D31F42" w:rsidP="00F95DE7">
      <w:pPr>
        <w:ind w:firstLine="540"/>
        <w:jc w:val="both"/>
        <w:rPr>
          <w:rFonts w:ascii="Calibri" w:hAnsi="Calibri" w:cs="Arial"/>
        </w:rPr>
      </w:pPr>
      <w:r w:rsidRPr="005E020C">
        <w:rPr>
          <w:rFonts w:ascii="Calibri" w:hAnsi="Calibri" w:cs="Arial"/>
        </w:rPr>
        <w:lastRenderedPageBreak/>
        <w:t>The table below shows an analysis of the grading obtained by types of PIEs.</w:t>
      </w:r>
    </w:p>
    <w:p w:rsidR="00D31F42" w:rsidRPr="005E020C" w:rsidRDefault="00D31F42" w:rsidP="00E03007">
      <w:pPr>
        <w:jc w:val="both"/>
        <w:rPr>
          <w:rFonts w:ascii="Calibri" w:hAnsi="Calibri" w:cs="Arial"/>
          <w:sz w:val="16"/>
        </w:rPr>
      </w:pPr>
    </w:p>
    <w:tbl>
      <w:tblPr>
        <w:tblW w:w="7290" w:type="dxa"/>
        <w:tblInd w:w="648" w:type="dxa"/>
        <w:tblLayout w:type="fixed"/>
        <w:tblLook w:val="00A0" w:firstRow="1" w:lastRow="0" w:firstColumn="1" w:lastColumn="0" w:noHBand="0" w:noVBand="0"/>
      </w:tblPr>
      <w:tblGrid>
        <w:gridCol w:w="1800"/>
        <w:gridCol w:w="900"/>
        <w:gridCol w:w="900"/>
        <w:gridCol w:w="810"/>
        <w:gridCol w:w="900"/>
        <w:gridCol w:w="990"/>
        <w:gridCol w:w="990"/>
      </w:tblGrid>
      <w:tr w:rsidR="00D31F42" w:rsidRPr="004F1937" w:rsidTr="004F1937">
        <w:trPr>
          <w:trHeight w:val="270"/>
        </w:trPr>
        <w:tc>
          <w:tcPr>
            <w:tcW w:w="1800" w:type="dxa"/>
            <w:vMerge w:val="restart"/>
            <w:tcBorders>
              <w:top w:val="single" w:sz="8" w:space="0" w:color="auto"/>
              <w:left w:val="single" w:sz="8" w:space="0" w:color="auto"/>
              <w:bottom w:val="single" w:sz="8" w:space="0" w:color="000000"/>
              <w:right w:val="single" w:sz="8" w:space="0" w:color="auto"/>
            </w:tcBorders>
            <w:shd w:val="clear" w:color="auto" w:fill="EAF1DD"/>
            <w:vAlign w:val="center"/>
          </w:tcPr>
          <w:p w:rsidR="00D31F42" w:rsidRPr="004F1937" w:rsidRDefault="00D31F42">
            <w:pPr>
              <w:jc w:val="center"/>
              <w:rPr>
                <w:rFonts w:ascii="Calibri" w:hAnsi="Calibri" w:cs="Arial"/>
                <w:b/>
                <w:bCs/>
                <w:sz w:val="18"/>
                <w:szCs w:val="16"/>
              </w:rPr>
            </w:pPr>
            <w:r w:rsidRPr="004F1937">
              <w:rPr>
                <w:rFonts w:ascii="Calibri" w:hAnsi="Calibri" w:cs="Arial"/>
                <w:b/>
                <w:bCs/>
                <w:sz w:val="18"/>
                <w:szCs w:val="16"/>
              </w:rPr>
              <w:t>Types of PIEs</w:t>
            </w:r>
          </w:p>
        </w:tc>
        <w:tc>
          <w:tcPr>
            <w:tcW w:w="2610" w:type="dxa"/>
            <w:gridSpan w:val="3"/>
            <w:tcBorders>
              <w:top w:val="single" w:sz="8" w:space="0" w:color="auto"/>
              <w:left w:val="nil"/>
              <w:bottom w:val="single" w:sz="8" w:space="0" w:color="auto"/>
              <w:right w:val="single" w:sz="8" w:space="0" w:color="000000"/>
            </w:tcBorders>
            <w:shd w:val="clear" w:color="auto" w:fill="EAF1DD"/>
            <w:vAlign w:val="center"/>
          </w:tcPr>
          <w:p w:rsidR="00D31F42" w:rsidRPr="004F1937" w:rsidRDefault="00D31F42">
            <w:pPr>
              <w:jc w:val="center"/>
              <w:rPr>
                <w:rFonts w:ascii="Calibri" w:hAnsi="Calibri" w:cs="Arial"/>
                <w:b/>
                <w:bCs/>
                <w:sz w:val="18"/>
                <w:szCs w:val="16"/>
              </w:rPr>
            </w:pPr>
            <w:r w:rsidRPr="004F1937">
              <w:rPr>
                <w:rFonts w:ascii="Calibri" w:hAnsi="Calibri" w:cs="Arial"/>
                <w:b/>
                <w:bCs/>
                <w:sz w:val="18"/>
                <w:szCs w:val="16"/>
              </w:rPr>
              <w:t> Full Reviews</w:t>
            </w:r>
          </w:p>
        </w:tc>
        <w:tc>
          <w:tcPr>
            <w:tcW w:w="1890" w:type="dxa"/>
            <w:gridSpan w:val="2"/>
            <w:tcBorders>
              <w:top w:val="single" w:sz="8" w:space="0" w:color="auto"/>
              <w:left w:val="nil"/>
              <w:bottom w:val="single" w:sz="8" w:space="0" w:color="auto"/>
              <w:right w:val="nil"/>
            </w:tcBorders>
            <w:shd w:val="clear" w:color="auto" w:fill="EAF1DD"/>
            <w:vAlign w:val="center"/>
          </w:tcPr>
          <w:p w:rsidR="00D31F42" w:rsidRPr="004F1937" w:rsidRDefault="00D31F42">
            <w:pPr>
              <w:jc w:val="center"/>
              <w:rPr>
                <w:rFonts w:ascii="Calibri" w:hAnsi="Calibri" w:cs="Arial"/>
                <w:b/>
                <w:bCs/>
                <w:sz w:val="18"/>
                <w:szCs w:val="16"/>
              </w:rPr>
            </w:pPr>
            <w:r w:rsidRPr="004F1937">
              <w:rPr>
                <w:rFonts w:ascii="Calibri" w:hAnsi="Calibri" w:cs="Arial"/>
                <w:b/>
                <w:bCs/>
                <w:sz w:val="18"/>
                <w:szCs w:val="16"/>
              </w:rPr>
              <w:t>Follow-up Review</w:t>
            </w:r>
          </w:p>
        </w:tc>
        <w:tc>
          <w:tcPr>
            <w:tcW w:w="990" w:type="dxa"/>
            <w:tcBorders>
              <w:top w:val="single" w:sz="8" w:space="0" w:color="auto"/>
              <w:left w:val="single" w:sz="8" w:space="0" w:color="auto"/>
              <w:bottom w:val="nil"/>
              <w:right w:val="single" w:sz="8" w:space="0" w:color="auto"/>
            </w:tcBorders>
            <w:shd w:val="clear" w:color="auto" w:fill="EAF1DD"/>
            <w:vAlign w:val="center"/>
          </w:tcPr>
          <w:p w:rsidR="00D31F42" w:rsidRPr="004F1937" w:rsidRDefault="00D31F42">
            <w:pPr>
              <w:jc w:val="center"/>
              <w:rPr>
                <w:rFonts w:ascii="Calibri" w:hAnsi="Calibri" w:cs="Arial"/>
                <w:b/>
                <w:bCs/>
                <w:sz w:val="18"/>
                <w:szCs w:val="16"/>
              </w:rPr>
            </w:pPr>
            <w:r w:rsidRPr="004F1937">
              <w:rPr>
                <w:rFonts w:ascii="Calibri" w:hAnsi="Calibri" w:cs="Arial"/>
                <w:b/>
                <w:bCs/>
                <w:sz w:val="18"/>
                <w:szCs w:val="16"/>
              </w:rPr>
              <w:t>Total</w:t>
            </w:r>
          </w:p>
        </w:tc>
      </w:tr>
      <w:tr w:rsidR="00D31F42" w:rsidRPr="004F1937" w:rsidTr="004F1937">
        <w:trPr>
          <w:trHeight w:val="270"/>
        </w:trPr>
        <w:tc>
          <w:tcPr>
            <w:tcW w:w="1800" w:type="dxa"/>
            <w:vMerge/>
            <w:tcBorders>
              <w:top w:val="single" w:sz="8" w:space="0" w:color="auto"/>
              <w:left w:val="single" w:sz="8" w:space="0" w:color="auto"/>
              <w:bottom w:val="single" w:sz="8" w:space="0" w:color="000000"/>
              <w:right w:val="single" w:sz="8" w:space="0" w:color="auto"/>
            </w:tcBorders>
            <w:shd w:val="clear" w:color="auto" w:fill="EAF1DD"/>
            <w:vAlign w:val="center"/>
          </w:tcPr>
          <w:p w:rsidR="00D31F42" w:rsidRPr="004F1937" w:rsidRDefault="00D31F42">
            <w:pPr>
              <w:rPr>
                <w:rFonts w:ascii="Calibri" w:hAnsi="Calibri" w:cs="Arial"/>
                <w:b/>
                <w:bCs/>
                <w:sz w:val="18"/>
                <w:szCs w:val="16"/>
              </w:rPr>
            </w:pPr>
          </w:p>
        </w:tc>
        <w:tc>
          <w:tcPr>
            <w:tcW w:w="900" w:type="dxa"/>
            <w:tcBorders>
              <w:top w:val="nil"/>
              <w:left w:val="nil"/>
              <w:bottom w:val="single" w:sz="8" w:space="0" w:color="auto"/>
              <w:right w:val="single" w:sz="8" w:space="0" w:color="auto"/>
            </w:tcBorders>
            <w:shd w:val="clear" w:color="auto" w:fill="EAF1DD"/>
            <w:vAlign w:val="center"/>
          </w:tcPr>
          <w:p w:rsidR="00D31F42" w:rsidRPr="004F1937" w:rsidRDefault="00D31F42">
            <w:pPr>
              <w:jc w:val="center"/>
              <w:rPr>
                <w:rFonts w:ascii="Calibri" w:hAnsi="Calibri" w:cs="Arial"/>
                <w:b/>
                <w:bCs/>
                <w:sz w:val="18"/>
                <w:szCs w:val="16"/>
              </w:rPr>
            </w:pPr>
            <w:r w:rsidRPr="004F1937">
              <w:rPr>
                <w:rFonts w:ascii="Calibri" w:hAnsi="Calibri" w:cs="Arial"/>
                <w:b/>
                <w:bCs/>
                <w:sz w:val="18"/>
                <w:szCs w:val="16"/>
              </w:rPr>
              <w:t>Grade 2A</w:t>
            </w:r>
          </w:p>
        </w:tc>
        <w:tc>
          <w:tcPr>
            <w:tcW w:w="900" w:type="dxa"/>
            <w:tcBorders>
              <w:top w:val="nil"/>
              <w:left w:val="nil"/>
              <w:bottom w:val="single" w:sz="8" w:space="0" w:color="auto"/>
              <w:right w:val="single" w:sz="8" w:space="0" w:color="auto"/>
            </w:tcBorders>
            <w:shd w:val="clear" w:color="auto" w:fill="EAF1DD"/>
            <w:vAlign w:val="center"/>
          </w:tcPr>
          <w:p w:rsidR="00D31F42" w:rsidRPr="004F1937" w:rsidRDefault="00D31F42">
            <w:pPr>
              <w:jc w:val="center"/>
              <w:rPr>
                <w:rFonts w:ascii="Calibri" w:hAnsi="Calibri" w:cs="Arial"/>
                <w:b/>
                <w:bCs/>
                <w:sz w:val="18"/>
                <w:szCs w:val="16"/>
              </w:rPr>
            </w:pPr>
            <w:r w:rsidRPr="004F1937">
              <w:rPr>
                <w:rFonts w:ascii="Calibri" w:hAnsi="Calibri" w:cs="Arial"/>
                <w:b/>
                <w:bCs/>
                <w:sz w:val="18"/>
                <w:szCs w:val="16"/>
              </w:rPr>
              <w:t>Grade 2B</w:t>
            </w:r>
          </w:p>
        </w:tc>
        <w:tc>
          <w:tcPr>
            <w:tcW w:w="810" w:type="dxa"/>
            <w:tcBorders>
              <w:top w:val="nil"/>
              <w:left w:val="nil"/>
              <w:bottom w:val="single" w:sz="8" w:space="0" w:color="auto"/>
              <w:right w:val="nil"/>
            </w:tcBorders>
            <w:shd w:val="clear" w:color="auto" w:fill="EAF1DD"/>
            <w:vAlign w:val="center"/>
          </w:tcPr>
          <w:p w:rsidR="00D31F42" w:rsidRPr="004F1937" w:rsidRDefault="00D31F42">
            <w:pPr>
              <w:jc w:val="center"/>
              <w:rPr>
                <w:rFonts w:ascii="Calibri" w:hAnsi="Calibri" w:cs="Arial"/>
                <w:b/>
                <w:bCs/>
                <w:sz w:val="18"/>
                <w:szCs w:val="16"/>
              </w:rPr>
            </w:pPr>
            <w:r w:rsidRPr="004F1937">
              <w:rPr>
                <w:rFonts w:ascii="Calibri" w:hAnsi="Calibri" w:cs="Arial"/>
                <w:b/>
                <w:bCs/>
                <w:sz w:val="18"/>
                <w:szCs w:val="16"/>
              </w:rPr>
              <w:t>Grade 3</w:t>
            </w:r>
          </w:p>
        </w:tc>
        <w:tc>
          <w:tcPr>
            <w:tcW w:w="900" w:type="dxa"/>
            <w:tcBorders>
              <w:top w:val="nil"/>
              <w:left w:val="single" w:sz="8" w:space="0" w:color="auto"/>
              <w:bottom w:val="single" w:sz="8" w:space="0" w:color="auto"/>
              <w:right w:val="single" w:sz="8" w:space="0" w:color="auto"/>
            </w:tcBorders>
            <w:shd w:val="clear" w:color="auto" w:fill="EAF1DD"/>
            <w:vAlign w:val="center"/>
          </w:tcPr>
          <w:p w:rsidR="00D31F42" w:rsidRPr="004F1937" w:rsidRDefault="00D31F42">
            <w:pPr>
              <w:jc w:val="center"/>
              <w:rPr>
                <w:rFonts w:ascii="Calibri" w:hAnsi="Calibri" w:cs="Arial"/>
                <w:b/>
                <w:bCs/>
                <w:sz w:val="18"/>
                <w:szCs w:val="16"/>
              </w:rPr>
            </w:pPr>
            <w:r w:rsidRPr="004F1937">
              <w:rPr>
                <w:rFonts w:ascii="Calibri" w:hAnsi="Calibri" w:cs="Arial"/>
                <w:b/>
                <w:bCs/>
                <w:sz w:val="18"/>
                <w:szCs w:val="16"/>
              </w:rPr>
              <w:t>Grade 2A</w:t>
            </w:r>
          </w:p>
        </w:tc>
        <w:tc>
          <w:tcPr>
            <w:tcW w:w="990" w:type="dxa"/>
            <w:tcBorders>
              <w:top w:val="nil"/>
              <w:left w:val="nil"/>
              <w:bottom w:val="single" w:sz="8" w:space="0" w:color="auto"/>
              <w:right w:val="nil"/>
            </w:tcBorders>
            <w:shd w:val="clear" w:color="auto" w:fill="EAF1DD"/>
            <w:vAlign w:val="center"/>
          </w:tcPr>
          <w:p w:rsidR="00D31F42" w:rsidRPr="004F1937" w:rsidRDefault="00D31F42">
            <w:pPr>
              <w:jc w:val="center"/>
              <w:rPr>
                <w:rFonts w:ascii="Calibri" w:hAnsi="Calibri" w:cs="Arial"/>
                <w:b/>
                <w:bCs/>
                <w:sz w:val="18"/>
                <w:szCs w:val="16"/>
              </w:rPr>
            </w:pPr>
            <w:r w:rsidRPr="004F1937">
              <w:rPr>
                <w:rFonts w:ascii="Calibri" w:hAnsi="Calibri" w:cs="Arial"/>
                <w:b/>
                <w:bCs/>
                <w:sz w:val="18"/>
                <w:szCs w:val="16"/>
              </w:rPr>
              <w:t>Grade 2B</w:t>
            </w:r>
          </w:p>
        </w:tc>
        <w:tc>
          <w:tcPr>
            <w:tcW w:w="990" w:type="dxa"/>
            <w:tcBorders>
              <w:top w:val="nil"/>
              <w:left w:val="single" w:sz="8" w:space="0" w:color="auto"/>
              <w:bottom w:val="single" w:sz="8" w:space="0" w:color="auto"/>
              <w:right w:val="single" w:sz="8" w:space="0" w:color="auto"/>
            </w:tcBorders>
            <w:shd w:val="clear" w:color="auto" w:fill="EAF1DD"/>
            <w:vAlign w:val="center"/>
          </w:tcPr>
          <w:p w:rsidR="00D31F42" w:rsidRPr="004F1937" w:rsidRDefault="00D31F42">
            <w:pPr>
              <w:jc w:val="center"/>
              <w:rPr>
                <w:rFonts w:ascii="Calibri" w:hAnsi="Calibri" w:cs="Arial"/>
                <w:b/>
                <w:bCs/>
                <w:sz w:val="18"/>
                <w:szCs w:val="16"/>
              </w:rPr>
            </w:pPr>
            <w:r w:rsidRPr="004F1937">
              <w:rPr>
                <w:rFonts w:ascii="Calibri" w:hAnsi="Calibri" w:cs="Arial"/>
                <w:b/>
                <w:bCs/>
                <w:sz w:val="18"/>
                <w:szCs w:val="16"/>
              </w:rPr>
              <w:t> </w:t>
            </w:r>
          </w:p>
        </w:tc>
      </w:tr>
      <w:tr w:rsidR="00D31F42" w:rsidRPr="004F1937" w:rsidTr="004F1937">
        <w:trPr>
          <w:trHeight w:val="270"/>
        </w:trPr>
        <w:tc>
          <w:tcPr>
            <w:tcW w:w="1800" w:type="dxa"/>
            <w:tcBorders>
              <w:top w:val="nil"/>
              <w:left w:val="single" w:sz="8" w:space="0" w:color="auto"/>
              <w:bottom w:val="single" w:sz="8" w:space="0" w:color="auto"/>
              <w:right w:val="single" w:sz="8" w:space="0" w:color="auto"/>
            </w:tcBorders>
            <w:vAlign w:val="center"/>
          </w:tcPr>
          <w:p w:rsidR="00D31F42" w:rsidRPr="004F1937" w:rsidRDefault="00D31F42">
            <w:pPr>
              <w:jc w:val="both"/>
              <w:rPr>
                <w:rFonts w:ascii="Calibri" w:hAnsi="Calibri" w:cs="Arial"/>
                <w:sz w:val="18"/>
                <w:szCs w:val="16"/>
              </w:rPr>
            </w:pPr>
            <w:r w:rsidRPr="004F1937">
              <w:rPr>
                <w:rFonts w:ascii="Calibri" w:hAnsi="Calibri" w:cs="Arial"/>
                <w:sz w:val="18"/>
                <w:szCs w:val="16"/>
              </w:rPr>
              <w:t>Listed on SEM</w:t>
            </w:r>
          </w:p>
        </w:tc>
        <w:tc>
          <w:tcPr>
            <w:tcW w:w="900" w:type="dxa"/>
            <w:tcBorders>
              <w:top w:val="nil"/>
              <w:left w:val="nil"/>
              <w:bottom w:val="single" w:sz="8" w:space="0" w:color="auto"/>
              <w:right w:val="single" w:sz="8" w:space="0" w:color="auto"/>
            </w:tcBorders>
            <w:vAlign w:val="center"/>
          </w:tcPr>
          <w:p w:rsidR="00D31F42" w:rsidRPr="004F1937" w:rsidRDefault="00D31F42">
            <w:pPr>
              <w:jc w:val="center"/>
              <w:rPr>
                <w:rFonts w:ascii="Calibri" w:hAnsi="Calibri" w:cs="Arial"/>
                <w:sz w:val="18"/>
                <w:szCs w:val="16"/>
              </w:rPr>
            </w:pPr>
            <w:r w:rsidRPr="004F1937">
              <w:rPr>
                <w:rFonts w:ascii="Calibri" w:hAnsi="Calibri" w:cs="Arial"/>
                <w:sz w:val="18"/>
                <w:szCs w:val="16"/>
              </w:rPr>
              <w:t>4</w:t>
            </w:r>
          </w:p>
        </w:tc>
        <w:tc>
          <w:tcPr>
            <w:tcW w:w="900" w:type="dxa"/>
            <w:tcBorders>
              <w:top w:val="nil"/>
              <w:left w:val="nil"/>
              <w:bottom w:val="single" w:sz="8" w:space="0" w:color="auto"/>
              <w:right w:val="single" w:sz="8" w:space="0" w:color="auto"/>
            </w:tcBorders>
            <w:vAlign w:val="center"/>
          </w:tcPr>
          <w:p w:rsidR="00D31F42" w:rsidRPr="004F1937" w:rsidRDefault="00D31F42">
            <w:pPr>
              <w:jc w:val="center"/>
              <w:rPr>
                <w:rFonts w:ascii="Calibri" w:hAnsi="Calibri" w:cs="Arial"/>
                <w:sz w:val="18"/>
                <w:szCs w:val="16"/>
              </w:rPr>
            </w:pPr>
            <w:r w:rsidRPr="004F1937">
              <w:rPr>
                <w:rFonts w:ascii="Calibri" w:hAnsi="Calibri" w:cs="Arial"/>
                <w:sz w:val="18"/>
                <w:szCs w:val="16"/>
              </w:rPr>
              <w:t>-</w:t>
            </w:r>
          </w:p>
        </w:tc>
        <w:tc>
          <w:tcPr>
            <w:tcW w:w="810" w:type="dxa"/>
            <w:tcBorders>
              <w:top w:val="nil"/>
              <w:left w:val="nil"/>
              <w:bottom w:val="single" w:sz="8" w:space="0" w:color="auto"/>
              <w:right w:val="single" w:sz="8" w:space="0" w:color="auto"/>
            </w:tcBorders>
            <w:vAlign w:val="center"/>
          </w:tcPr>
          <w:p w:rsidR="00D31F42" w:rsidRPr="004F1937" w:rsidRDefault="00D31F42">
            <w:pPr>
              <w:jc w:val="center"/>
              <w:rPr>
                <w:rFonts w:ascii="Calibri" w:hAnsi="Calibri" w:cs="Arial"/>
                <w:sz w:val="18"/>
                <w:szCs w:val="16"/>
              </w:rPr>
            </w:pPr>
            <w:r w:rsidRPr="004F1937">
              <w:rPr>
                <w:rFonts w:ascii="Calibri" w:hAnsi="Calibri" w:cs="Arial"/>
                <w:sz w:val="18"/>
                <w:szCs w:val="16"/>
              </w:rPr>
              <w:t>-</w:t>
            </w:r>
          </w:p>
        </w:tc>
        <w:tc>
          <w:tcPr>
            <w:tcW w:w="900" w:type="dxa"/>
            <w:tcBorders>
              <w:top w:val="nil"/>
              <w:left w:val="nil"/>
              <w:bottom w:val="single" w:sz="8" w:space="0" w:color="auto"/>
              <w:right w:val="single" w:sz="8" w:space="0" w:color="auto"/>
            </w:tcBorders>
            <w:vAlign w:val="center"/>
          </w:tcPr>
          <w:p w:rsidR="00D31F42" w:rsidRPr="004F1937" w:rsidRDefault="00D31F42">
            <w:pPr>
              <w:jc w:val="center"/>
              <w:rPr>
                <w:rFonts w:ascii="Calibri" w:hAnsi="Calibri" w:cs="Arial"/>
                <w:sz w:val="18"/>
                <w:szCs w:val="16"/>
              </w:rPr>
            </w:pPr>
            <w:r w:rsidRPr="004F1937">
              <w:rPr>
                <w:rFonts w:ascii="Calibri" w:hAnsi="Calibri" w:cs="Arial"/>
                <w:sz w:val="18"/>
                <w:szCs w:val="16"/>
              </w:rPr>
              <w:t>-</w:t>
            </w:r>
          </w:p>
        </w:tc>
        <w:tc>
          <w:tcPr>
            <w:tcW w:w="990" w:type="dxa"/>
            <w:tcBorders>
              <w:top w:val="nil"/>
              <w:left w:val="nil"/>
              <w:bottom w:val="single" w:sz="8" w:space="0" w:color="auto"/>
              <w:right w:val="single" w:sz="8" w:space="0" w:color="auto"/>
            </w:tcBorders>
            <w:vAlign w:val="center"/>
          </w:tcPr>
          <w:p w:rsidR="00D31F42" w:rsidRPr="004F1937" w:rsidRDefault="00D31F42">
            <w:pPr>
              <w:jc w:val="center"/>
              <w:rPr>
                <w:rFonts w:ascii="Calibri" w:hAnsi="Calibri" w:cs="Arial"/>
                <w:sz w:val="18"/>
                <w:szCs w:val="16"/>
              </w:rPr>
            </w:pPr>
            <w:r w:rsidRPr="004F1937">
              <w:rPr>
                <w:rFonts w:ascii="Calibri" w:hAnsi="Calibri" w:cs="Arial"/>
                <w:sz w:val="18"/>
                <w:szCs w:val="16"/>
              </w:rPr>
              <w:t>-</w:t>
            </w:r>
          </w:p>
        </w:tc>
        <w:tc>
          <w:tcPr>
            <w:tcW w:w="990" w:type="dxa"/>
            <w:tcBorders>
              <w:top w:val="nil"/>
              <w:left w:val="nil"/>
              <w:bottom w:val="single" w:sz="8" w:space="0" w:color="auto"/>
              <w:right w:val="single" w:sz="8" w:space="0" w:color="auto"/>
            </w:tcBorders>
            <w:vAlign w:val="center"/>
          </w:tcPr>
          <w:p w:rsidR="00D31F42" w:rsidRPr="004F1937" w:rsidRDefault="00D31F42">
            <w:pPr>
              <w:jc w:val="center"/>
              <w:rPr>
                <w:rFonts w:ascii="Calibri" w:hAnsi="Calibri" w:cs="Arial"/>
                <w:b/>
                <w:bCs/>
                <w:sz w:val="18"/>
                <w:szCs w:val="16"/>
              </w:rPr>
            </w:pPr>
            <w:r w:rsidRPr="004F1937">
              <w:rPr>
                <w:rFonts w:ascii="Calibri" w:hAnsi="Calibri" w:cs="Arial"/>
                <w:b/>
                <w:bCs/>
                <w:sz w:val="18"/>
                <w:szCs w:val="16"/>
              </w:rPr>
              <w:t>4</w:t>
            </w:r>
          </w:p>
        </w:tc>
      </w:tr>
      <w:tr w:rsidR="00D31F42" w:rsidRPr="004F1937" w:rsidTr="004F1937">
        <w:trPr>
          <w:trHeight w:val="610"/>
        </w:trPr>
        <w:tc>
          <w:tcPr>
            <w:tcW w:w="1800" w:type="dxa"/>
            <w:tcBorders>
              <w:top w:val="nil"/>
              <w:left w:val="single" w:sz="8" w:space="0" w:color="auto"/>
              <w:bottom w:val="single" w:sz="8" w:space="0" w:color="auto"/>
              <w:right w:val="single" w:sz="8" w:space="0" w:color="auto"/>
            </w:tcBorders>
            <w:vAlign w:val="center"/>
          </w:tcPr>
          <w:p w:rsidR="00D31F42" w:rsidRPr="004F1937" w:rsidRDefault="00D31F42">
            <w:pPr>
              <w:jc w:val="both"/>
              <w:rPr>
                <w:rFonts w:ascii="Calibri" w:hAnsi="Calibri" w:cs="Arial"/>
                <w:sz w:val="18"/>
                <w:szCs w:val="16"/>
              </w:rPr>
            </w:pPr>
            <w:r w:rsidRPr="004F1937">
              <w:rPr>
                <w:rFonts w:ascii="Calibri" w:hAnsi="Calibri" w:cs="Arial"/>
                <w:sz w:val="18"/>
                <w:szCs w:val="16"/>
              </w:rPr>
              <w:t>Financial institutions regulated by BOM (excluding cash dealers)</w:t>
            </w:r>
          </w:p>
        </w:tc>
        <w:tc>
          <w:tcPr>
            <w:tcW w:w="900" w:type="dxa"/>
            <w:tcBorders>
              <w:top w:val="nil"/>
              <w:left w:val="nil"/>
              <w:bottom w:val="single" w:sz="8" w:space="0" w:color="auto"/>
              <w:right w:val="single" w:sz="8" w:space="0" w:color="auto"/>
            </w:tcBorders>
            <w:vAlign w:val="center"/>
          </w:tcPr>
          <w:p w:rsidR="00D31F42" w:rsidRPr="004F1937" w:rsidRDefault="00D31F42">
            <w:pPr>
              <w:jc w:val="center"/>
              <w:rPr>
                <w:rFonts w:ascii="Calibri" w:hAnsi="Calibri" w:cs="Arial"/>
                <w:sz w:val="18"/>
                <w:szCs w:val="16"/>
              </w:rPr>
            </w:pPr>
            <w:r w:rsidRPr="004F1937">
              <w:rPr>
                <w:rFonts w:ascii="Calibri" w:hAnsi="Calibri" w:cs="Arial"/>
                <w:sz w:val="18"/>
                <w:szCs w:val="16"/>
              </w:rPr>
              <w:t>-</w:t>
            </w:r>
          </w:p>
        </w:tc>
        <w:tc>
          <w:tcPr>
            <w:tcW w:w="900" w:type="dxa"/>
            <w:tcBorders>
              <w:top w:val="nil"/>
              <w:left w:val="nil"/>
              <w:bottom w:val="single" w:sz="8" w:space="0" w:color="auto"/>
              <w:right w:val="single" w:sz="8" w:space="0" w:color="auto"/>
            </w:tcBorders>
            <w:vAlign w:val="center"/>
          </w:tcPr>
          <w:p w:rsidR="00D31F42" w:rsidRPr="004F1937" w:rsidRDefault="00D31F42">
            <w:pPr>
              <w:jc w:val="center"/>
              <w:rPr>
                <w:rFonts w:ascii="Calibri" w:hAnsi="Calibri" w:cs="Arial"/>
                <w:sz w:val="18"/>
                <w:szCs w:val="16"/>
              </w:rPr>
            </w:pPr>
            <w:r w:rsidRPr="004F1937">
              <w:rPr>
                <w:rFonts w:ascii="Calibri" w:hAnsi="Calibri" w:cs="Arial"/>
                <w:sz w:val="18"/>
                <w:szCs w:val="16"/>
              </w:rPr>
              <w:t>1</w:t>
            </w:r>
          </w:p>
        </w:tc>
        <w:tc>
          <w:tcPr>
            <w:tcW w:w="810" w:type="dxa"/>
            <w:tcBorders>
              <w:top w:val="nil"/>
              <w:left w:val="nil"/>
              <w:bottom w:val="single" w:sz="8" w:space="0" w:color="auto"/>
              <w:right w:val="single" w:sz="8" w:space="0" w:color="auto"/>
            </w:tcBorders>
            <w:vAlign w:val="center"/>
          </w:tcPr>
          <w:p w:rsidR="00D31F42" w:rsidRPr="004F1937" w:rsidRDefault="00D31F42">
            <w:pPr>
              <w:jc w:val="center"/>
              <w:rPr>
                <w:rFonts w:ascii="Calibri" w:hAnsi="Calibri" w:cs="Arial"/>
                <w:sz w:val="18"/>
                <w:szCs w:val="16"/>
              </w:rPr>
            </w:pPr>
            <w:r w:rsidRPr="004F1937">
              <w:rPr>
                <w:rFonts w:ascii="Calibri" w:hAnsi="Calibri" w:cs="Arial"/>
                <w:sz w:val="18"/>
                <w:szCs w:val="16"/>
              </w:rPr>
              <w:t>-</w:t>
            </w:r>
          </w:p>
        </w:tc>
        <w:tc>
          <w:tcPr>
            <w:tcW w:w="900" w:type="dxa"/>
            <w:tcBorders>
              <w:top w:val="nil"/>
              <w:left w:val="nil"/>
              <w:bottom w:val="single" w:sz="8" w:space="0" w:color="auto"/>
              <w:right w:val="single" w:sz="8" w:space="0" w:color="auto"/>
            </w:tcBorders>
            <w:vAlign w:val="center"/>
          </w:tcPr>
          <w:p w:rsidR="00D31F42" w:rsidRPr="004F1937" w:rsidRDefault="00D31F42">
            <w:pPr>
              <w:jc w:val="center"/>
              <w:rPr>
                <w:rFonts w:ascii="Calibri" w:hAnsi="Calibri" w:cs="Arial"/>
                <w:sz w:val="18"/>
                <w:szCs w:val="16"/>
              </w:rPr>
            </w:pPr>
            <w:r w:rsidRPr="004F1937">
              <w:rPr>
                <w:rFonts w:ascii="Calibri" w:hAnsi="Calibri" w:cs="Arial"/>
                <w:sz w:val="18"/>
                <w:szCs w:val="16"/>
              </w:rPr>
              <w:t>-</w:t>
            </w:r>
          </w:p>
        </w:tc>
        <w:tc>
          <w:tcPr>
            <w:tcW w:w="990" w:type="dxa"/>
            <w:tcBorders>
              <w:top w:val="nil"/>
              <w:left w:val="nil"/>
              <w:bottom w:val="single" w:sz="8" w:space="0" w:color="auto"/>
              <w:right w:val="single" w:sz="8" w:space="0" w:color="auto"/>
            </w:tcBorders>
            <w:vAlign w:val="center"/>
          </w:tcPr>
          <w:p w:rsidR="00D31F42" w:rsidRPr="004F1937" w:rsidRDefault="00D31F42">
            <w:pPr>
              <w:jc w:val="center"/>
              <w:rPr>
                <w:rFonts w:ascii="Calibri" w:hAnsi="Calibri" w:cs="Arial"/>
                <w:sz w:val="18"/>
                <w:szCs w:val="16"/>
              </w:rPr>
            </w:pPr>
            <w:r w:rsidRPr="004F1937">
              <w:rPr>
                <w:rFonts w:ascii="Calibri" w:hAnsi="Calibri" w:cs="Arial"/>
                <w:sz w:val="18"/>
                <w:szCs w:val="16"/>
              </w:rPr>
              <w:t>-</w:t>
            </w:r>
          </w:p>
        </w:tc>
        <w:tc>
          <w:tcPr>
            <w:tcW w:w="990" w:type="dxa"/>
            <w:tcBorders>
              <w:top w:val="nil"/>
              <w:left w:val="nil"/>
              <w:bottom w:val="single" w:sz="8" w:space="0" w:color="auto"/>
              <w:right w:val="single" w:sz="8" w:space="0" w:color="auto"/>
            </w:tcBorders>
            <w:vAlign w:val="center"/>
          </w:tcPr>
          <w:p w:rsidR="00D31F42" w:rsidRPr="004F1937" w:rsidRDefault="00D31F42">
            <w:pPr>
              <w:jc w:val="center"/>
              <w:rPr>
                <w:rFonts w:ascii="Calibri" w:hAnsi="Calibri" w:cs="Arial"/>
                <w:b/>
                <w:bCs/>
                <w:sz w:val="18"/>
                <w:szCs w:val="16"/>
              </w:rPr>
            </w:pPr>
            <w:r w:rsidRPr="004F1937">
              <w:rPr>
                <w:rFonts w:ascii="Calibri" w:hAnsi="Calibri" w:cs="Arial"/>
                <w:b/>
                <w:bCs/>
                <w:sz w:val="18"/>
                <w:szCs w:val="16"/>
              </w:rPr>
              <w:t>1</w:t>
            </w:r>
          </w:p>
        </w:tc>
      </w:tr>
      <w:tr w:rsidR="00D31F42" w:rsidRPr="004F1937" w:rsidTr="004F1937">
        <w:trPr>
          <w:trHeight w:val="439"/>
        </w:trPr>
        <w:tc>
          <w:tcPr>
            <w:tcW w:w="1800" w:type="dxa"/>
            <w:tcBorders>
              <w:top w:val="nil"/>
              <w:left w:val="single" w:sz="8" w:space="0" w:color="auto"/>
              <w:bottom w:val="single" w:sz="8" w:space="0" w:color="auto"/>
              <w:right w:val="single" w:sz="8" w:space="0" w:color="auto"/>
            </w:tcBorders>
            <w:vAlign w:val="center"/>
          </w:tcPr>
          <w:p w:rsidR="00D31F42" w:rsidRPr="004F1937" w:rsidRDefault="00D31F42">
            <w:pPr>
              <w:jc w:val="both"/>
              <w:rPr>
                <w:rFonts w:ascii="Calibri" w:hAnsi="Calibri" w:cs="Arial"/>
                <w:sz w:val="18"/>
                <w:szCs w:val="16"/>
              </w:rPr>
            </w:pPr>
            <w:r w:rsidRPr="004F1937">
              <w:rPr>
                <w:rFonts w:ascii="Calibri" w:hAnsi="Calibri" w:cs="Arial"/>
                <w:sz w:val="18"/>
                <w:szCs w:val="16"/>
              </w:rPr>
              <w:t>Financial institutions regulated by FSC</w:t>
            </w:r>
          </w:p>
        </w:tc>
        <w:tc>
          <w:tcPr>
            <w:tcW w:w="900" w:type="dxa"/>
            <w:tcBorders>
              <w:top w:val="nil"/>
              <w:left w:val="nil"/>
              <w:bottom w:val="single" w:sz="8" w:space="0" w:color="auto"/>
              <w:right w:val="single" w:sz="8" w:space="0" w:color="auto"/>
            </w:tcBorders>
            <w:vAlign w:val="center"/>
          </w:tcPr>
          <w:p w:rsidR="00D31F42" w:rsidRPr="004F1937" w:rsidRDefault="00D31F42">
            <w:pPr>
              <w:jc w:val="center"/>
              <w:rPr>
                <w:rFonts w:ascii="Calibri" w:hAnsi="Calibri" w:cs="Arial"/>
                <w:sz w:val="18"/>
                <w:szCs w:val="16"/>
              </w:rPr>
            </w:pPr>
            <w:r w:rsidRPr="004F1937">
              <w:rPr>
                <w:rFonts w:ascii="Calibri" w:hAnsi="Calibri" w:cs="Arial"/>
                <w:sz w:val="18"/>
                <w:szCs w:val="16"/>
              </w:rPr>
              <w:t>-</w:t>
            </w:r>
          </w:p>
        </w:tc>
        <w:tc>
          <w:tcPr>
            <w:tcW w:w="900" w:type="dxa"/>
            <w:tcBorders>
              <w:top w:val="nil"/>
              <w:left w:val="nil"/>
              <w:bottom w:val="single" w:sz="8" w:space="0" w:color="auto"/>
              <w:right w:val="single" w:sz="8" w:space="0" w:color="auto"/>
            </w:tcBorders>
            <w:vAlign w:val="center"/>
          </w:tcPr>
          <w:p w:rsidR="00D31F42" w:rsidRPr="004F1937" w:rsidRDefault="00D31F42">
            <w:pPr>
              <w:jc w:val="center"/>
              <w:rPr>
                <w:rFonts w:ascii="Calibri" w:hAnsi="Calibri" w:cs="Arial"/>
                <w:sz w:val="18"/>
                <w:szCs w:val="16"/>
              </w:rPr>
            </w:pPr>
            <w:r w:rsidRPr="004F1937">
              <w:rPr>
                <w:rFonts w:ascii="Calibri" w:hAnsi="Calibri" w:cs="Arial"/>
                <w:sz w:val="18"/>
                <w:szCs w:val="16"/>
              </w:rPr>
              <w:t>1</w:t>
            </w:r>
          </w:p>
        </w:tc>
        <w:tc>
          <w:tcPr>
            <w:tcW w:w="810" w:type="dxa"/>
            <w:tcBorders>
              <w:top w:val="nil"/>
              <w:left w:val="nil"/>
              <w:bottom w:val="single" w:sz="8" w:space="0" w:color="auto"/>
              <w:right w:val="single" w:sz="8" w:space="0" w:color="auto"/>
            </w:tcBorders>
            <w:vAlign w:val="center"/>
          </w:tcPr>
          <w:p w:rsidR="00D31F42" w:rsidRPr="004F1937" w:rsidRDefault="00D31F42">
            <w:pPr>
              <w:jc w:val="center"/>
              <w:rPr>
                <w:rFonts w:ascii="Calibri" w:hAnsi="Calibri" w:cs="Arial"/>
                <w:sz w:val="18"/>
                <w:szCs w:val="16"/>
              </w:rPr>
            </w:pPr>
            <w:r w:rsidRPr="004F1937">
              <w:rPr>
                <w:rFonts w:ascii="Calibri" w:hAnsi="Calibri" w:cs="Arial"/>
                <w:sz w:val="18"/>
                <w:szCs w:val="16"/>
              </w:rPr>
              <w:t>-</w:t>
            </w:r>
          </w:p>
        </w:tc>
        <w:tc>
          <w:tcPr>
            <w:tcW w:w="900" w:type="dxa"/>
            <w:tcBorders>
              <w:top w:val="nil"/>
              <w:left w:val="nil"/>
              <w:bottom w:val="single" w:sz="8" w:space="0" w:color="auto"/>
              <w:right w:val="single" w:sz="8" w:space="0" w:color="auto"/>
            </w:tcBorders>
            <w:vAlign w:val="center"/>
          </w:tcPr>
          <w:p w:rsidR="00D31F42" w:rsidRPr="004F1937" w:rsidRDefault="00D31F42">
            <w:pPr>
              <w:jc w:val="center"/>
              <w:rPr>
                <w:rFonts w:ascii="Calibri" w:hAnsi="Calibri" w:cs="Arial"/>
                <w:sz w:val="18"/>
                <w:szCs w:val="16"/>
              </w:rPr>
            </w:pPr>
            <w:r w:rsidRPr="004F1937">
              <w:rPr>
                <w:rFonts w:ascii="Calibri" w:hAnsi="Calibri" w:cs="Arial"/>
                <w:sz w:val="18"/>
                <w:szCs w:val="16"/>
              </w:rPr>
              <w:t>-</w:t>
            </w:r>
          </w:p>
        </w:tc>
        <w:tc>
          <w:tcPr>
            <w:tcW w:w="990" w:type="dxa"/>
            <w:tcBorders>
              <w:top w:val="nil"/>
              <w:left w:val="nil"/>
              <w:bottom w:val="single" w:sz="8" w:space="0" w:color="auto"/>
              <w:right w:val="single" w:sz="8" w:space="0" w:color="auto"/>
            </w:tcBorders>
            <w:vAlign w:val="center"/>
          </w:tcPr>
          <w:p w:rsidR="00D31F42" w:rsidRPr="004F1937" w:rsidRDefault="00D31F42">
            <w:pPr>
              <w:jc w:val="center"/>
              <w:rPr>
                <w:rFonts w:ascii="Calibri" w:hAnsi="Calibri" w:cs="Arial"/>
                <w:sz w:val="18"/>
                <w:szCs w:val="16"/>
              </w:rPr>
            </w:pPr>
            <w:r w:rsidRPr="004F1937">
              <w:rPr>
                <w:rFonts w:ascii="Calibri" w:hAnsi="Calibri" w:cs="Arial"/>
                <w:sz w:val="18"/>
                <w:szCs w:val="16"/>
              </w:rPr>
              <w:t>-</w:t>
            </w:r>
          </w:p>
        </w:tc>
        <w:tc>
          <w:tcPr>
            <w:tcW w:w="990" w:type="dxa"/>
            <w:tcBorders>
              <w:top w:val="nil"/>
              <w:left w:val="nil"/>
              <w:bottom w:val="single" w:sz="8" w:space="0" w:color="auto"/>
              <w:right w:val="single" w:sz="8" w:space="0" w:color="auto"/>
            </w:tcBorders>
            <w:vAlign w:val="center"/>
          </w:tcPr>
          <w:p w:rsidR="00D31F42" w:rsidRPr="004F1937" w:rsidRDefault="00D31F42">
            <w:pPr>
              <w:jc w:val="center"/>
              <w:rPr>
                <w:rFonts w:ascii="Calibri" w:hAnsi="Calibri" w:cs="Arial"/>
                <w:b/>
                <w:bCs/>
                <w:sz w:val="18"/>
                <w:szCs w:val="16"/>
              </w:rPr>
            </w:pPr>
            <w:r w:rsidRPr="004F1937">
              <w:rPr>
                <w:rFonts w:ascii="Calibri" w:hAnsi="Calibri" w:cs="Arial"/>
                <w:b/>
                <w:bCs/>
                <w:sz w:val="18"/>
                <w:szCs w:val="16"/>
              </w:rPr>
              <w:t>1</w:t>
            </w:r>
          </w:p>
        </w:tc>
      </w:tr>
      <w:tr w:rsidR="00D31F42" w:rsidRPr="004F1937" w:rsidTr="004F1937">
        <w:trPr>
          <w:trHeight w:val="495"/>
        </w:trPr>
        <w:tc>
          <w:tcPr>
            <w:tcW w:w="1800" w:type="dxa"/>
            <w:tcBorders>
              <w:top w:val="nil"/>
              <w:left w:val="single" w:sz="8" w:space="0" w:color="auto"/>
              <w:bottom w:val="single" w:sz="8" w:space="0" w:color="auto"/>
              <w:right w:val="single" w:sz="8" w:space="0" w:color="auto"/>
            </w:tcBorders>
            <w:vAlign w:val="center"/>
          </w:tcPr>
          <w:p w:rsidR="00D31F42" w:rsidRPr="004F1937" w:rsidRDefault="00D31F42">
            <w:pPr>
              <w:jc w:val="both"/>
              <w:rPr>
                <w:rFonts w:ascii="Calibri" w:hAnsi="Calibri" w:cs="Arial"/>
                <w:sz w:val="18"/>
                <w:szCs w:val="16"/>
              </w:rPr>
            </w:pPr>
            <w:r w:rsidRPr="004F1937">
              <w:rPr>
                <w:rFonts w:ascii="Calibri" w:hAnsi="Calibri" w:cs="Arial"/>
                <w:sz w:val="18"/>
                <w:szCs w:val="16"/>
              </w:rPr>
              <w:t>Category 4 PIEs as per the FRA</w:t>
            </w:r>
          </w:p>
        </w:tc>
        <w:tc>
          <w:tcPr>
            <w:tcW w:w="900" w:type="dxa"/>
            <w:tcBorders>
              <w:top w:val="nil"/>
              <w:left w:val="nil"/>
              <w:bottom w:val="single" w:sz="8" w:space="0" w:color="auto"/>
              <w:right w:val="single" w:sz="8" w:space="0" w:color="auto"/>
            </w:tcBorders>
            <w:vAlign w:val="center"/>
          </w:tcPr>
          <w:p w:rsidR="00D31F42" w:rsidRPr="004F1937" w:rsidRDefault="00D31F42">
            <w:pPr>
              <w:jc w:val="center"/>
              <w:rPr>
                <w:rFonts w:ascii="Calibri" w:hAnsi="Calibri" w:cs="Arial"/>
                <w:sz w:val="18"/>
                <w:szCs w:val="16"/>
              </w:rPr>
            </w:pPr>
            <w:r w:rsidRPr="004F1937">
              <w:rPr>
                <w:rFonts w:ascii="Calibri" w:hAnsi="Calibri" w:cs="Arial"/>
                <w:sz w:val="18"/>
                <w:szCs w:val="16"/>
              </w:rPr>
              <w:t>-</w:t>
            </w:r>
          </w:p>
        </w:tc>
        <w:tc>
          <w:tcPr>
            <w:tcW w:w="900" w:type="dxa"/>
            <w:tcBorders>
              <w:top w:val="nil"/>
              <w:left w:val="nil"/>
              <w:bottom w:val="single" w:sz="8" w:space="0" w:color="auto"/>
              <w:right w:val="single" w:sz="8" w:space="0" w:color="auto"/>
            </w:tcBorders>
            <w:vAlign w:val="center"/>
          </w:tcPr>
          <w:p w:rsidR="00D31F42" w:rsidRPr="004F1937" w:rsidRDefault="00D31F42">
            <w:pPr>
              <w:jc w:val="center"/>
              <w:rPr>
                <w:rFonts w:ascii="Calibri" w:hAnsi="Calibri" w:cs="Arial"/>
                <w:sz w:val="18"/>
                <w:szCs w:val="16"/>
              </w:rPr>
            </w:pPr>
            <w:r w:rsidRPr="004F1937">
              <w:rPr>
                <w:rFonts w:ascii="Calibri" w:hAnsi="Calibri" w:cs="Arial"/>
                <w:sz w:val="18"/>
                <w:szCs w:val="16"/>
              </w:rPr>
              <w:t>3</w:t>
            </w:r>
          </w:p>
        </w:tc>
        <w:tc>
          <w:tcPr>
            <w:tcW w:w="810" w:type="dxa"/>
            <w:tcBorders>
              <w:top w:val="nil"/>
              <w:left w:val="nil"/>
              <w:bottom w:val="single" w:sz="8" w:space="0" w:color="auto"/>
              <w:right w:val="single" w:sz="8" w:space="0" w:color="auto"/>
            </w:tcBorders>
            <w:vAlign w:val="center"/>
          </w:tcPr>
          <w:p w:rsidR="00D31F42" w:rsidRPr="004F1937" w:rsidRDefault="00D31F42">
            <w:pPr>
              <w:jc w:val="center"/>
              <w:rPr>
                <w:rFonts w:ascii="Calibri" w:hAnsi="Calibri" w:cs="Arial"/>
                <w:sz w:val="18"/>
                <w:szCs w:val="16"/>
              </w:rPr>
            </w:pPr>
            <w:r w:rsidRPr="004F1937">
              <w:rPr>
                <w:rFonts w:ascii="Calibri" w:hAnsi="Calibri" w:cs="Arial"/>
                <w:sz w:val="18"/>
                <w:szCs w:val="16"/>
              </w:rPr>
              <w:t>1</w:t>
            </w:r>
          </w:p>
        </w:tc>
        <w:tc>
          <w:tcPr>
            <w:tcW w:w="900" w:type="dxa"/>
            <w:tcBorders>
              <w:top w:val="nil"/>
              <w:left w:val="nil"/>
              <w:bottom w:val="single" w:sz="8" w:space="0" w:color="auto"/>
              <w:right w:val="single" w:sz="8" w:space="0" w:color="auto"/>
            </w:tcBorders>
            <w:vAlign w:val="center"/>
          </w:tcPr>
          <w:p w:rsidR="00D31F42" w:rsidRPr="004F1937" w:rsidRDefault="00D31F42">
            <w:pPr>
              <w:jc w:val="center"/>
              <w:rPr>
                <w:rFonts w:ascii="Calibri" w:hAnsi="Calibri" w:cs="Arial"/>
                <w:sz w:val="18"/>
                <w:szCs w:val="16"/>
              </w:rPr>
            </w:pPr>
            <w:r w:rsidRPr="004F1937">
              <w:rPr>
                <w:rFonts w:ascii="Calibri" w:hAnsi="Calibri" w:cs="Arial"/>
                <w:sz w:val="18"/>
                <w:szCs w:val="16"/>
              </w:rPr>
              <w:t>4</w:t>
            </w:r>
          </w:p>
        </w:tc>
        <w:tc>
          <w:tcPr>
            <w:tcW w:w="990" w:type="dxa"/>
            <w:tcBorders>
              <w:top w:val="nil"/>
              <w:left w:val="nil"/>
              <w:bottom w:val="single" w:sz="8" w:space="0" w:color="auto"/>
              <w:right w:val="single" w:sz="8" w:space="0" w:color="auto"/>
            </w:tcBorders>
            <w:vAlign w:val="center"/>
          </w:tcPr>
          <w:p w:rsidR="00D31F42" w:rsidRPr="004F1937" w:rsidRDefault="00D31F42">
            <w:pPr>
              <w:jc w:val="center"/>
              <w:rPr>
                <w:rFonts w:ascii="Calibri" w:hAnsi="Calibri" w:cs="Arial"/>
                <w:sz w:val="18"/>
                <w:szCs w:val="16"/>
              </w:rPr>
            </w:pPr>
            <w:r w:rsidRPr="004F1937">
              <w:rPr>
                <w:rFonts w:ascii="Calibri" w:hAnsi="Calibri" w:cs="Arial"/>
                <w:sz w:val="18"/>
                <w:szCs w:val="16"/>
              </w:rPr>
              <w:t>1</w:t>
            </w:r>
          </w:p>
        </w:tc>
        <w:tc>
          <w:tcPr>
            <w:tcW w:w="990" w:type="dxa"/>
            <w:tcBorders>
              <w:top w:val="nil"/>
              <w:left w:val="nil"/>
              <w:bottom w:val="single" w:sz="8" w:space="0" w:color="auto"/>
              <w:right w:val="single" w:sz="8" w:space="0" w:color="auto"/>
            </w:tcBorders>
            <w:vAlign w:val="center"/>
          </w:tcPr>
          <w:p w:rsidR="00D31F42" w:rsidRPr="004F1937" w:rsidRDefault="00D31F42">
            <w:pPr>
              <w:jc w:val="center"/>
              <w:rPr>
                <w:rFonts w:ascii="Calibri" w:hAnsi="Calibri" w:cs="Arial"/>
                <w:b/>
                <w:bCs/>
                <w:sz w:val="18"/>
                <w:szCs w:val="16"/>
              </w:rPr>
            </w:pPr>
            <w:r w:rsidRPr="004F1937">
              <w:rPr>
                <w:rFonts w:ascii="Calibri" w:hAnsi="Calibri" w:cs="Arial"/>
                <w:b/>
                <w:bCs/>
                <w:sz w:val="18"/>
                <w:szCs w:val="16"/>
              </w:rPr>
              <w:t>9</w:t>
            </w:r>
          </w:p>
        </w:tc>
      </w:tr>
      <w:tr w:rsidR="00D31F42" w:rsidRPr="004F1937" w:rsidTr="004F1937">
        <w:trPr>
          <w:trHeight w:val="495"/>
        </w:trPr>
        <w:tc>
          <w:tcPr>
            <w:tcW w:w="1800" w:type="dxa"/>
            <w:tcBorders>
              <w:top w:val="nil"/>
              <w:left w:val="single" w:sz="8" w:space="0" w:color="auto"/>
              <w:bottom w:val="single" w:sz="8" w:space="0" w:color="auto"/>
              <w:right w:val="single" w:sz="8" w:space="0" w:color="auto"/>
            </w:tcBorders>
            <w:vAlign w:val="center"/>
          </w:tcPr>
          <w:p w:rsidR="00D31F42" w:rsidRPr="004F1937" w:rsidRDefault="00D31F42">
            <w:pPr>
              <w:jc w:val="both"/>
              <w:rPr>
                <w:rFonts w:ascii="Calibri" w:hAnsi="Calibri" w:cs="Arial"/>
                <w:sz w:val="18"/>
                <w:szCs w:val="16"/>
              </w:rPr>
            </w:pPr>
            <w:r w:rsidRPr="004F1937">
              <w:rPr>
                <w:rFonts w:ascii="Calibri" w:hAnsi="Calibri" w:cs="Arial"/>
                <w:sz w:val="18"/>
                <w:szCs w:val="16"/>
              </w:rPr>
              <w:t xml:space="preserve">SOEs as </w:t>
            </w:r>
            <w:r w:rsidR="00831658">
              <w:rPr>
                <w:rFonts w:ascii="Calibri" w:hAnsi="Calibri" w:cs="Arial"/>
                <w:sz w:val="18"/>
                <w:szCs w:val="16"/>
              </w:rPr>
              <w:t xml:space="preserve">per </w:t>
            </w:r>
            <w:r w:rsidR="00461D30">
              <w:rPr>
                <w:rFonts w:ascii="Calibri" w:hAnsi="Calibri" w:cs="Arial"/>
                <w:sz w:val="18"/>
                <w:szCs w:val="16"/>
              </w:rPr>
              <w:t xml:space="preserve">the </w:t>
            </w:r>
            <w:r w:rsidRPr="004F1937">
              <w:rPr>
                <w:rFonts w:ascii="Calibri" w:hAnsi="Calibri" w:cs="Arial"/>
                <w:sz w:val="18"/>
                <w:szCs w:val="16"/>
              </w:rPr>
              <w:t>First Schedule of FRA</w:t>
            </w:r>
          </w:p>
        </w:tc>
        <w:tc>
          <w:tcPr>
            <w:tcW w:w="900" w:type="dxa"/>
            <w:tcBorders>
              <w:top w:val="nil"/>
              <w:left w:val="nil"/>
              <w:bottom w:val="single" w:sz="8" w:space="0" w:color="auto"/>
              <w:right w:val="single" w:sz="8" w:space="0" w:color="auto"/>
            </w:tcBorders>
            <w:vAlign w:val="center"/>
          </w:tcPr>
          <w:p w:rsidR="00D31F42" w:rsidRPr="004F1937" w:rsidRDefault="00D31F42">
            <w:pPr>
              <w:jc w:val="center"/>
              <w:rPr>
                <w:rFonts w:ascii="Calibri" w:hAnsi="Calibri" w:cs="Arial"/>
                <w:sz w:val="18"/>
                <w:szCs w:val="16"/>
              </w:rPr>
            </w:pPr>
            <w:r w:rsidRPr="004F1937">
              <w:rPr>
                <w:rFonts w:ascii="Calibri" w:hAnsi="Calibri" w:cs="Arial"/>
                <w:sz w:val="18"/>
                <w:szCs w:val="16"/>
              </w:rPr>
              <w:t>-</w:t>
            </w:r>
          </w:p>
        </w:tc>
        <w:tc>
          <w:tcPr>
            <w:tcW w:w="900" w:type="dxa"/>
            <w:tcBorders>
              <w:top w:val="nil"/>
              <w:left w:val="nil"/>
              <w:bottom w:val="single" w:sz="8" w:space="0" w:color="auto"/>
              <w:right w:val="single" w:sz="8" w:space="0" w:color="auto"/>
            </w:tcBorders>
            <w:vAlign w:val="center"/>
          </w:tcPr>
          <w:p w:rsidR="00D31F42" w:rsidRPr="004F1937" w:rsidRDefault="00D31F42">
            <w:pPr>
              <w:jc w:val="center"/>
              <w:rPr>
                <w:rFonts w:ascii="Calibri" w:hAnsi="Calibri" w:cs="Arial"/>
                <w:sz w:val="18"/>
                <w:szCs w:val="16"/>
              </w:rPr>
            </w:pPr>
            <w:r w:rsidRPr="004F1937">
              <w:rPr>
                <w:rFonts w:ascii="Calibri" w:hAnsi="Calibri" w:cs="Arial"/>
                <w:sz w:val="18"/>
                <w:szCs w:val="16"/>
              </w:rPr>
              <w:t>3</w:t>
            </w:r>
          </w:p>
        </w:tc>
        <w:tc>
          <w:tcPr>
            <w:tcW w:w="810" w:type="dxa"/>
            <w:tcBorders>
              <w:top w:val="nil"/>
              <w:left w:val="nil"/>
              <w:bottom w:val="single" w:sz="8" w:space="0" w:color="auto"/>
              <w:right w:val="single" w:sz="8" w:space="0" w:color="auto"/>
            </w:tcBorders>
            <w:vAlign w:val="center"/>
          </w:tcPr>
          <w:p w:rsidR="00D31F42" w:rsidRPr="004F1937" w:rsidRDefault="00D31F42">
            <w:pPr>
              <w:jc w:val="center"/>
              <w:rPr>
                <w:rFonts w:ascii="Calibri" w:hAnsi="Calibri" w:cs="Arial"/>
                <w:sz w:val="18"/>
                <w:szCs w:val="16"/>
              </w:rPr>
            </w:pPr>
            <w:r w:rsidRPr="004F1937">
              <w:rPr>
                <w:rFonts w:ascii="Calibri" w:hAnsi="Calibri" w:cs="Arial"/>
                <w:sz w:val="18"/>
                <w:szCs w:val="16"/>
              </w:rPr>
              <w:t>-</w:t>
            </w:r>
          </w:p>
        </w:tc>
        <w:tc>
          <w:tcPr>
            <w:tcW w:w="900" w:type="dxa"/>
            <w:tcBorders>
              <w:top w:val="nil"/>
              <w:left w:val="nil"/>
              <w:bottom w:val="single" w:sz="8" w:space="0" w:color="auto"/>
              <w:right w:val="single" w:sz="8" w:space="0" w:color="auto"/>
            </w:tcBorders>
            <w:vAlign w:val="center"/>
          </w:tcPr>
          <w:p w:rsidR="00D31F42" w:rsidRPr="004F1937" w:rsidRDefault="00D31F42">
            <w:pPr>
              <w:jc w:val="center"/>
              <w:rPr>
                <w:rFonts w:ascii="Calibri" w:hAnsi="Calibri" w:cs="Arial"/>
                <w:sz w:val="18"/>
                <w:szCs w:val="16"/>
              </w:rPr>
            </w:pPr>
            <w:r w:rsidRPr="004F1937">
              <w:rPr>
                <w:rFonts w:ascii="Calibri" w:hAnsi="Calibri" w:cs="Arial"/>
                <w:sz w:val="18"/>
                <w:szCs w:val="16"/>
              </w:rPr>
              <w:t>-</w:t>
            </w:r>
          </w:p>
        </w:tc>
        <w:tc>
          <w:tcPr>
            <w:tcW w:w="990" w:type="dxa"/>
            <w:tcBorders>
              <w:top w:val="nil"/>
              <w:left w:val="nil"/>
              <w:bottom w:val="single" w:sz="8" w:space="0" w:color="auto"/>
              <w:right w:val="single" w:sz="8" w:space="0" w:color="auto"/>
            </w:tcBorders>
            <w:vAlign w:val="center"/>
          </w:tcPr>
          <w:p w:rsidR="00D31F42" w:rsidRPr="004F1937" w:rsidRDefault="00D31F42">
            <w:pPr>
              <w:jc w:val="center"/>
              <w:rPr>
                <w:rFonts w:ascii="Calibri" w:hAnsi="Calibri" w:cs="Arial"/>
                <w:sz w:val="18"/>
                <w:szCs w:val="16"/>
              </w:rPr>
            </w:pPr>
            <w:r w:rsidRPr="004F1937">
              <w:rPr>
                <w:rFonts w:ascii="Calibri" w:hAnsi="Calibri" w:cs="Arial"/>
                <w:sz w:val="18"/>
                <w:szCs w:val="16"/>
              </w:rPr>
              <w:t>-</w:t>
            </w:r>
          </w:p>
        </w:tc>
        <w:tc>
          <w:tcPr>
            <w:tcW w:w="990" w:type="dxa"/>
            <w:tcBorders>
              <w:top w:val="nil"/>
              <w:left w:val="nil"/>
              <w:bottom w:val="single" w:sz="8" w:space="0" w:color="auto"/>
              <w:right w:val="single" w:sz="8" w:space="0" w:color="auto"/>
            </w:tcBorders>
            <w:vAlign w:val="center"/>
          </w:tcPr>
          <w:p w:rsidR="00D31F42" w:rsidRPr="004F1937" w:rsidRDefault="00D31F42">
            <w:pPr>
              <w:jc w:val="center"/>
              <w:rPr>
                <w:rFonts w:ascii="Calibri" w:hAnsi="Calibri" w:cs="Arial"/>
                <w:b/>
                <w:bCs/>
                <w:sz w:val="18"/>
                <w:szCs w:val="16"/>
              </w:rPr>
            </w:pPr>
            <w:r w:rsidRPr="004F1937">
              <w:rPr>
                <w:rFonts w:ascii="Calibri" w:hAnsi="Calibri" w:cs="Arial"/>
                <w:b/>
                <w:bCs/>
                <w:sz w:val="18"/>
                <w:szCs w:val="16"/>
              </w:rPr>
              <w:t>3</w:t>
            </w:r>
          </w:p>
        </w:tc>
      </w:tr>
      <w:tr w:rsidR="00D31F42" w:rsidRPr="004F1937" w:rsidTr="004F1937">
        <w:trPr>
          <w:trHeight w:val="270"/>
        </w:trPr>
        <w:tc>
          <w:tcPr>
            <w:tcW w:w="1800" w:type="dxa"/>
            <w:tcBorders>
              <w:top w:val="nil"/>
              <w:left w:val="single" w:sz="8" w:space="0" w:color="auto"/>
              <w:bottom w:val="single" w:sz="8" w:space="0" w:color="auto"/>
              <w:right w:val="single" w:sz="8" w:space="0" w:color="auto"/>
            </w:tcBorders>
            <w:vAlign w:val="center"/>
          </w:tcPr>
          <w:p w:rsidR="00D31F42" w:rsidRPr="004F1937" w:rsidRDefault="00D31F42">
            <w:pPr>
              <w:jc w:val="both"/>
              <w:rPr>
                <w:rFonts w:ascii="Calibri" w:hAnsi="Calibri" w:cs="Arial"/>
                <w:b/>
                <w:bCs/>
                <w:sz w:val="18"/>
                <w:szCs w:val="16"/>
              </w:rPr>
            </w:pPr>
            <w:r w:rsidRPr="004F1937">
              <w:rPr>
                <w:rFonts w:ascii="Calibri" w:hAnsi="Calibri" w:cs="Arial"/>
                <w:b/>
                <w:bCs/>
                <w:sz w:val="18"/>
                <w:szCs w:val="16"/>
              </w:rPr>
              <w:t>Total</w:t>
            </w:r>
          </w:p>
        </w:tc>
        <w:tc>
          <w:tcPr>
            <w:tcW w:w="900" w:type="dxa"/>
            <w:tcBorders>
              <w:top w:val="nil"/>
              <w:left w:val="nil"/>
              <w:bottom w:val="single" w:sz="8" w:space="0" w:color="auto"/>
              <w:right w:val="single" w:sz="8" w:space="0" w:color="auto"/>
            </w:tcBorders>
            <w:vAlign w:val="center"/>
          </w:tcPr>
          <w:p w:rsidR="00D31F42" w:rsidRPr="004F1937" w:rsidRDefault="00D31F42">
            <w:pPr>
              <w:jc w:val="center"/>
              <w:rPr>
                <w:rFonts w:ascii="Calibri" w:hAnsi="Calibri" w:cs="Arial"/>
                <w:b/>
                <w:bCs/>
                <w:sz w:val="18"/>
                <w:szCs w:val="16"/>
              </w:rPr>
            </w:pPr>
            <w:r w:rsidRPr="004F1937">
              <w:rPr>
                <w:rFonts w:ascii="Calibri" w:hAnsi="Calibri" w:cs="Arial"/>
                <w:b/>
                <w:bCs/>
                <w:sz w:val="18"/>
                <w:szCs w:val="16"/>
              </w:rPr>
              <w:t>4</w:t>
            </w:r>
          </w:p>
        </w:tc>
        <w:tc>
          <w:tcPr>
            <w:tcW w:w="900" w:type="dxa"/>
            <w:tcBorders>
              <w:top w:val="nil"/>
              <w:left w:val="nil"/>
              <w:bottom w:val="single" w:sz="8" w:space="0" w:color="auto"/>
              <w:right w:val="single" w:sz="8" w:space="0" w:color="auto"/>
            </w:tcBorders>
            <w:vAlign w:val="center"/>
          </w:tcPr>
          <w:p w:rsidR="00D31F42" w:rsidRPr="004F1937" w:rsidRDefault="00D31F42">
            <w:pPr>
              <w:jc w:val="center"/>
              <w:rPr>
                <w:rFonts w:ascii="Calibri" w:hAnsi="Calibri" w:cs="Arial"/>
                <w:b/>
                <w:bCs/>
                <w:sz w:val="18"/>
                <w:szCs w:val="16"/>
              </w:rPr>
            </w:pPr>
            <w:r w:rsidRPr="004F1937">
              <w:rPr>
                <w:rFonts w:ascii="Calibri" w:hAnsi="Calibri" w:cs="Arial"/>
                <w:b/>
                <w:bCs/>
                <w:sz w:val="18"/>
                <w:szCs w:val="16"/>
              </w:rPr>
              <w:t>8</w:t>
            </w:r>
          </w:p>
        </w:tc>
        <w:tc>
          <w:tcPr>
            <w:tcW w:w="810" w:type="dxa"/>
            <w:tcBorders>
              <w:top w:val="nil"/>
              <w:left w:val="nil"/>
              <w:bottom w:val="single" w:sz="8" w:space="0" w:color="auto"/>
              <w:right w:val="single" w:sz="8" w:space="0" w:color="auto"/>
            </w:tcBorders>
            <w:vAlign w:val="center"/>
          </w:tcPr>
          <w:p w:rsidR="00D31F42" w:rsidRPr="004F1937" w:rsidRDefault="00D31F42">
            <w:pPr>
              <w:jc w:val="center"/>
              <w:rPr>
                <w:rFonts w:ascii="Calibri" w:hAnsi="Calibri" w:cs="Arial"/>
                <w:b/>
                <w:bCs/>
                <w:sz w:val="18"/>
                <w:szCs w:val="16"/>
              </w:rPr>
            </w:pPr>
            <w:r w:rsidRPr="004F1937">
              <w:rPr>
                <w:rFonts w:ascii="Calibri" w:hAnsi="Calibri" w:cs="Arial"/>
                <w:b/>
                <w:bCs/>
                <w:sz w:val="18"/>
                <w:szCs w:val="16"/>
              </w:rPr>
              <w:t>1</w:t>
            </w:r>
          </w:p>
        </w:tc>
        <w:tc>
          <w:tcPr>
            <w:tcW w:w="900" w:type="dxa"/>
            <w:tcBorders>
              <w:top w:val="nil"/>
              <w:left w:val="nil"/>
              <w:bottom w:val="single" w:sz="8" w:space="0" w:color="auto"/>
              <w:right w:val="single" w:sz="8" w:space="0" w:color="auto"/>
            </w:tcBorders>
            <w:vAlign w:val="center"/>
          </w:tcPr>
          <w:p w:rsidR="00D31F42" w:rsidRPr="004F1937" w:rsidRDefault="00D31F42">
            <w:pPr>
              <w:jc w:val="center"/>
              <w:rPr>
                <w:rFonts w:ascii="Calibri" w:hAnsi="Calibri" w:cs="Arial"/>
                <w:b/>
                <w:bCs/>
                <w:sz w:val="18"/>
                <w:szCs w:val="16"/>
              </w:rPr>
            </w:pPr>
            <w:r w:rsidRPr="004F1937">
              <w:rPr>
                <w:rFonts w:ascii="Calibri" w:hAnsi="Calibri" w:cs="Arial"/>
                <w:b/>
                <w:bCs/>
                <w:sz w:val="18"/>
                <w:szCs w:val="16"/>
              </w:rPr>
              <w:t>4</w:t>
            </w:r>
          </w:p>
        </w:tc>
        <w:tc>
          <w:tcPr>
            <w:tcW w:w="990" w:type="dxa"/>
            <w:tcBorders>
              <w:top w:val="nil"/>
              <w:left w:val="nil"/>
              <w:bottom w:val="single" w:sz="8" w:space="0" w:color="auto"/>
              <w:right w:val="single" w:sz="8" w:space="0" w:color="auto"/>
            </w:tcBorders>
            <w:vAlign w:val="center"/>
          </w:tcPr>
          <w:p w:rsidR="00D31F42" w:rsidRPr="004F1937" w:rsidRDefault="00D31F42">
            <w:pPr>
              <w:jc w:val="center"/>
              <w:rPr>
                <w:rFonts w:ascii="Calibri" w:hAnsi="Calibri" w:cs="Arial"/>
                <w:b/>
                <w:bCs/>
                <w:sz w:val="18"/>
                <w:szCs w:val="16"/>
              </w:rPr>
            </w:pPr>
            <w:r w:rsidRPr="004F1937">
              <w:rPr>
                <w:rFonts w:ascii="Calibri" w:hAnsi="Calibri" w:cs="Arial"/>
                <w:b/>
                <w:bCs/>
                <w:sz w:val="18"/>
                <w:szCs w:val="16"/>
              </w:rPr>
              <w:t>1</w:t>
            </w:r>
          </w:p>
        </w:tc>
        <w:tc>
          <w:tcPr>
            <w:tcW w:w="990" w:type="dxa"/>
            <w:tcBorders>
              <w:top w:val="nil"/>
              <w:left w:val="nil"/>
              <w:bottom w:val="single" w:sz="8" w:space="0" w:color="auto"/>
              <w:right w:val="single" w:sz="8" w:space="0" w:color="auto"/>
            </w:tcBorders>
            <w:vAlign w:val="center"/>
          </w:tcPr>
          <w:p w:rsidR="00D31F42" w:rsidRPr="004F1937" w:rsidRDefault="00D31F42">
            <w:pPr>
              <w:jc w:val="center"/>
              <w:rPr>
                <w:rFonts w:ascii="Calibri" w:hAnsi="Calibri" w:cs="Arial"/>
                <w:b/>
                <w:bCs/>
                <w:sz w:val="18"/>
                <w:szCs w:val="16"/>
              </w:rPr>
            </w:pPr>
            <w:r w:rsidRPr="004F1937">
              <w:rPr>
                <w:rFonts w:ascii="Calibri" w:hAnsi="Calibri" w:cs="Arial"/>
                <w:b/>
                <w:bCs/>
                <w:sz w:val="18"/>
                <w:szCs w:val="16"/>
              </w:rPr>
              <w:t>18</w:t>
            </w:r>
          </w:p>
        </w:tc>
      </w:tr>
    </w:tbl>
    <w:p w:rsidR="00D31F42" w:rsidRPr="005E020C" w:rsidRDefault="00D31F42" w:rsidP="00F95DE7">
      <w:pPr>
        <w:ind w:left="540"/>
        <w:jc w:val="both"/>
        <w:rPr>
          <w:rFonts w:ascii="Calibri" w:hAnsi="Calibri"/>
        </w:rPr>
      </w:pPr>
      <w:bookmarkStart w:id="18" w:name="_Hlk395610793"/>
    </w:p>
    <w:p w:rsidR="00D31F42" w:rsidRPr="005E020C" w:rsidRDefault="00D31F42" w:rsidP="00F95DE7">
      <w:pPr>
        <w:ind w:left="540"/>
        <w:jc w:val="both"/>
        <w:rPr>
          <w:rFonts w:ascii="Calibri" w:hAnsi="Calibri"/>
        </w:rPr>
      </w:pPr>
      <w:r w:rsidRPr="005E020C">
        <w:rPr>
          <w:rFonts w:ascii="Calibri" w:hAnsi="Calibri"/>
        </w:rPr>
        <w:t>A follow up review was carried out with respect to the 5 entities who had received grades 2A and had liquidity issues in their previous reviews and FRC observed the following during the follow up exercise:</w:t>
      </w:r>
    </w:p>
    <w:p w:rsidR="00D31F42" w:rsidRPr="005E020C" w:rsidRDefault="00D31F42" w:rsidP="00F95DE7">
      <w:pPr>
        <w:ind w:left="540"/>
        <w:jc w:val="both"/>
        <w:rPr>
          <w:rFonts w:ascii="Calibri" w:hAnsi="Calibri"/>
        </w:rPr>
      </w:pPr>
    </w:p>
    <w:p w:rsidR="00D31F42" w:rsidRPr="005E020C" w:rsidRDefault="00D31F42" w:rsidP="00F7611C">
      <w:pPr>
        <w:numPr>
          <w:ilvl w:val="0"/>
          <w:numId w:val="11"/>
        </w:numPr>
        <w:tabs>
          <w:tab w:val="left" w:pos="540"/>
          <w:tab w:val="left" w:pos="810"/>
        </w:tabs>
        <w:ind w:left="540" w:firstLine="0"/>
        <w:jc w:val="both"/>
        <w:rPr>
          <w:rFonts w:ascii="Calibri" w:hAnsi="Calibri" w:cs="Arial"/>
        </w:rPr>
      </w:pPr>
      <w:r w:rsidRPr="005E020C">
        <w:rPr>
          <w:rFonts w:ascii="Calibri" w:hAnsi="Calibri" w:cs="Arial"/>
        </w:rPr>
        <w:t>4 PIEs had been granted grade 2A; and</w:t>
      </w:r>
    </w:p>
    <w:p w:rsidR="00D31F42" w:rsidRPr="005E020C" w:rsidRDefault="00D31F42" w:rsidP="00F7611C">
      <w:pPr>
        <w:numPr>
          <w:ilvl w:val="0"/>
          <w:numId w:val="11"/>
        </w:numPr>
        <w:tabs>
          <w:tab w:val="left" w:pos="540"/>
          <w:tab w:val="left" w:pos="810"/>
        </w:tabs>
        <w:ind w:left="540" w:firstLine="0"/>
        <w:jc w:val="both"/>
        <w:rPr>
          <w:rFonts w:ascii="Calibri" w:hAnsi="Calibri" w:cs="Arial"/>
        </w:rPr>
      </w:pPr>
      <w:r w:rsidRPr="005E020C">
        <w:rPr>
          <w:rFonts w:ascii="Calibri" w:hAnsi="Calibri" w:cs="Arial"/>
        </w:rPr>
        <w:t>1 PIE still obtained the same grade (2B) as compared to last year.</w:t>
      </w:r>
    </w:p>
    <w:p w:rsidR="00D31F42" w:rsidRPr="005E020C" w:rsidRDefault="00D31F42" w:rsidP="00847C91">
      <w:pPr>
        <w:jc w:val="both"/>
        <w:rPr>
          <w:rFonts w:ascii="Calibri" w:hAnsi="Calibri"/>
          <w:highlight w:val="yellow"/>
        </w:rPr>
      </w:pPr>
    </w:p>
    <w:p w:rsidR="00D31F42" w:rsidRPr="005E020C" w:rsidRDefault="00D31F42" w:rsidP="00F95DE7">
      <w:pPr>
        <w:ind w:left="540"/>
        <w:jc w:val="both"/>
        <w:rPr>
          <w:rFonts w:ascii="Calibri" w:hAnsi="Calibri"/>
        </w:rPr>
      </w:pPr>
      <w:r w:rsidRPr="005E020C">
        <w:rPr>
          <w:rFonts w:ascii="Calibri" w:hAnsi="Calibri"/>
        </w:rPr>
        <w:t>For the PIE that had still obtained grade 2B as in previous year, FRC raised various non compliances with respect to corporate governance and IFRSs:</w:t>
      </w:r>
    </w:p>
    <w:p w:rsidR="00D31F42" w:rsidRPr="005E020C" w:rsidRDefault="00D31F42" w:rsidP="00F95DE7">
      <w:pPr>
        <w:ind w:left="540"/>
        <w:jc w:val="both"/>
        <w:rPr>
          <w:rFonts w:ascii="Calibri" w:hAnsi="Calibri"/>
        </w:rPr>
      </w:pPr>
    </w:p>
    <w:p w:rsidR="00D31F42" w:rsidRPr="005E020C" w:rsidRDefault="00D31F42" w:rsidP="00F7611C">
      <w:pPr>
        <w:numPr>
          <w:ilvl w:val="0"/>
          <w:numId w:val="11"/>
        </w:numPr>
        <w:tabs>
          <w:tab w:val="left" w:pos="360"/>
          <w:tab w:val="left" w:pos="810"/>
        </w:tabs>
        <w:ind w:left="540" w:firstLine="0"/>
        <w:jc w:val="both"/>
        <w:rPr>
          <w:rFonts w:ascii="Calibri" w:hAnsi="Calibri" w:cs="Arial"/>
        </w:rPr>
      </w:pPr>
      <w:r w:rsidRPr="005E020C">
        <w:rPr>
          <w:rFonts w:ascii="Calibri" w:hAnsi="Calibri"/>
          <w:lang w:val="en-US"/>
        </w:rPr>
        <w:t>The fair value estimation of the buildings (IFRS 13);</w:t>
      </w:r>
    </w:p>
    <w:p w:rsidR="00D31F42" w:rsidRPr="005E020C" w:rsidRDefault="00D31F42" w:rsidP="00F7611C">
      <w:pPr>
        <w:numPr>
          <w:ilvl w:val="0"/>
          <w:numId w:val="11"/>
        </w:numPr>
        <w:tabs>
          <w:tab w:val="left" w:pos="360"/>
          <w:tab w:val="left" w:pos="810"/>
        </w:tabs>
        <w:ind w:left="540" w:firstLine="0"/>
        <w:jc w:val="both"/>
        <w:rPr>
          <w:rFonts w:ascii="Calibri" w:hAnsi="Calibri" w:cs="Arial"/>
        </w:rPr>
      </w:pPr>
      <w:r w:rsidRPr="005E020C">
        <w:rPr>
          <w:rFonts w:ascii="Calibri" w:hAnsi="Calibri"/>
          <w:lang w:val="en-US"/>
        </w:rPr>
        <w:t>Accounting policy regarding frequency of revaluation of buildings (IAS 16);</w:t>
      </w:r>
    </w:p>
    <w:p w:rsidR="00D31F42" w:rsidRPr="005E020C" w:rsidRDefault="00D31F42" w:rsidP="00F7611C">
      <w:pPr>
        <w:numPr>
          <w:ilvl w:val="0"/>
          <w:numId w:val="11"/>
        </w:numPr>
        <w:tabs>
          <w:tab w:val="left" w:pos="360"/>
          <w:tab w:val="left" w:pos="810"/>
        </w:tabs>
        <w:ind w:left="540" w:firstLine="0"/>
        <w:jc w:val="both"/>
        <w:rPr>
          <w:rFonts w:ascii="Calibri" w:hAnsi="Calibri" w:cs="Arial"/>
        </w:rPr>
      </w:pPr>
      <w:r w:rsidRPr="005E020C">
        <w:rPr>
          <w:rFonts w:ascii="Calibri" w:hAnsi="Calibri" w:cs="Arial"/>
        </w:rPr>
        <w:t>Remuneration of directors (Section 2 of the code);</w:t>
      </w:r>
    </w:p>
    <w:p w:rsidR="00D31F42" w:rsidRPr="005E020C" w:rsidRDefault="00D31F42" w:rsidP="00F7611C">
      <w:pPr>
        <w:numPr>
          <w:ilvl w:val="0"/>
          <w:numId w:val="11"/>
        </w:numPr>
        <w:tabs>
          <w:tab w:val="left" w:pos="360"/>
          <w:tab w:val="left" w:pos="810"/>
        </w:tabs>
        <w:ind w:left="540" w:firstLine="0"/>
        <w:jc w:val="both"/>
        <w:rPr>
          <w:rFonts w:ascii="Calibri" w:hAnsi="Calibri" w:cs="Arial"/>
        </w:rPr>
      </w:pPr>
      <w:r w:rsidRPr="005E020C">
        <w:rPr>
          <w:rFonts w:ascii="Calibri" w:hAnsi="Calibri" w:cs="Arial"/>
        </w:rPr>
        <w:t>Detailed time table specifying important events (Section 8 of the code); and</w:t>
      </w:r>
    </w:p>
    <w:p w:rsidR="00D31F42" w:rsidRPr="005E020C" w:rsidRDefault="00D31F42" w:rsidP="00F7611C">
      <w:pPr>
        <w:numPr>
          <w:ilvl w:val="0"/>
          <w:numId w:val="11"/>
        </w:numPr>
        <w:tabs>
          <w:tab w:val="left" w:pos="360"/>
          <w:tab w:val="left" w:pos="810"/>
        </w:tabs>
        <w:ind w:left="810" w:hanging="270"/>
        <w:jc w:val="both"/>
        <w:rPr>
          <w:rFonts w:ascii="Calibri" w:hAnsi="Calibri" w:cs="Arial"/>
        </w:rPr>
      </w:pPr>
      <w:r w:rsidRPr="005E020C">
        <w:rPr>
          <w:rFonts w:ascii="Calibri" w:hAnsi="Calibri" w:cs="Arial"/>
        </w:rPr>
        <w:t>Statement of Compliance had been signed by 2 directors instead of 1 director and the chairman of the company (Guidelines on Compliance with Corporate Governance – Government Gazette No. 32 of 13 April 2013, General Notice No. 1016).</w:t>
      </w:r>
    </w:p>
    <w:p w:rsidR="00D31F42" w:rsidRPr="005E020C" w:rsidRDefault="00D31F42" w:rsidP="00B8160A">
      <w:pPr>
        <w:tabs>
          <w:tab w:val="left" w:pos="720"/>
          <w:tab w:val="left" w:pos="1080"/>
        </w:tabs>
        <w:ind w:right="-29"/>
        <w:jc w:val="both"/>
        <w:rPr>
          <w:rFonts w:ascii="Calibri" w:hAnsi="Calibri" w:cs="Arial"/>
          <w:bCs/>
        </w:rPr>
      </w:pPr>
    </w:p>
    <w:p w:rsidR="00D31F42" w:rsidRPr="005E020C" w:rsidRDefault="00D31F42" w:rsidP="00967C80">
      <w:pPr>
        <w:jc w:val="both"/>
        <w:rPr>
          <w:rFonts w:ascii="Calibri" w:hAnsi="Calibri"/>
        </w:rPr>
      </w:pPr>
    </w:p>
    <w:p w:rsidR="00D31F42" w:rsidRPr="00D63EDF" w:rsidRDefault="00D31F42" w:rsidP="00680024">
      <w:pPr>
        <w:ind w:firstLine="540"/>
        <w:rPr>
          <w:rFonts w:ascii="Calibri" w:hAnsi="Calibri" w:cs="Arial"/>
          <w:b/>
          <w:color w:val="AEA206"/>
          <w:sz w:val="32"/>
          <w:szCs w:val="28"/>
        </w:rPr>
      </w:pPr>
      <w:r w:rsidRPr="00D63EDF">
        <w:rPr>
          <w:rFonts w:ascii="Calibri" w:hAnsi="Calibri" w:cs="Arial"/>
          <w:b/>
          <w:color w:val="AEA206"/>
          <w:sz w:val="32"/>
          <w:szCs w:val="28"/>
        </w:rPr>
        <w:t>PART D -</w:t>
      </w:r>
      <w:bookmarkStart w:id="19" w:name="Conclusion"/>
      <w:bookmarkEnd w:id="17"/>
      <w:r w:rsidRPr="00D63EDF">
        <w:rPr>
          <w:rFonts w:ascii="Calibri" w:hAnsi="Calibri" w:cs="Arial"/>
          <w:b/>
          <w:color w:val="AEA206"/>
          <w:sz w:val="32"/>
          <w:szCs w:val="28"/>
        </w:rPr>
        <w:t xml:space="preserve"> Conclusion</w:t>
      </w:r>
      <w:bookmarkEnd w:id="19"/>
    </w:p>
    <w:bookmarkEnd w:id="18"/>
    <w:p w:rsidR="00D31F42" w:rsidRPr="00D63EDF" w:rsidRDefault="00D31F42" w:rsidP="00D63EDF">
      <w:pPr>
        <w:ind w:firstLine="540"/>
        <w:jc w:val="both"/>
        <w:rPr>
          <w:rFonts w:ascii="Calibri" w:hAnsi="Calibri" w:cs="Arial"/>
          <w:b/>
          <w:color w:val="AEA206"/>
        </w:rPr>
      </w:pPr>
      <w:r w:rsidRPr="00D63EDF">
        <w:rPr>
          <w:rFonts w:ascii="Calibri" w:hAnsi="Calibri" w:cs="Arial"/>
          <w:b/>
          <w:color w:val="AEA206"/>
        </w:rPr>
        <w:t>____________________________________________</w:t>
      </w:r>
      <w:r>
        <w:rPr>
          <w:rFonts w:ascii="Calibri" w:hAnsi="Calibri" w:cs="Arial"/>
          <w:b/>
          <w:color w:val="AEA206"/>
        </w:rPr>
        <w:t>____________________</w:t>
      </w:r>
    </w:p>
    <w:p w:rsidR="00D31F42" w:rsidRPr="005E020C" w:rsidRDefault="00D31F42" w:rsidP="00CD1D85">
      <w:pPr>
        <w:jc w:val="both"/>
        <w:rPr>
          <w:rFonts w:ascii="Calibri" w:hAnsi="Calibri" w:cs="Arial"/>
          <w:szCs w:val="23"/>
        </w:rPr>
      </w:pPr>
    </w:p>
    <w:p w:rsidR="00D31F42" w:rsidRPr="005E020C" w:rsidRDefault="00D31F42" w:rsidP="00680024">
      <w:pPr>
        <w:ind w:left="540"/>
        <w:jc w:val="both"/>
        <w:rPr>
          <w:rFonts w:ascii="Calibri" w:hAnsi="Calibri" w:cs="Arial"/>
          <w:b/>
          <w:i/>
        </w:rPr>
      </w:pPr>
      <w:r w:rsidRPr="005E020C">
        <w:rPr>
          <w:rStyle w:val="text"/>
          <w:rFonts w:ascii="Calibri" w:hAnsi="Calibri" w:cs="Arial"/>
        </w:rPr>
        <w:t xml:space="preserve">FRC noted that there is a continuing improvement in the corporate reporting of PIEs in general.  </w:t>
      </w:r>
    </w:p>
    <w:p w:rsidR="00D31F42" w:rsidRPr="005E020C" w:rsidRDefault="00D31F42" w:rsidP="00680024">
      <w:pPr>
        <w:ind w:left="540"/>
        <w:rPr>
          <w:rFonts w:ascii="Calibri" w:hAnsi="Calibri" w:cs="Arial"/>
        </w:rPr>
      </w:pPr>
    </w:p>
    <w:p w:rsidR="00D31F42" w:rsidRPr="005E020C" w:rsidRDefault="00D31F42" w:rsidP="00680024">
      <w:pPr>
        <w:ind w:left="540"/>
        <w:jc w:val="both"/>
        <w:rPr>
          <w:rStyle w:val="text"/>
          <w:rFonts w:ascii="Calibri" w:hAnsi="Calibri" w:cs="Arial"/>
        </w:rPr>
      </w:pPr>
      <w:r w:rsidRPr="005E020C">
        <w:rPr>
          <w:rStyle w:val="text"/>
          <w:rFonts w:ascii="Calibri" w:hAnsi="Calibri" w:cs="Arial"/>
        </w:rPr>
        <w:t xml:space="preserve">During the period ended 30 June 2016, FRC issued letters of observations to PIEs copied to the Chairman of these entities. In light of FRC’s comments, </w:t>
      </w:r>
      <w:r w:rsidRPr="005E020C">
        <w:rPr>
          <w:rStyle w:val="text"/>
          <w:rFonts w:ascii="Calibri" w:hAnsi="Calibri" w:cs="Arial"/>
        </w:rPr>
        <w:lastRenderedPageBreak/>
        <w:t>many PIEs provided explanations and gave undertakings to improve the quality of their future annual reports where relevant.</w:t>
      </w:r>
    </w:p>
    <w:p w:rsidR="00D31F42" w:rsidRPr="005E020C" w:rsidRDefault="00D31F42" w:rsidP="00680024">
      <w:pPr>
        <w:ind w:left="540"/>
        <w:jc w:val="both"/>
        <w:rPr>
          <w:rStyle w:val="text"/>
          <w:rFonts w:ascii="Calibri" w:hAnsi="Calibri" w:cs="Arial"/>
        </w:rPr>
      </w:pPr>
    </w:p>
    <w:p w:rsidR="00D31F42" w:rsidRPr="005E020C" w:rsidRDefault="00D31F42" w:rsidP="00680024">
      <w:pPr>
        <w:ind w:left="540"/>
        <w:jc w:val="both"/>
        <w:rPr>
          <w:rStyle w:val="text"/>
          <w:rFonts w:ascii="Calibri" w:hAnsi="Calibri" w:cs="Arial"/>
        </w:rPr>
      </w:pPr>
      <w:r w:rsidRPr="005E020C">
        <w:rPr>
          <w:rStyle w:val="text"/>
          <w:rFonts w:ascii="Calibri" w:hAnsi="Calibri" w:cs="Arial"/>
        </w:rPr>
        <w:t>FRC will continue to carry out its follow up exercise to ensure that the non-compliances raised in previous reviews are being considered. The annual report reviews performed would also take into account new developments in IFRS and regulations to ensure quality reporting.</w:t>
      </w:r>
    </w:p>
    <w:p w:rsidR="00D31F42" w:rsidRPr="005E020C" w:rsidRDefault="00D31F42" w:rsidP="00F04175">
      <w:pPr>
        <w:jc w:val="both"/>
        <w:rPr>
          <w:rStyle w:val="text"/>
          <w:rFonts w:ascii="Calibri" w:hAnsi="Calibri" w:cs="Arial"/>
        </w:rPr>
      </w:pPr>
    </w:p>
    <w:p w:rsidR="00D31F42" w:rsidRPr="005E020C" w:rsidRDefault="00D31F42" w:rsidP="00181971">
      <w:pPr>
        <w:jc w:val="both"/>
        <w:rPr>
          <w:rFonts w:ascii="Calibri" w:hAnsi="Calibri" w:cs="Arial"/>
          <w:b/>
          <w:i/>
        </w:rPr>
      </w:pPr>
    </w:p>
    <w:p w:rsidR="00D31F42" w:rsidRPr="005E020C" w:rsidRDefault="00D31F42" w:rsidP="00BC15F9">
      <w:pPr>
        <w:jc w:val="both"/>
        <w:rPr>
          <w:rFonts w:ascii="Calibri" w:hAnsi="Calibri" w:cs="Arial"/>
          <w:b/>
        </w:rPr>
      </w:pPr>
      <w:r w:rsidRPr="005E020C">
        <w:rPr>
          <w:rFonts w:ascii="Calibri" w:hAnsi="Calibri" w:cs="Arial"/>
          <w:b/>
        </w:rPr>
        <w:t>Financial Reporting Council</w:t>
      </w:r>
    </w:p>
    <w:p w:rsidR="00D31F42" w:rsidRPr="005E020C" w:rsidRDefault="00D31F42" w:rsidP="00723CEE">
      <w:pPr>
        <w:jc w:val="both"/>
        <w:rPr>
          <w:rFonts w:ascii="Calibri" w:hAnsi="Calibri"/>
          <w:b/>
        </w:rPr>
      </w:pPr>
      <w:r w:rsidRPr="005E020C">
        <w:rPr>
          <w:rFonts w:ascii="Calibri" w:hAnsi="Calibri" w:cs="Arial"/>
          <w:b/>
        </w:rPr>
        <w:t>2</w:t>
      </w:r>
      <w:r w:rsidR="00317DE5">
        <w:rPr>
          <w:rFonts w:ascii="Calibri" w:hAnsi="Calibri" w:cs="Arial"/>
          <w:b/>
        </w:rPr>
        <w:t>9</w:t>
      </w:r>
      <w:r w:rsidRPr="005E020C">
        <w:rPr>
          <w:rFonts w:ascii="Calibri" w:hAnsi="Calibri" w:cs="Arial"/>
          <w:b/>
        </w:rPr>
        <w:t xml:space="preserve"> September 2016</w:t>
      </w:r>
    </w:p>
    <w:sectPr w:rsidR="00D31F42" w:rsidRPr="005E020C" w:rsidSect="000D4624">
      <w:footerReference w:type="even" r:id="rId13"/>
      <w:footerReference w:type="default" r:id="rId14"/>
      <w:headerReference w:type="first" r:id="rId15"/>
      <w:pgSz w:w="12240" w:h="15840"/>
      <w:pgMar w:top="1440" w:right="2250" w:bottom="1440" w:left="1797" w:header="720" w:footer="72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652" w:rsidRDefault="00B97652">
      <w:r>
        <w:separator/>
      </w:r>
    </w:p>
  </w:endnote>
  <w:endnote w:type="continuationSeparator" w:id="0">
    <w:p w:rsidR="00B97652" w:rsidRDefault="00B97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A8D" w:rsidRDefault="00A85A8D" w:rsidP="00081F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5A8D" w:rsidRDefault="00A85A8D" w:rsidP="00062A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A8D" w:rsidRPr="007D167E" w:rsidRDefault="00A85A8D" w:rsidP="00B602CE">
    <w:pPr>
      <w:pStyle w:val="Footer"/>
      <w:ind w:right="-29" w:firstLine="6358"/>
      <w:rPr>
        <w:rFonts w:ascii="Calibri" w:hAnsi="Calibri"/>
      </w:rPr>
    </w:pPr>
    <w:r w:rsidRPr="007D167E">
      <w:rPr>
        <w:rFonts w:ascii="Calibri" w:hAnsi="Calibri"/>
      </w:rPr>
      <w:t xml:space="preserve">Page </w:t>
    </w:r>
    <w:r w:rsidRPr="007D167E">
      <w:rPr>
        <w:rFonts w:ascii="Calibri" w:hAnsi="Calibri"/>
      </w:rPr>
      <w:fldChar w:fldCharType="begin"/>
    </w:r>
    <w:r w:rsidRPr="007D167E">
      <w:rPr>
        <w:rFonts w:ascii="Calibri" w:hAnsi="Calibri"/>
      </w:rPr>
      <w:instrText xml:space="preserve"> PAGE </w:instrText>
    </w:r>
    <w:r w:rsidRPr="007D167E">
      <w:rPr>
        <w:rFonts w:ascii="Calibri" w:hAnsi="Calibri"/>
      </w:rPr>
      <w:fldChar w:fldCharType="separate"/>
    </w:r>
    <w:r w:rsidR="00257F8D">
      <w:rPr>
        <w:rFonts w:ascii="Calibri" w:hAnsi="Calibri"/>
        <w:noProof/>
      </w:rPr>
      <w:t>4</w:t>
    </w:r>
    <w:r w:rsidRPr="007D167E">
      <w:rPr>
        <w:rFonts w:ascii="Calibri" w:hAnsi="Calibri"/>
      </w:rPr>
      <w:fldChar w:fldCharType="end"/>
    </w:r>
    <w:r w:rsidRPr="007D167E">
      <w:rPr>
        <w:rFonts w:ascii="Calibri" w:hAnsi="Calibri"/>
      </w:rPr>
      <w:t xml:space="preserve"> of </w:t>
    </w:r>
    <w:r w:rsidR="00257F8D">
      <w:rPr>
        <w:rFonts w:ascii="Calibri" w:hAnsi="Calibri"/>
      </w:rPr>
      <w:t>25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652" w:rsidRDefault="00B97652">
      <w:r>
        <w:separator/>
      </w:r>
    </w:p>
  </w:footnote>
  <w:footnote w:type="continuationSeparator" w:id="0">
    <w:p w:rsidR="00B97652" w:rsidRDefault="00B976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A8D" w:rsidRDefault="00B97652" w:rsidP="00636FB6">
    <w:pPr>
      <w:pStyle w:val="Header"/>
      <w:ind w:left="-12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57.75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14C9"/>
    <w:multiLevelType w:val="hybridMultilevel"/>
    <w:tmpl w:val="514AFDB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35B58B5"/>
    <w:multiLevelType w:val="hybridMultilevel"/>
    <w:tmpl w:val="E598BBA0"/>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A6C11C7"/>
    <w:multiLevelType w:val="hybridMultilevel"/>
    <w:tmpl w:val="22D4768E"/>
    <w:lvl w:ilvl="0" w:tplc="08090001">
      <w:start w:val="1"/>
      <w:numFmt w:val="bullet"/>
      <w:lvlText w:val=""/>
      <w:lvlJc w:val="left"/>
      <w:pPr>
        <w:ind w:left="1980" w:hanging="360"/>
      </w:pPr>
      <w:rPr>
        <w:rFonts w:ascii="Symbol" w:hAnsi="Symbol" w:hint="default"/>
      </w:rPr>
    </w:lvl>
    <w:lvl w:ilvl="1" w:tplc="08090003">
      <w:start w:val="1"/>
      <w:numFmt w:val="bullet"/>
      <w:lvlText w:val="o"/>
      <w:lvlJc w:val="left"/>
      <w:pPr>
        <w:ind w:left="2700" w:hanging="360"/>
      </w:pPr>
      <w:rPr>
        <w:rFonts w:ascii="Courier New" w:hAnsi="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3">
    <w:nsid w:val="0B334C06"/>
    <w:multiLevelType w:val="hybridMultilevel"/>
    <w:tmpl w:val="910E38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F333FB0"/>
    <w:multiLevelType w:val="hybridMultilevel"/>
    <w:tmpl w:val="C4347936"/>
    <w:lvl w:ilvl="0" w:tplc="9048A254">
      <w:start w:val="1"/>
      <w:numFmt w:val="bullet"/>
      <w:lvlText w:val=""/>
      <w:lvlJc w:val="left"/>
      <w:pPr>
        <w:ind w:left="1530" w:hanging="360"/>
      </w:pPr>
      <w:rPr>
        <w:rFonts w:ascii="Symbol" w:hAnsi="Symbol" w:hint="default"/>
      </w:rPr>
    </w:lvl>
    <w:lvl w:ilvl="1" w:tplc="08090003">
      <w:start w:val="1"/>
      <w:numFmt w:val="bullet"/>
      <w:lvlText w:val="o"/>
      <w:lvlJc w:val="left"/>
      <w:pPr>
        <w:ind w:left="2250" w:hanging="360"/>
      </w:pPr>
      <w:rPr>
        <w:rFonts w:ascii="Courier New" w:hAnsi="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5">
    <w:nsid w:val="0FD8025E"/>
    <w:multiLevelType w:val="hybridMultilevel"/>
    <w:tmpl w:val="9D509CD0"/>
    <w:lvl w:ilvl="0" w:tplc="EDF8C832">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
    <w:nsid w:val="13567940"/>
    <w:multiLevelType w:val="hybridMultilevel"/>
    <w:tmpl w:val="DBB2F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9EA56D0"/>
    <w:multiLevelType w:val="hybridMultilevel"/>
    <w:tmpl w:val="4656A794"/>
    <w:lvl w:ilvl="0" w:tplc="9048A254">
      <w:start w:val="1"/>
      <w:numFmt w:val="bullet"/>
      <w:lvlText w:val=""/>
      <w:lvlJc w:val="left"/>
      <w:pPr>
        <w:ind w:left="2520" w:hanging="360"/>
      </w:pPr>
      <w:rPr>
        <w:rFonts w:ascii="Symbol" w:hAnsi="Symbol" w:hint="default"/>
      </w:rPr>
    </w:lvl>
    <w:lvl w:ilvl="1" w:tplc="9048A254">
      <w:start w:val="1"/>
      <w:numFmt w:val="bullet"/>
      <w:lvlText w:val=""/>
      <w:lvlJc w:val="left"/>
      <w:pPr>
        <w:ind w:left="3240" w:hanging="360"/>
      </w:pPr>
      <w:rPr>
        <w:rFonts w:ascii="Symbol" w:hAnsi="Symbol"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nsid w:val="1A6B29A3"/>
    <w:multiLevelType w:val="multilevel"/>
    <w:tmpl w:val="00F298B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B0B2AE1"/>
    <w:multiLevelType w:val="hybridMultilevel"/>
    <w:tmpl w:val="5AF4A9DC"/>
    <w:lvl w:ilvl="0" w:tplc="9048A254">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0">
    <w:nsid w:val="1E210A9D"/>
    <w:multiLevelType w:val="hybridMultilevel"/>
    <w:tmpl w:val="D430F36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11">
    <w:nsid w:val="213D5A19"/>
    <w:multiLevelType w:val="hybridMultilevel"/>
    <w:tmpl w:val="6ECE4FAE"/>
    <w:lvl w:ilvl="0" w:tplc="86001E1E">
      <w:start w:val="1"/>
      <w:numFmt w:val="lowerRoman"/>
      <w:lvlText w:val="(%1)"/>
      <w:lvlJc w:val="left"/>
      <w:pPr>
        <w:ind w:left="1440" w:hanging="720"/>
      </w:pPr>
      <w:rPr>
        <w:rFonts w:cs="Times New Roman" w:hint="default"/>
      </w:rPr>
    </w:lvl>
    <w:lvl w:ilvl="1" w:tplc="1CAC605C">
      <w:start w:val="1"/>
      <w:numFmt w:val="lowerLetter"/>
      <w:lvlText w:val="(%2)"/>
      <w:lvlJc w:val="left"/>
      <w:pPr>
        <w:tabs>
          <w:tab w:val="num" w:pos="1800"/>
        </w:tabs>
        <w:ind w:left="1800" w:hanging="360"/>
      </w:pPr>
      <w:rPr>
        <w:rFonts w:cs="Times New Roman" w:hint="default"/>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2">
    <w:nsid w:val="25167EE4"/>
    <w:multiLevelType w:val="hybridMultilevel"/>
    <w:tmpl w:val="7E90DF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288B1C11"/>
    <w:multiLevelType w:val="hybridMultilevel"/>
    <w:tmpl w:val="F574F9FA"/>
    <w:lvl w:ilvl="0" w:tplc="4BE0589E">
      <w:start w:val="1"/>
      <w:numFmt w:val="lowerLetter"/>
      <w:lvlText w:val="(%1)"/>
      <w:lvlJc w:val="left"/>
      <w:pPr>
        <w:ind w:left="1620" w:hanging="360"/>
      </w:pPr>
      <w:rPr>
        <w:rFonts w:cs="Times New Roman" w:hint="default"/>
      </w:rPr>
    </w:lvl>
    <w:lvl w:ilvl="1" w:tplc="802E0AAE">
      <w:numFmt w:val="bullet"/>
      <w:lvlText w:val="-"/>
      <w:lvlJc w:val="left"/>
      <w:pPr>
        <w:ind w:left="2340" w:hanging="360"/>
      </w:pPr>
      <w:rPr>
        <w:rFonts w:ascii="Times New Roman" w:eastAsia="Times New Roman" w:hAnsi="Times New Roman" w:hint="default"/>
        <w:b/>
      </w:rPr>
    </w:lvl>
    <w:lvl w:ilvl="2" w:tplc="0809001B" w:tentative="1">
      <w:start w:val="1"/>
      <w:numFmt w:val="lowerRoman"/>
      <w:lvlText w:val="%3."/>
      <w:lvlJc w:val="right"/>
      <w:pPr>
        <w:ind w:left="3060" w:hanging="180"/>
      </w:pPr>
      <w:rPr>
        <w:rFonts w:cs="Times New Roman"/>
      </w:rPr>
    </w:lvl>
    <w:lvl w:ilvl="3" w:tplc="0809000F" w:tentative="1">
      <w:start w:val="1"/>
      <w:numFmt w:val="decimal"/>
      <w:lvlText w:val="%4."/>
      <w:lvlJc w:val="left"/>
      <w:pPr>
        <w:ind w:left="3780" w:hanging="360"/>
      </w:pPr>
      <w:rPr>
        <w:rFonts w:cs="Times New Roman"/>
      </w:rPr>
    </w:lvl>
    <w:lvl w:ilvl="4" w:tplc="08090019" w:tentative="1">
      <w:start w:val="1"/>
      <w:numFmt w:val="lowerLetter"/>
      <w:lvlText w:val="%5."/>
      <w:lvlJc w:val="left"/>
      <w:pPr>
        <w:ind w:left="4500" w:hanging="360"/>
      </w:pPr>
      <w:rPr>
        <w:rFonts w:cs="Times New Roman"/>
      </w:rPr>
    </w:lvl>
    <w:lvl w:ilvl="5" w:tplc="0809001B" w:tentative="1">
      <w:start w:val="1"/>
      <w:numFmt w:val="lowerRoman"/>
      <w:lvlText w:val="%6."/>
      <w:lvlJc w:val="right"/>
      <w:pPr>
        <w:ind w:left="5220" w:hanging="180"/>
      </w:pPr>
      <w:rPr>
        <w:rFonts w:cs="Times New Roman"/>
      </w:rPr>
    </w:lvl>
    <w:lvl w:ilvl="6" w:tplc="0809000F" w:tentative="1">
      <w:start w:val="1"/>
      <w:numFmt w:val="decimal"/>
      <w:lvlText w:val="%7."/>
      <w:lvlJc w:val="left"/>
      <w:pPr>
        <w:ind w:left="5940" w:hanging="360"/>
      </w:pPr>
      <w:rPr>
        <w:rFonts w:cs="Times New Roman"/>
      </w:rPr>
    </w:lvl>
    <w:lvl w:ilvl="7" w:tplc="08090019" w:tentative="1">
      <w:start w:val="1"/>
      <w:numFmt w:val="lowerLetter"/>
      <w:lvlText w:val="%8."/>
      <w:lvlJc w:val="left"/>
      <w:pPr>
        <w:ind w:left="6660" w:hanging="360"/>
      </w:pPr>
      <w:rPr>
        <w:rFonts w:cs="Times New Roman"/>
      </w:rPr>
    </w:lvl>
    <w:lvl w:ilvl="8" w:tplc="0809001B" w:tentative="1">
      <w:start w:val="1"/>
      <w:numFmt w:val="lowerRoman"/>
      <w:lvlText w:val="%9."/>
      <w:lvlJc w:val="right"/>
      <w:pPr>
        <w:ind w:left="7380" w:hanging="180"/>
      </w:pPr>
      <w:rPr>
        <w:rFonts w:cs="Times New Roman"/>
      </w:rPr>
    </w:lvl>
  </w:abstractNum>
  <w:abstractNum w:abstractNumId="14">
    <w:nsid w:val="318A288F"/>
    <w:multiLevelType w:val="hybridMultilevel"/>
    <w:tmpl w:val="B45CBA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25E7EE7"/>
    <w:multiLevelType w:val="hybridMultilevel"/>
    <w:tmpl w:val="9B00F9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42A6472"/>
    <w:multiLevelType w:val="hybridMultilevel"/>
    <w:tmpl w:val="33721954"/>
    <w:lvl w:ilvl="0" w:tplc="04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34EA41B3"/>
    <w:multiLevelType w:val="hybridMultilevel"/>
    <w:tmpl w:val="7C5C6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1B6332"/>
    <w:multiLevelType w:val="hybridMultilevel"/>
    <w:tmpl w:val="35D0C508"/>
    <w:lvl w:ilvl="0" w:tplc="4BE0589E">
      <w:start w:val="1"/>
      <w:numFmt w:val="lowerLetter"/>
      <w:lvlText w:val="(%1)"/>
      <w:lvlJc w:val="left"/>
      <w:pPr>
        <w:ind w:left="1440" w:hanging="360"/>
      </w:pPr>
      <w:rPr>
        <w:rFonts w:cs="Times New Roman" w:hint="default"/>
      </w:rPr>
    </w:lvl>
    <w:lvl w:ilvl="1" w:tplc="08090019">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9">
    <w:nsid w:val="3D65799B"/>
    <w:multiLevelType w:val="hybridMultilevel"/>
    <w:tmpl w:val="F83A7BCC"/>
    <w:lvl w:ilvl="0" w:tplc="4BE0589E">
      <w:start w:val="1"/>
      <w:numFmt w:val="lowerLetter"/>
      <w:lvlText w:val="(%1)"/>
      <w:lvlJc w:val="left"/>
      <w:pPr>
        <w:ind w:left="1710" w:hanging="720"/>
      </w:pPr>
      <w:rPr>
        <w:rFonts w:cs="Times New Roman" w:hint="default"/>
      </w:rPr>
    </w:lvl>
    <w:lvl w:ilvl="1" w:tplc="08090019" w:tentative="1">
      <w:start w:val="1"/>
      <w:numFmt w:val="lowerLetter"/>
      <w:lvlText w:val="%2."/>
      <w:lvlJc w:val="left"/>
      <w:pPr>
        <w:ind w:left="2070" w:hanging="360"/>
      </w:pPr>
      <w:rPr>
        <w:rFonts w:cs="Times New Roman"/>
      </w:rPr>
    </w:lvl>
    <w:lvl w:ilvl="2" w:tplc="0809001B" w:tentative="1">
      <w:start w:val="1"/>
      <w:numFmt w:val="lowerRoman"/>
      <w:lvlText w:val="%3."/>
      <w:lvlJc w:val="right"/>
      <w:pPr>
        <w:ind w:left="2790" w:hanging="180"/>
      </w:pPr>
      <w:rPr>
        <w:rFonts w:cs="Times New Roman"/>
      </w:rPr>
    </w:lvl>
    <w:lvl w:ilvl="3" w:tplc="0809000F" w:tentative="1">
      <w:start w:val="1"/>
      <w:numFmt w:val="decimal"/>
      <w:lvlText w:val="%4."/>
      <w:lvlJc w:val="left"/>
      <w:pPr>
        <w:ind w:left="3510" w:hanging="360"/>
      </w:pPr>
      <w:rPr>
        <w:rFonts w:cs="Times New Roman"/>
      </w:rPr>
    </w:lvl>
    <w:lvl w:ilvl="4" w:tplc="08090019" w:tentative="1">
      <w:start w:val="1"/>
      <w:numFmt w:val="lowerLetter"/>
      <w:lvlText w:val="%5."/>
      <w:lvlJc w:val="left"/>
      <w:pPr>
        <w:ind w:left="4230" w:hanging="360"/>
      </w:pPr>
      <w:rPr>
        <w:rFonts w:cs="Times New Roman"/>
      </w:rPr>
    </w:lvl>
    <w:lvl w:ilvl="5" w:tplc="0809001B" w:tentative="1">
      <w:start w:val="1"/>
      <w:numFmt w:val="lowerRoman"/>
      <w:lvlText w:val="%6."/>
      <w:lvlJc w:val="right"/>
      <w:pPr>
        <w:ind w:left="4950" w:hanging="180"/>
      </w:pPr>
      <w:rPr>
        <w:rFonts w:cs="Times New Roman"/>
      </w:rPr>
    </w:lvl>
    <w:lvl w:ilvl="6" w:tplc="0809000F" w:tentative="1">
      <w:start w:val="1"/>
      <w:numFmt w:val="decimal"/>
      <w:lvlText w:val="%7."/>
      <w:lvlJc w:val="left"/>
      <w:pPr>
        <w:ind w:left="5670" w:hanging="360"/>
      </w:pPr>
      <w:rPr>
        <w:rFonts w:cs="Times New Roman"/>
      </w:rPr>
    </w:lvl>
    <w:lvl w:ilvl="7" w:tplc="08090019" w:tentative="1">
      <w:start w:val="1"/>
      <w:numFmt w:val="lowerLetter"/>
      <w:lvlText w:val="%8."/>
      <w:lvlJc w:val="left"/>
      <w:pPr>
        <w:ind w:left="6390" w:hanging="360"/>
      </w:pPr>
      <w:rPr>
        <w:rFonts w:cs="Times New Roman"/>
      </w:rPr>
    </w:lvl>
    <w:lvl w:ilvl="8" w:tplc="0809001B" w:tentative="1">
      <w:start w:val="1"/>
      <w:numFmt w:val="lowerRoman"/>
      <w:lvlText w:val="%9."/>
      <w:lvlJc w:val="right"/>
      <w:pPr>
        <w:ind w:left="7110" w:hanging="180"/>
      </w:pPr>
      <w:rPr>
        <w:rFonts w:cs="Times New Roman"/>
      </w:rPr>
    </w:lvl>
  </w:abstractNum>
  <w:abstractNum w:abstractNumId="20">
    <w:nsid w:val="3E185378"/>
    <w:multiLevelType w:val="hybridMultilevel"/>
    <w:tmpl w:val="CEFADBAE"/>
    <w:lvl w:ilvl="0" w:tplc="9048A254">
      <w:start w:val="1"/>
      <w:numFmt w:val="bullet"/>
      <w:lvlText w:val=""/>
      <w:lvlJc w:val="left"/>
      <w:pPr>
        <w:ind w:left="2250" w:hanging="360"/>
      </w:pPr>
      <w:rPr>
        <w:rFonts w:ascii="Symbol" w:hAnsi="Symbol" w:hint="default"/>
      </w:rPr>
    </w:lvl>
    <w:lvl w:ilvl="1" w:tplc="08090003" w:tentative="1">
      <w:start w:val="1"/>
      <w:numFmt w:val="bullet"/>
      <w:lvlText w:val="o"/>
      <w:lvlJc w:val="left"/>
      <w:pPr>
        <w:ind w:left="2970" w:hanging="360"/>
      </w:pPr>
      <w:rPr>
        <w:rFonts w:ascii="Courier New" w:hAnsi="Courier New" w:hint="default"/>
      </w:rPr>
    </w:lvl>
    <w:lvl w:ilvl="2" w:tplc="08090005" w:tentative="1">
      <w:start w:val="1"/>
      <w:numFmt w:val="bullet"/>
      <w:lvlText w:val=""/>
      <w:lvlJc w:val="left"/>
      <w:pPr>
        <w:ind w:left="3690" w:hanging="360"/>
      </w:pPr>
      <w:rPr>
        <w:rFonts w:ascii="Wingdings" w:hAnsi="Wingdings" w:hint="default"/>
      </w:rPr>
    </w:lvl>
    <w:lvl w:ilvl="3" w:tplc="08090001" w:tentative="1">
      <w:start w:val="1"/>
      <w:numFmt w:val="bullet"/>
      <w:lvlText w:val=""/>
      <w:lvlJc w:val="left"/>
      <w:pPr>
        <w:ind w:left="4410" w:hanging="360"/>
      </w:pPr>
      <w:rPr>
        <w:rFonts w:ascii="Symbol" w:hAnsi="Symbol" w:hint="default"/>
      </w:rPr>
    </w:lvl>
    <w:lvl w:ilvl="4" w:tplc="08090003" w:tentative="1">
      <w:start w:val="1"/>
      <w:numFmt w:val="bullet"/>
      <w:lvlText w:val="o"/>
      <w:lvlJc w:val="left"/>
      <w:pPr>
        <w:ind w:left="5130" w:hanging="360"/>
      </w:pPr>
      <w:rPr>
        <w:rFonts w:ascii="Courier New" w:hAnsi="Courier New" w:hint="default"/>
      </w:rPr>
    </w:lvl>
    <w:lvl w:ilvl="5" w:tplc="08090005" w:tentative="1">
      <w:start w:val="1"/>
      <w:numFmt w:val="bullet"/>
      <w:lvlText w:val=""/>
      <w:lvlJc w:val="left"/>
      <w:pPr>
        <w:ind w:left="5850" w:hanging="360"/>
      </w:pPr>
      <w:rPr>
        <w:rFonts w:ascii="Wingdings" w:hAnsi="Wingdings" w:hint="default"/>
      </w:rPr>
    </w:lvl>
    <w:lvl w:ilvl="6" w:tplc="08090001" w:tentative="1">
      <w:start w:val="1"/>
      <w:numFmt w:val="bullet"/>
      <w:lvlText w:val=""/>
      <w:lvlJc w:val="left"/>
      <w:pPr>
        <w:ind w:left="6570" w:hanging="360"/>
      </w:pPr>
      <w:rPr>
        <w:rFonts w:ascii="Symbol" w:hAnsi="Symbol" w:hint="default"/>
      </w:rPr>
    </w:lvl>
    <w:lvl w:ilvl="7" w:tplc="08090003" w:tentative="1">
      <w:start w:val="1"/>
      <w:numFmt w:val="bullet"/>
      <w:lvlText w:val="o"/>
      <w:lvlJc w:val="left"/>
      <w:pPr>
        <w:ind w:left="7290" w:hanging="360"/>
      </w:pPr>
      <w:rPr>
        <w:rFonts w:ascii="Courier New" w:hAnsi="Courier New" w:hint="default"/>
      </w:rPr>
    </w:lvl>
    <w:lvl w:ilvl="8" w:tplc="08090005" w:tentative="1">
      <w:start w:val="1"/>
      <w:numFmt w:val="bullet"/>
      <w:lvlText w:val=""/>
      <w:lvlJc w:val="left"/>
      <w:pPr>
        <w:ind w:left="8010" w:hanging="360"/>
      </w:pPr>
      <w:rPr>
        <w:rFonts w:ascii="Wingdings" w:hAnsi="Wingdings" w:hint="default"/>
      </w:rPr>
    </w:lvl>
  </w:abstractNum>
  <w:abstractNum w:abstractNumId="21">
    <w:nsid w:val="43B95A4B"/>
    <w:multiLevelType w:val="hybridMultilevel"/>
    <w:tmpl w:val="961E6BBC"/>
    <w:lvl w:ilvl="0" w:tplc="04090003">
      <w:start w:val="1"/>
      <w:numFmt w:val="bullet"/>
      <w:lvlText w:val="o"/>
      <w:lvlJc w:val="left"/>
      <w:pPr>
        <w:ind w:left="2340" w:hanging="360"/>
      </w:pPr>
      <w:rPr>
        <w:rFonts w:ascii="Courier New" w:hAnsi="Courier New" w:hint="default"/>
      </w:rPr>
    </w:lvl>
    <w:lvl w:ilvl="1" w:tplc="08090003" w:tentative="1">
      <w:start w:val="1"/>
      <w:numFmt w:val="bullet"/>
      <w:lvlText w:val="o"/>
      <w:lvlJc w:val="left"/>
      <w:pPr>
        <w:ind w:left="3060" w:hanging="360"/>
      </w:pPr>
      <w:rPr>
        <w:rFonts w:ascii="Courier New" w:hAnsi="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22">
    <w:nsid w:val="45744161"/>
    <w:multiLevelType w:val="multilevel"/>
    <w:tmpl w:val="C54C89EE"/>
    <w:lvl w:ilvl="0">
      <w:start w:val="2"/>
      <w:numFmt w:val="decimal"/>
      <w:lvlText w:val="%1."/>
      <w:lvlJc w:val="left"/>
      <w:pPr>
        <w:ind w:left="720" w:hanging="360"/>
      </w:pPr>
      <w:rPr>
        <w:rFonts w:cs="Times New Roman" w:hint="default"/>
      </w:rPr>
    </w:lvl>
    <w:lvl w:ilvl="1">
      <w:start w:val="1"/>
      <w:numFmt w:val="decimal"/>
      <w:isLgl/>
      <w:lvlText w:val="%1.%2"/>
      <w:lvlJc w:val="left"/>
      <w:pPr>
        <w:ind w:left="1155" w:hanging="360"/>
      </w:pPr>
      <w:rPr>
        <w:rFonts w:cs="Times New Roman" w:hint="default"/>
        <w:color w:val="000000"/>
      </w:rPr>
    </w:lvl>
    <w:lvl w:ilvl="2">
      <w:start w:val="1"/>
      <w:numFmt w:val="decimal"/>
      <w:isLgl/>
      <w:lvlText w:val="%1.%2.%3"/>
      <w:lvlJc w:val="left"/>
      <w:pPr>
        <w:ind w:left="1950" w:hanging="720"/>
      </w:pPr>
      <w:rPr>
        <w:rFonts w:cs="Times New Roman" w:hint="default"/>
        <w:color w:val="000000"/>
      </w:rPr>
    </w:lvl>
    <w:lvl w:ilvl="3">
      <w:start w:val="1"/>
      <w:numFmt w:val="decimal"/>
      <w:isLgl/>
      <w:lvlText w:val="%1.%2.%3.%4"/>
      <w:lvlJc w:val="left"/>
      <w:pPr>
        <w:ind w:left="2385" w:hanging="720"/>
      </w:pPr>
      <w:rPr>
        <w:rFonts w:cs="Times New Roman" w:hint="default"/>
        <w:color w:val="000000"/>
      </w:rPr>
    </w:lvl>
    <w:lvl w:ilvl="4">
      <w:start w:val="1"/>
      <w:numFmt w:val="decimal"/>
      <w:isLgl/>
      <w:lvlText w:val="%1.%2.%3.%4.%5"/>
      <w:lvlJc w:val="left"/>
      <w:pPr>
        <w:ind w:left="3180" w:hanging="1080"/>
      </w:pPr>
      <w:rPr>
        <w:rFonts w:cs="Times New Roman" w:hint="default"/>
        <w:color w:val="000000"/>
      </w:rPr>
    </w:lvl>
    <w:lvl w:ilvl="5">
      <w:start w:val="1"/>
      <w:numFmt w:val="decimal"/>
      <w:isLgl/>
      <w:lvlText w:val="%1.%2.%3.%4.%5.%6"/>
      <w:lvlJc w:val="left"/>
      <w:pPr>
        <w:ind w:left="3615" w:hanging="1080"/>
      </w:pPr>
      <w:rPr>
        <w:rFonts w:cs="Times New Roman" w:hint="default"/>
        <w:color w:val="000000"/>
      </w:rPr>
    </w:lvl>
    <w:lvl w:ilvl="6">
      <w:start w:val="1"/>
      <w:numFmt w:val="decimal"/>
      <w:isLgl/>
      <w:lvlText w:val="%1.%2.%3.%4.%5.%6.%7"/>
      <w:lvlJc w:val="left"/>
      <w:pPr>
        <w:ind w:left="4410" w:hanging="1440"/>
      </w:pPr>
      <w:rPr>
        <w:rFonts w:cs="Times New Roman" w:hint="default"/>
        <w:color w:val="000000"/>
      </w:rPr>
    </w:lvl>
    <w:lvl w:ilvl="7">
      <w:start w:val="1"/>
      <w:numFmt w:val="decimal"/>
      <w:isLgl/>
      <w:lvlText w:val="%1.%2.%3.%4.%5.%6.%7.%8"/>
      <w:lvlJc w:val="left"/>
      <w:pPr>
        <w:ind w:left="4845" w:hanging="1440"/>
      </w:pPr>
      <w:rPr>
        <w:rFonts w:cs="Times New Roman" w:hint="default"/>
        <w:color w:val="000000"/>
      </w:rPr>
    </w:lvl>
    <w:lvl w:ilvl="8">
      <w:start w:val="1"/>
      <w:numFmt w:val="decimal"/>
      <w:isLgl/>
      <w:lvlText w:val="%1.%2.%3.%4.%5.%6.%7.%8.%9"/>
      <w:lvlJc w:val="left"/>
      <w:pPr>
        <w:ind w:left="5640" w:hanging="1800"/>
      </w:pPr>
      <w:rPr>
        <w:rFonts w:cs="Times New Roman" w:hint="default"/>
        <w:color w:val="000000"/>
      </w:rPr>
    </w:lvl>
  </w:abstractNum>
  <w:abstractNum w:abstractNumId="23">
    <w:nsid w:val="56F71A4A"/>
    <w:multiLevelType w:val="hybridMultilevel"/>
    <w:tmpl w:val="D6F8A5CA"/>
    <w:lvl w:ilvl="0" w:tplc="08090001">
      <w:start w:val="1"/>
      <w:numFmt w:val="bullet"/>
      <w:lvlText w:val=""/>
      <w:lvlJc w:val="left"/>
      <w:pPr>
        <w:ind w:left="2340" w:hanging="360"/>
      </w:pPr>
      <w:rPr>
        <w:rFonts w:ascii="Symbol" w:hAnsi="Symbol" w:hint="default"/>
      </w:rPr>
    </w:lvl>
    <w:lvl w:ilvl="1" w:tplc="08090003" w:tentative="1">
      <w:start w:val="1"/>
      <w:numFmt w:val="bullet"/>
      <w:lvlText w:val="o"/>
      <w:lvlJc w:val="left"/>
      <w:pPr>
        <w:ind w:left="3060" w:hanging="360"/>
      </w:pPr>
      <w:rPr>
        <w:rFonts w:ascii="Courier New" w:hAnsi="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24">
    <w:nsid w:val="58CB28B2"/>
    <w:multiLevelType w:val="multilevel"/>
    <w:tmpl w:val="AD260408"/>
    <w:lvl w:ilvl="0">
      <w:start w:val="1"/>
      <w:numFmt w:val="decimal"/>
      <w:lvlText w:val="%1."/>
      <w:lvlJc w:val="left"/>
      <w:pPr>
        <w:ind w:left="1710" w:hanging="630"/>
      </w:pPr>
      <w:rPr>
        <w:rFonts w:cs="Times New Roman" w:hint="default"/>
      </w:rPr>
    </w:lvl>
    <w:lvl w:ilvl="1">
      <w:start w:val="1"/>
      <w:numFmt w:val="decimal"/>
      <w:isLgl/>
      <w:lvlText w:val="%1.%2"/>
      <w:lvlJc w:val="left"/>
      <w:pPr>
        <w:ind w:left="2340" w:hanging="630"/>
      </w:pPr>
      <w:rPr>
        <w:rFonts w:cs="Times New Roman" w:hint="default"/>
        <w:color w:val="auto"/>
      </w:rPr>
    </w:lvl>
    <w:lvl w:ilvl="2">
      <w:start w:val="1"/>
      <w:numFmt w:val="decimal"/>
      <w:isLgl/>
      <w:lvlText w:val="%1.%2.%3"/>
      <w:lvlJc w:val="left"/>
      <w:pPr>
        <w:ind w:left="3060" w:hanging="720"/>
      </w:pPr>
      <w:rPr>
        <w:rFonts w:cs="Times New Roman" w:hint="default"/>
      </w:rPr>
    </w:lvl>
    <w:lvl w:ilvl="3">
      <w:start w:val="1"/>
      <w:numFmt w:val="decimal"/>
      <w:isLgl/>
      <w:lvlText w:val="%1.%2.%3.%4"/>
      <w:lvlJc w:val="left"/>
      <w:pPr>
        <w:ind w:left="3690" w:hanging="720"/>
      </w:pPr>
      <w:rPr>
        <w:rFonts w:cs="Times New Roman" w:hint="default"/>
      </w:rPr>
    </w:lvl>
    <w:lvl w:ilvl="4">
      <w:start w:val="1"/>
      <w:numFmt w:val="decimal"/>
      <w:isLgl/>
      <w:lvlText w:val="%1.%2.%3.%4.%5"/>
      <w:lvlJc w:val="left"/>
      <w:pPr>
        <w:ind w:left="4680" w:hanging="1080"/>
      </w:pPr>
      <w:rPr>
        <w:rFonts w:cs="Times New Roman" w:hint="default"/>
      </w:rPr>
    </w:lvl>
    <w:lvl w:ilvl="5">
      <w:start w:val="1"/>
      <w:numFmt w:val="decimal"/>
      <w:isLgl/>
      <w:lvlText w:val="%1.%2.%3.%4.%5.%6"/>
      <w:lvlJc w:val="left"/>
      <w:pPr>
        <w:ind w:left="5310" w:hanging="1080"/>
      </w:pPr>
      <w:rPr>
        <w:rFonts w:cs="Times New Roman" w:hint="default"/>
      </w:rPr>
    </w:lvl>
    <w:lvl w:ilvl="6">
      <w:start w:val="1"/>
      <w:numFmt w:val="decimal"/>
      <w:isLgl/>
      <w:lvlText w:val="%1.%2.%3.%4.%5.%6.%7"/>
      <w:lvlJc w:val="left"/>
      <w:pPr>
        <w:ind w:left="6300" w:hanging="1440"/>
      </w:pPr>
      <w:rPr>
        <w:rFonts w:cs="Times New Roman" w:hint="default"/>
      </w:rPr>
    </w:lvl>
    <w:lvl w:ilvl="7">
      <w:start w:val="1"/>
      <w:numFmt w:val="decimal"/>
      <w:isLgl/>
      <w:lvlText w:val="%1.%2.%3.%4.%5.%6.%7.%8"/>
      <w:lvlJc w:val="left"/>
      <w:pPr>
        <w:ind w:left="6930" w:hanging="1440"/>
      </w:pPr>
      <w:rPr>
        <w:rFonts w:cs="Times New Roman" w:hint="default"/>
      </w:rPr>
    </w:lvl>
    <w:lvl w:ilvl="8">
      <w:start w:val="1"/>
      <w:numFmt w:val="decimal"/>
      <w:isLgl/>
      <w:lvlText w:val="%1.%2.%3.%4.%5.%6.%7.%8.%9"/>
      <w:lvlJc w:val="left"/>
      <w:pPr>
        <w:ind w:left="7920" w:hanging="1800"/>
      </w:pPr>
      <w:rPr>
        <w:rFonts w:cs="Times New Roman" w:hint="default"/>
      </w:rPr>
    </w:lvl>
  </w:abstractNum>
  <w:abstractNum w:abstractNumId="25">
    <w:nsid w:val="59DB7380"/>
    <w:multiLevelType w:val="hybridMultilevel"/>
    <w:tmpl w:val="6688F346"/>
    <w:lvl w:ilvl="0" w:tplc="04090003">
      <w:start w:val="1"/>
      <w:numFmt w:val="bullet"/>
      <w:lvlText w:val="o"/>
      <w:lvlJc w:val="left"/>
      <w:pPr>
        <w:ind w:left="2160" w:hanging="360"/>
      </w:pPr>
      <w:rPr>
        <w:rFonts w:ascii="Courier New" w:hAnsi="Courier New" w:hint="default"/>
        <w:color w:val="auto"/>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nsid w:val="5C637AFC"/>
    <w:multiLevelType w:val="hybridMultilevel"/>
    <w:tmpl w:val="E16EED06"/>
    <w:lvl w:ilvl="0" w:tplc="ADFC4994">
      <w:start w:val="1"/>
      <w:numFmt w:val="decimal"/>
      <w:lvlText w:val="%1."/>
      <w:lvlJc w:val="right"/>
      <w:pPr>
        <w:tabs>
          <w:tab w:val="num" w:pos="1620"/>
        </w:tabs>
        <w:ind w:left="1620" w:hanging="180"/>
      </w:pPr>
      <w:rPr>
        <w:rFonts w:cs="Times New Roman" w:hint="default"/>
      </w:rPr>
    </w:lvl>
    <w:lvl w:ilvl="1" w:tplc="04090019" w:tentative="1">
      <w:start w:val="1"/>
      <w:numFmt w:val="lowerLetter"/>
      <w:lvlText w:val="%2."/>
      <w:lvlJc w:val="left"/>
      <w:pPr>
        <w:tabs>
          <w:tab w:val="num" w:pos="2340"/>
        </w:tabs>
        <w:ind w:left="2340" w:hanging="360"/>
      </w:pPr>
      <w:rPr>
        <w:rFonts w:cs="Times New Roman"/>
      </w:rPr>
    </w:lvl>
    <w:lvl w:ilvl="2" w:tplc="0409001B" w:tentative="1">
      <w:start w:val="1"/>
      <w:numFmt w:val="lowerRoman"/>
      <w:lvlText w:val="%3."/>
      <w:lvlJc w:val="right"/>
      <w:pPr>
        <w:tabs>
          <w:tab w:val="num" w:pos="3060"/>
        </w:tabs>
        <w:ind w:left="3060" w:hanging="180"/>
      </w:pPr>
      <w:rPr>
        <w:rFonts w:cs="Times New Roman"/>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27">
    <w:nsid w:val="5C697A63"/>
    <w:multiLevelType w:val="hybridMultilevel"/>
    <w:tmpl w:val="0FCED88A"/>
    <w:lvl w:ilvl="0" w:tplc="08090001">
      <w:start w:val="1"/>
      <w:numFmt w:val="bullet"/>
      <w:lvlText w:val=""/>
      <w:lvlJc w:val="left"/>
      <w:pPr>
        <w:ind w:left="2340" w:hanging="720"/>
      </w:pPr>
      <w:rPr>
        <w:rFonts w:ascii="Symbol" w:hAnsi="Symbol" w:hint="default"/>
      </w:rPr>
    </w:lvl>
    <w:lvl w:ilvl="1" w:tplc="08090003">
      <w:start w:val="1"/>
      <w:numFmt w:val="bullet"/>
      <w:lvlText w:val="o"/>
      <w:lvlJc w:val="left"/>
      <w:pPr>
        <w:ind w:left="1620" w:hanging="360"/>
      </w:pPr>
      <w:rPr>
        <w:rFonts w:ascii="Courier New" w:hAnsi="Courier New" w:hint="default"/>
      </w:rPr>
    </w:lvl>
    <w:lvl w:ilvl="2" w:tplc="08090001">
      <w:start w:val="1"/>
      <w:numFmt w:val="bullet"/>
      <w:lvlText w:val=""/>
      <w:lvlJc w:val="left"/>
      <w:pPr>
        <w:ind w:left="2340" w:hanging="360"/>
      </w:pPr>
      <w:rPr>
        <w:rFonts w:ascii="Symbol" w:hAnsi="Symbol"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8">
    <w:nsid w:val="5CF73D13"/>
    <w:multiLevelType w:val="hybridMultilevel"/>
    <w:tmpl w:val="A27CF746"/>
    <w:lvl w:ilvl="0" w:tplc="8A765284">
      <w:start w:val="1"/>
      <w:numFmt w:val="bullet"/>
      <w:lvlText w:val=""/>
      <w:lvlJc w:val="left"/>
      <w:pPr>
        <w:tabs>
          <w:tab w:val="num" w:pos="360"/>
        </w:tabs>
        <w:ind w:left="360" w:hanging="360"/>
      </w:pPr>
      <w:rPr>
        <w:rFonts w:ascii="Symbol" w:hAnsi="Symbol" w:hint="default"/>
        <w:color w:val="auto"/>
      </w:rPr>
    </w:lvl>
    <w:lvl w:ilvl="1" w:tplc="8F205DF6">
      <w:start w:val="1"/>
      <w:numFmt w:val="decimal"/>
      <w:lvlText w:val="%2."/>
      <w:lvlJc w:val="left"/>
      <w:pPr>
        <w:tabs>
          <w:tab w:val="num" w:pos="1080"/>
        </w:tabs>
        <w:ind w:left="1080" w:hanging="360"/>
      </w:pPr>
      <w:rPr>
        <w:rFonts w:cs="Times New Roman" w:hint="default"/>
        <w:color w:val="0070C0"/>
      </w:rPr>
    </w:lvl>
    <w:lvl w:ilvl="2" w:tplc="08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ECA3672"/>
    <w:multiLevelType w:val="hybridMultilevel"/>
    <w:tmpl w:val="3D2A0578"/>
    <w:lvl w:ilvl="0" w:tplc="33DCF37A">
      <w:start w:val="1"/>
      <w:numFmt w:val="lowerRoman"/>
      <w:lvlText w:val="(%1)"/>
      <w:lvlJc w:val="left"/>
      <w:pPr>
        <w:ind w:left="2340" w:hanging="720"/>
      </w:pPr>
      <w:rPr>
        <w:rFonts w:cs="Times New Roman" w:hint="default"/>
      </w:rPr>
    </w:lvl>
    <w:lvl w:ilvl="1" w:tplc="08090019" w:tentative="1">
      <w:start w:val="1"/>
      <w:numFmt w:val="lowerLetter"/>
      <w:lvlText w:val="%2."/>
      <w:lvlJc w:val="left"/>
      <w:pPr>
        <w:ind w:left="2700" w:hanging="360"/>
      </w:pPr>
      <w:rPr>
        <w:rFonts w:cs="Times New Roman"/>
      </w:rPr>
    </w:lvl>
    <w:lvl w:ilvl="2" w:tplc="0809001B" w:tentative="1">
      <w:start w:val="1"/>
      <w:numFmt w:val="lowerRoman"/>
      <w:lvlText w:val="%3."/>
      <w:lvlJc w:val="right"/>
      <w:pPr>
        <w:ind w:left="3420" w:hanging="180"/>
      </w:pPr>
      <w:rPr>
        <w:rFonts w:cs="Times New Roman"/>
      </w:rPr>
    </w:lvl>
    <w:lvl w:ilvl="3" w:tplc="0809000F" w:tentative="1">
      <w:start w:val="1"/>
      <w:numFmt w:val="decimal"/>
      <w:lvlText w:val="%4."/>
      <w:lvlJc w:val="left"/>
      <w:pPr>
        <w:ind w:left="4140" w:hanging="360"/>
      </w:pPr>
      <w:rPr>
        <w:rFonts w:cs="Times New Roman"/>
      </w:rPr>
    </w:lvl>
    <w:lvl w:ilvl="4" w:tplc="08090019" w:tentative="1">
      <w:start w:val="1"/>
      <w:numFmt w:val="lowerLetter"/>
      <w:lvlText w:val="%5."/>
      <w:lvlJc w:val="left"/>
      <w:pPr>
        <w:ind w:left="4860" w:hanging="360"/>
      </w:pPr>
      <w:rPr>
        <w:rFonts w:cs="Times New Roman"/>
      </w:rPr>
    </w:lvl>
    <w:lvl w:ilvl="5" w:tplc="0809001B" w:tentative="1">
      <w:start w:val="1"/>
      <w:numFmt w:val="lowerRoman"/>
      <w:lvlText w:val="%6."/>
      <w:lvlJc w:val="right"/>
      <w:pPr>
        <w:ind w:left="5580" w:hanging="180"/>
      </w:pPr>
      <w:rPr>
        <w:rFonts w:cs="Times New Roman"/>
      </w:rPr>
    </w:lvl>
    <w:lvl w:ilvl="6" w:tplc="0809000F" w:tentative="1">
      <w:start w:val="1"/>
      <w:numFmt w:val="decimal"/>
      <w:lvlText w:val="%7."/>
      <w:lvlJc w:val="left"/>
      <w:pPr>
        <w:ind w:left="6300" w:hanging="360"/>
      </w:pPr>
      <w:rPr>
        <w:rFonts w:cs="Times New Roman"/>
      </w:rPr>
    </w:lvl>
    <w:lvl w:ilvl="7" w:tplc="08090019" w:tentative="1">
      <w:start w:val="1"/>
      <w:numFmt w:val="lowerLetter"/>
      <w:lvlText w:val="%8."/>
      <w:lvlJc w:val="left"/>
      <w:pPr>
        <w:ind w:left="7020" w:hanging="360"/>
      </w:pPr>
      <w:rPr>
        <w:rFonts w:cs="Times New Roman"/>
      </w:rPr>
    </w:lvl>
    <w:lvl w:ilvl="8" w:tplc="0809001B" w:tentative="1">
      <w:start w:val="1"/>
      <w:numFmt w:val="lowerRoman"/>
      <w:lvlText w:val="%9."/>
      <w:lvlJc w:val="right"/>
      <w:pPr>
        <w:ind w:left="7740" w:hanging="180"/>
      </w:pPr>
      <w:rPr>
        <w:rFonts w:cs="Times New Roman"/>
      </w:rPr>
    </w:lvl>
  </w:abstractNum>
  <w:abstractNum w:abstractNumId="30">
    <w:nsid w:val="643F0F53"/>
    <w:multiLevelType w:val="hybridMultilevel"/>
    <w:tmpl w:val="4BA0AB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696F0D75"/>
    <w:multiLevelType w:val="hybridMultilevel"/>
    <w:tmpl w:val="DC2AD2C4"/>
    <w:lvl w:ilvl="0" w:tplc="08090001">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2">
    <w:nsid w:val="6BC93992"/>
    <w:multiLevelType w:val="hybridMultilevel"/>
    <w:tmpl w:val="B400E62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3">
    <w:nsid w:val="6D9B2E4F"/>
    <w:multiLevelType w:val="hybridMultilevel"/>
    <w:tmpl w:val="AFF4A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E645153"/>
    <w:multiLevelType w:val="hybridMultilevel"/>
    <w:tmpl w:val="4EF80E50"/>
    <w:lvl w:ilvl="0" w:tplc="4BE0589E">
      <w:start w:val="1"/>
      <w:numFmt w:val="lowerLetter"/>
      <w:lvlText w:val="(%1)"/>
      <w:lvlJc w:val="left"/>
      <w:pPr>
        <w:ind w:left="1800" w:hanging="360"/>
      </w:pPr>
      <w:rPr>
        <w:rFonts w:cs="Times New Roman"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nsid w:val="6FDB70E6"/>
    <w:multiLevelType w:val="hybridMultilevel"/>
    <w:tmpl w:val="E6BEA1A2"/>
    <w:lvl w:ilvl="0" w:tplc="8A76528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03202F7"/>
    <w:multiLevelType w:val="hybridMultilevel"/>
    <w:tmpl w:val="3D1015A8"/>
    <w:lvl w:ilvl="0" w:tplc="251E65FE">
      <w:start w:val="1"/>
      <w:numFmt w:val="lowerLetter"/>
      <w:lvlText w:val="(%1)"/>
      <w:lvlJc w:val="left"/>
      <w:pPr>
        <w:ind w:left="1620" w:hanging="360"/>
      </w:pPr>
      <w:rPr>
        <w:rFonts w:cs="Times New Roman" w:hint="default"/>
        <w:b w:val="0"/>
      </w:rPr>
    </w:lvl>
    <w:lvl w:ilvl="1" w:tplc="08090019">
      <w:start w:val="1"/>
      <w:numFmt w:val="lowerLetter"/>
      <w:lvlText w:val="%2."/>
      <w:lvlJc w:val="left"/>
      <w:pPr>
        <w:ind w:left="2340" w:hanging="360"/>
      </w:pPr>
      <w:rPr>
        <w:rFonts w:cs="Times New Roman"/>
      </w:rPr>
    </w:lvl>
    <w:lvl w:ilvl="2" w:tplc="0809001B" w:tentative="1">
      <w:start w:val="1"/>
      <w:numFmt w:val="lowerRoman"/>
      <w:lvlText w:val="%3."/>
      <w:lvlJc w:val="right"/>
      <w:pPr>
        <w:ind w:left="3060" w:hanging="180"/>
      </w:pPr>
      <w:rPr>
        <w:rFonts w:cs="Times New Roman"/>
      </w:rPr>
    </w:lvl>
    <w:lvl w:ilvl="3" w:tplc="0809000F" w:tentative="1">
      <w:start w:val="1"/>
      <w:numFmt w:val="decimal"/>
      <w:lvlText w:val="%4."/>
      <w:lvlJc w:val="left"/>
      <w:pPr>
        <w:ind w:left="3780" w:hanging="360"/>
      </w:pPr>
      <w:rPr>
        <w:rFonts w:cs="Times New Roman"/>
      </w:rPr>
    </w:lvl>
    <w:lvl w:ilvl="4" w:tplc="08090019" w:tentative="1">
      <w:start w:val="1"/>
      <w:numFmt w:val="lowerLetter"/>
      <w:lvlText w:val="%5."/>
      <w:lvlJc w:val="left"/>
      <w:pPr>
        <w:ind w:left="4500" w:hanging="360"/>
      </w:pPr>
      <w:rPr>
        <w:rFonts w:cs="Times New Roman"/>
      </w:rPr>
    </w:lvl>
    <w:lvl w:ilvl="5" w:tplc="0809001B" w:tentative="1">
      <w:start w:val="1"/>
      <w:numFmt w:val="lowerRoman"/>
      <w:lvlText w:val="%6."/>
      <w:lvlJc w:val="right"/>
      <w:pPr>
        <w:ind w:left="5220" w:hanging="180"/>
      </w:pPr>
      <w:rPr>
        <w:rFonts w:cs="Times New Roman"/>
      </w:rPr>
    </w:lvl>
    <w:lvl w:ilvl="6" w:tplc="0809000F" w:tentative="1">
      <w:start w:val="1"/>
      <w:numFmt w:val="decimal"/>
      <w:lvlText w:val="%7."/>
      <w:lvlJc w:val="left"/>
      <w:pPr>
        <w:ind w:left="5940" w:hanging="360"/>
      </w:pPr>
      <w:rPr>
        <w:rFonts w:cs="Times New Roman"/>
      </w:rPr>
    </w:lvl>
    <w:lvl w:ilvl="7" w:tplc="08090019" w:tentative="1">
      <w:start w:val="1"/>
      <w:numFmt w:val="lowerLetter"/>
      <w:lvlText w:val="%8."/>
      <w:lvlJc w:val="left"/>
      <w:pPr>
        <w:ind w:left="6660" w:hanging="360"/>
      </w:pPr>
      <w:rPr>
        <w:rFonts w:cs="Times New Roman"/>
      </w:rPr>
    </w:lvl>
    <w:lvl w:ilvl="8" w:tplc="0809001B" w:tentative="1">
      <w:start w:val="1"/>
      <w:numFmt w:val="lowerRoman"/>
      <w:lvlText w:val="%9."/>
      <w:lvlJc w:val="right"/>
      <w:pPr>
        <w:ind w:left="7380" w:hanging="180"/>
      </w:pPr>
      <w:rPr>
        <w:rFonts w:cs="Times New Roman"/>
      </w:rPr>
    </w:lvl>
  </w:abstractNum>
  <w:abstractNum w:abstractNumId="37">
    <w:nsid w:val="721C6EC7"/>
    <w:multiLevelType w:val="multilevel"/>
    <w:tmpl w:val="60FAB524"/>
    <w:lvl w:ilvl="0">
      <w:start w:val="1"/>
      <w:numFmt w:val="upperRoman"/>
      <w:lvlText w:val="%1."/>
      <w:lvlJc w:val="right"/>
      <w:pPr>
        <w:ind w:left="795" w:hanging="360"/>
      </w:pPr>
      <w:rPr>
        <w:rFonts w:cs="Times New Roman" w:hint="default"/>
      </w:rPr>
    </w:lvl>
    <w:lvl w:ilvl="1">
      <w:start w:val="1"/>
      <w:numFmt w:val="decimal"/>
      <w:isLgl/>
      <w:lvlText w:val="%1.%2"/>
      <w:lvlJc w:val="left"/>
      <w:pPr>
        <w:ind w:left="795" w:hanging="360"/>
      </w:pPr>
      <w:rPr>
        <w:rFonts w:cs="Times New Roman" w:hint="default"/>
      </w:rPr>
    </w:lvl>
    <w:lvl w:ilvl="2">
      <w:start w:val="1"/>
      <w:numFmt w:val="decimal"/>
      <w:isLgl/>
      <w:lvlText w:val="%1.%2.%3"/>
      <w:lvlJc w:val="left"/>
      <w:pPr>
        <w:ind w:left="1155" w:hanging="720"/>
      </w:pPr>
      <w:rPr>
        <w:rFonts w:cs="Times New Roman" w:hint="default"/>
      </w:rPr>
    </w:lvl>
    <w:lvl w:ilvl="3">
      <w:start w:val="1"/>
      <w:numFmt w:val="decimal"/>
      <w:isLgl/>
      <w:lvlText w:val="%1.%2.%3.%4"/>
      <w:lvlJc w:val="left"/>
      <w:pPr>
        <w:ind w:left="1155" w:hanging="720"/>
      </w:pPr>
      <w:rPr>
        <w:rFonts w:cs="Times New Roman" w:hint="default"/>
      </w:rPr>
    </w:lvl>
    <w:lvl w:ilvl="4">
      <w:start w:val="1"/>
      <w:numFmt w:val="decimal"/>
      <w:isLgl/>
      <w:lvlText w:val="%1.%2.%3.%4.%5"/>
      <w:lvlJc w:val="left"/>
      <w:pPr>
        <w:ind w:left="1515" w:hanging="1080"/>
      </w:pPr>
      <w:rPr>
        <w:rFonts w:cs="Times New Roman" w:hint="default"/>
      </w:rPr>
    </w:lvl>
    <w:lvl w:ilvl="5">
      <w:start w:val="1"/>
      <w:numFmt w:val="decimal"/>
      <w:isLgl/>
      <w:lvlText w:val="%1.%2.%3.%4.%5.%6"/>
      <w:lvlJc w:val="left"/>
      <w:pPr>
        <w:ind w:left="1515" w:hanging="1080"/>
      </w:pPr>
      <w:rPr>
        <w:rFonts w:cs="Times New Roman" w:hint="default"/>
      </w:rPr>
    </w:lvl>
    <w:lvl w:ilvl="6">
      <w:start w:val="1"/>
      <w:numFmt w:val="decimal"/>
      <w:isLgl/>
      <w:lvlText w:val="%1.%2.%3.%4.%5.%6.%7"/>
      <w:lvlJc w:val="left"/>
      <w:pPr>
        <w:ind w:left="1875" w:hanging="1440"/>
      </w:pPr>
      <w:rPr>
        <w:rFonts w:cs="Times New Roman" w:hint="default"/>
      </w:rPr>
    </w:lvl>
    <w:lvl w:ilvl="7">
      <w:start w:val="1"/>
      <w:numFmt w:val="decimal"/>
      <w:isLgl/>
      <w:lvlText w:val="%1.%2.%3.%4.%5.%6.%7.%8"/>
      <w:lvlJc w:val="left"/>
      <w:pPr>
        <w:ind w:left="1875" w:hanging="1440"/>
      </w:pPr>
      <w:rPr>
        <w:rFonts w:cs="Times New Roman" w:hint="default"/>
      </w:rPr>
    </w:lvl>
    <w:lvl w:ilvl="8">
      <w:start w:val="1"/>
      <w:numFmt w:val="decimal"/>
      <w:isLgl/>
      <w:lvlText w:val="%1.%2.%3.%4.%5.%6.%7.%8.%9"/>
      <w:lvlJc w:val="left"/>
      <w:pPr>
        <w:ind w:left="2235" w:hanging="1800"/>
      </w:pPr>
      <w:rPr>
        <w:rFonts w:cs="Times New Roman" w:hint="default"/>
      </w:rPr>
    </w:lvl>
  </w:abstractNum>
  <w:abstractNum w:abstractNumId="38">
    <w:nsid w:val="73EE336E"/>
    <w:multiLevelType w:val="hybridMultilevel"/>
    <w:tmpl w:val="AC90AC04"/>
    <w:lvl w:ilvl="0" w:tplc="5AE68062">
      <w:start w:val="1"/>
      <w:numFmt w:val="lowerLetter"/>
      <w:lvlText w:val="(%1)"/>
      <w:lvlJc w:val="left"/>
      <w:pPr>
        <w:ind w:left="180" w:hanging="360"/>
      </w:pPr>
      <w:rPr>
        <w:rFonts w:cs="Times New Roman" w:hint="default"/>
      </w:rPr>
    </w:lvl>
    <w:lvl w:ilvl="1" w:tplc="08090019" w:tentative="1">
      <w:start w:val="1"/>
      <w:numFmt w:val="lowerLetter"/>
      <w:lvlText w:val="%2."/>
      <w:lvlJc w:val="left"/>
      <w:pPr>
        <w:ind w:left="900" w:hanging="360"/>
      </w:pPr>
      <w:rPr>
        <w:rFonts w:cs="Times New Roman"/>
      </w:rPr>
    </w:lvl>
    <w:lvl w:ilvl="2" w:tplc="0809001B" w:tentative="1">
      <w:start w:val="1"/>
      <w:numFmt w:val="lowerRoman"/>
      <w:lvlText w:val="%3."/>
      <w:lvlJc w:val="right"/>
      <w:pPr>
        <w:ind w:left="1620" w:hanging="180"/>
      </w:pPr>
      <w:rPr>
        <w:rFonts w:cs="Times New Roman"/>
      </w:rPr>
    </w:lvl>
    <w:lvl w:ilvl="3" w:tplc="0809000F" w:tentative="1">
      <w:start w:val="1"/>
      <w:numFmt w:val="decimal"/>
      <w:lvlText w:val="%4."/>
      <w:lvlJc w:val="left"/>
      <w:pPr>
        <w:ind w:left="2340" w:hanging="360"/>
      </w:pPr>
      <w:rPr>
        <w:rFonts w:cs="Times New Roman"/>
      </w:rPr>
    </w:lvl>
    <w:lvl w:ilvl="4" w:tplc="08090019" w:tentative="1">
      <w:start w:val="1"/>
      <w:numFmt w:val="lowerLetter"/>
      <w:lvlText w:val="%5."/>
      <w:lvlJc w:val="left"/>
      <w:pPr>
        <w:ind w:left="3060" w:hanging="360"/>
      </w:pPr>
      <w:rPr>
        <w:rFonts w:cs="Times New Roman"/>
      </w:rPr>
    </w:lvl>
    <w:lvl w:ilvl="5" w:tplc="0809001B" w:tentative="1">
      <w:start w:val="1"/>
      <w:numFmt w:val="lowerRoman"/>
      <w:lvlText w:val="%6."/>
      <w:lvlJc w:val="right"/>
      <w:pPr>
        <w:ind w:left="3780" w:hanging="180"/>
      </w:pPr>
      <w:rPr>
        <w:rFonts w:cs="Times New Roman"/>
      </w:rPr>
    </w:lvl>
    <w:lvl w:ilvl="6" w:tplc="0809000F" w:tentative="1">
      <w:start w:val="1"/>
      <w:numFmt w:val="decimal"/>
      <w:lvlText w:val="%7."/>
      <w:lvlJc w:val="left"/>
      <w:pPr>
        <w:ind w:left="4500" w:hanging="360"/>
      </w:pPr>
      <w:rPr>
        <w:rFonts w:cs="Times New Roman"/>
      </w:rPr>
    </w:lvl>
    <w:lvl w:ilvl="7" w:tplc="08090019" w:tentative="1">
      <w:start w:val="1"/>
      <w:numFmt w:val="lowerLetter"/>
      <w:lvlText w:val="%8."/>
      <w:lvlJc w:val="left"/>
      <w:pPr>
        <w:ind w:left="5220" w:hanging="360"/>
      </w:pPr>
      <w:rPr>
        <w:rFonts w:cs="Times New Roman"/>
      </w:rPr>
    </w:lvl>
    <w:lvl w:ilvl="8" w:tplc="0809001B" w:tentative="1">
      <w:start w:val="1"/>
      <w:numFmt w:val="lowerRoman"/>
      <w:lvlText w:val="%9."/>
      <w:lvlJc w:val="right"/>
      <w:pPr>
        <w:ind w:left="5940" w:hanging="180"/>
      </w:pPr>
      <w:rPr>
        <w:rFonts w:cs="Times New Roman"/>
      </w:rPr>
    </w:lvl>
  </w:abstractNum>
  <w:abstractNum w:abstractNumId="39">
    <w:nsid w:val="74CA33B5"/>
    <w:multiLevelType w:val="hybridMultilevel"/>
    <w:tmpl w:val="AE464BFA"/>
    <w:lvl w:ilvl="0" w:tplc="9048A2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A0F6730"/>
    <w:multiLevelType w:val="multilevel"/>
    <w:tmpl w:val="20C46BE8"/>
    <w:lvl w:ilvl="0">
      <w:start w:val="2"/>
      <w:numFmt w:val="decimal"/>
      <w:lvlText w:val="%1"/>
      <w:lvlJc w:val="left"/>
      <w:pPr>
        <w:ind w:left="360" w:hanging="360"/>
      </w:pPr>
      <w:rPr>
        <w:rFonts w:cs="Times New Roman" w:hint="default"/>
      </w:rPr>
    </w:lvl>
    <w:lvl w:ilvl="1">
      <w:start w:val="2"/>
      <w:numFmt w:val="decimal"/>
      <w:lvlText w:val="%1.%2"/>
      <w:lvlJc w:val="left"/>
      <w:pPr>
        <w:ind w:left="1800" w:hanging="36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nsid w:val="7BD909CD"/>
    <w:multiLevelType w:val="hybridMultilevel"/>
    <w:tmpl w:val="7B5268CE"/>
    <w:lvl w:ilvl="0" w:tplc="08090001">
      <w:start w:val="1"/>
      <w:numFmt w:val="bullet"/>
      <w:lvlText w:val=""/>
      <w:lvlJc w:val="left"/>
      <w:pPr>
        <w:ind w:left="1260" w:hanging="360"/>
      </w:pPr>
      <w:rPr>
        <w:rFonts w:ascii="Symbol" w:hAnsi="Symbol" w:hint="default"/>
      </w:rPr>
    </w:lvl>
    <w:lvl w:ilvl="1" w:tplc="08090003">
      <w:start w:val="1"/>
      <w:numFmt w:val="bullet"/>
      <w:lvlText w:val="o"/>
      <w:lvlJc w:val="left"/>
      <w:pPr>
        <w:ind w:left="1980" w:hanging="360"/>
      </w:pPr>
      <w:rPr>
        <w:rFonts w:ascii="Courier New" w:hAnsi="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hint="default"/>
      </w:rPr>
    </w:lvl>
    <w:lvl w:ilvl="8" w:tplc="08090005" w:tentative="1">
      <w:start w:val="1"/>
      <w:numFmt w:val="bullet"/>
      <w:lvlText w:val=""/>
      <w:lvlJc w:val="left"/>
      <w:pPr>
        <w:ind w:left="7020" w:hanging="360"/>
      </w:pPr>
      <w:rPr>
        <w:rFonts w:ascii="Wingdings" w:hAnsi="Wingdings" w:hint="default"/>
      </w:rPr>
    </w:lvl>
  </w:abstractNum>
  <w:num w:numId="1">
    <w:abstractNumId w:val="26"/>
  </w:num>
  <w:num w:numId="2">
    <w:abstractNumId w:val="15"/>
  </w:num>
  <w:num w:numId="3">
    <w:abstractNumId w:val="35"/>
  </w:num>
  <w:num w:numId="4">
    <w:abstractNumId w:val="8"/>
  </w:num>
  <w:num w:numId="5">
    <w:abstractNumId w:val="5"/>
  </w:num>
  <w:num w:numId="6">
    <w:abstractNumId w:val="13"/>
  </w:num>
  <w:num w:numId="7">
    <w:abstractNumId w:val="2"/>
  </w:num>
  <w:num w:numId="8">
    <w:abstractNumId w:val="0"/>
  </w:num>
  <w:num w:numId="9">
    <w:abstractNumId w:val="6"/>
  </w:num>
  <w:num w:numId="10">
    <w:abstractNumId w:val="29"/>
  </w:num>
  <w:num w:numId="11">
    <w:abstractNumId w:val="17"/>
  </w:num>
  <w:num w:numId="12">
    <w:abstractNumId w:val="1"/>
  </w:num>
  <w:num w:numId="13">
    <w:abstractNumId w:val="30"/>
  </w:num>
  <w:num w:numId="14">
    <w:abstractNumId w:val="14"/>
  </w:num>
  <w:num w:numId="15">
    <w:abstractNumId w:val="33"/>
  </w:num>
  <w:num w:numId="16">
    <w:abstractNumId w:val="28"/>
  </w:num>
  <w:num w:numId="17">
    <w:abstractNumId w:val="41"/>
  </w:num>
  <w:num w:numId="18">
    <w:abstractNumId w:val="11"/>
  </w:num>
  <w:num w:numId="19">
    <w:abstractNumId w:val="4"/>
  </w:num>
  <w:num w:numId="20">
    <w:abstractNumId w:val="19"/>
  </w:num>
  <w:num w:numId="21">
    <w:abstractNumId w:val="12"/>
  </w:num>
  <w:num w:numId="22">
    <w:abstractNumId w:val="10"/>
  </w:num>
  <w:num w:numId="23">
    <w:abstractNumId w:val="18"/>
  </w:num>
  <w:num w:numId="24">
    <w:abstractNumId w:val="25"/>
  </w:num>
  <w:num w:numId="25">
    <w:abstractNumId w:val="31"/>
  </w:num>
  <w:num w:numId="26">
    <w:abstractNumId w:val="37"/>
  </w:num>
  <w:num w:numId="27">
    <w:abstractNumId w:val="34"/>
  </w:num>
  <w:num w:numId="28">
    <w:abstractNumId w:val="36"/>
  </w:num>
  <w:num w:numId="29">
    <w:abstractNumId w:val="27"/>
  </w:num>
  <w:num w:numId="30">
    <w:abstractNumId w:val="23"/>
  </w:num>
  <w:num w:numId="31">
    <w:abstractNumId w:val="9"/>
  </w:num>
  <w:num w:numId="32">
    <w:abstractNumId w:val="7"/>
  </w:num>
  <w:num w:numId="33">
    <w:abstractNumId w:val="38"/>
  </w:num>
  <w:num w:numId="34">
    <w:abstractNumId w:val="20"/>
  </w:num>
  <w:num w:numId="35">
    <w:abstractNumId w:val="22"/>
  </w:num>
  <w:num w:numId="36">
    <w:abstractNumId w:val="39"/>
  </w:num>
  <w:num w:numId="37">
    <w:abstractNumId w:val="40"/>
  </w:num>
  <w:num w:numId="38">
    <w:abstractNumId w:val="24"/>
  </w:num>
  <w:num w:numId="39">
    <w:abstractNumId w:val="16"/>
  </w:num>
  <w:num w:numId="40">
    <w:abstractNumId w:val="21"/>
  </w:num>
  <w:num w:numId="41">
    <w:abstractNumId w:val="32"/>
  </w:num>
  <w:num w:numId="42">
    <w:abstractNumId w:val="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0735"/>
    <w:rsid w:val="000000C2"/>
    <w:rsid w:val="000000FB"/>
    <w:rsid w:val="0000026F"/>
    <w:rsid w:val="000003FE"/>
    <w:rsid w:val="0000069A"/>
    <w:rsid w:val="000009E4"/>
    <w:rsid w:val="00000DDB"/>
    <w:rsid w:val="00000E7D"/>
    <w:rsid w:val="00000F32"/>
    <w:rsid w:val="00001137"/>
    <w:rsid w:val="0000117C"/>
    <w:rsid w:val="000011CD"/>
    <w:rsid w:val="00001408"/>
    <w:rsid w:val="0000144A"/>
    <w:rsid w:val="00001489"/>
    <w:rsid w:val="00001668"/>
    <w:rsid w:val="00001B5C"/>
    <w:rsid w:val="00001C81"/>
    <w:rsid w:val="0000217A"/>
    <w:rsid w:val="000021BF"/>
    <w:rsid w:val="00002258"/>
    <w:rsid w:val="000022AA"/>
    <w:rsid w:val="000023CB"/>
    <w:rsid w:val="000024CC"/>
    <w:rsid w:val="00002661"/>
    <w:rsid w:val="000026B0"/>
    <w:rsid w:val="00002840"/>
    <w:rsid w:val="00002B6D"/>
    <w:rsid w:val="00002B7D"/>
    <w:rsid w:val="00002C73"/>
    <w:rsid w:val="00002D81"/>
    <w:rsid w:val="00002D82"/>
    <w:rsid w:val="00002E70"/>
    <w:rsid w:val="00002E91"/>
    <w:rsid w:val="00002F97"/>
    <w:rsid w:val="0000323A"/>
    <w:rsid w:val="00003605"/>
    <w:rsid w:val="0000373B"/>
    <w:rsid w:val="00003853"/>
    <w:rsid w:val="000038F5"/>
    <w:rsid w:val="00003A4C"/>
    <w:rsid w:val="00003D2D"/>
    <w:rsid w:val="00003F0E"/>
    <w:rsid w:val="00004071"/>
    <w:rsid w:val="0000412C"/>
    <w:rsid w:val="000041C1"/>
    <w:rsid w:val="00004ACA"/>
    <w:rsid w:val="00004B48"/>
    <w:rsid w:val="00004C7B"/>
    <w:rsid w:val="00004D85"/>
    <w:rsid w:val="00004EFC"/>
    <w:rsid w:val="000052FB"/>
    <w:rsid w:val="000053EB"/>
    <w:rsid w:val="000054F8"/>
    <w:rsid w:val="0000555D"/>
    <w:rsid w:val="000055FA"/>
    <w:rsid w:val="0000569E"/>
    <w:rsid w:val="00005702"/>
    <w:rsid w:val="000057BE"/>
    <w:rsid w:val="000057C5"/>
    <w:rsid w:val="000057FB"/>
    <w:rsid w:val="000058A8"/>
    <w:rsid w:val="000058DF"/>
    <w:rsid w:val="00005ED4"/>
    <w:rsid w:val="00005F8B"/>
    <w:rsid w:val="0000607F"/>
    <w:rsid w:val="00006477"/>
    <w:rsid w:val="000064EA"/>
    <w:rsid w:val="00006584"/>
    <w:rsid w:val="000065A7"/>
    <w:rsid w:val="000065AE"/>
    <w:rsid w:val="00006B06"/>
    <w:rsid w:val="00006D02"/>
    <w:rsid w:val="00006E6A"/>
    <w:rsid w:val="00007190"/>
    <w:rsid w:val="00007460"/>
    <w:rsid w:val="000079B8"/>
    <w:rsid w:val="00007A4C"/>
    <w:rsid w:val="00007A75"/>
    <w:rsid w:val="00007C76"/>
    <w:rsid w:val="00010190"/>
    <w:rsid w:val="000101D9"/>
    <w:rsid w:val="00010337"/>
    <w:rsid w:val="000106CE"/>
    <w:rsid w:val="00010CFA"/>
    <w:rsid w:val="00010D55"/>
    <w:rsid w:val="00010D5A"/>
    <w:rsid w:val="00010E12"/>
    <w:rsid w:val="00010F75"/>
    <w:rsid w:val="0001116F"/>
    <w:rsid w:val="00011561"/>
    <w:rsid w:val="0001176D"/>
    <w:rsid w:val="00011799"/>
    <w:rsid w:val="00011968"/>
    <w:rsid w:val="00011B05"/>
    <w:rsid w:val="00011D9B"/>
    <w:rsid w:val="00011DC2"/>
    <w:rsid w:val="00011E9F"/>
    <w:rsid w:val="0001214A"/>
    <w:rsid w:val="000121C6"/>
    <w:rsid w:val="00012497"/>
    <w:rsid w:val="000124FA"/>
    <w:rsid w:val="000125D6"/>
    <w:rsid w:val="00012616"/>
    <w:rsid w:val="000126A6"/>
    <w:rsid w:val="000128A1"/>
    <w:rsid w:val="00012A51"/>
    <w:rsid w:val="00012AB1"/>
    <w:rsid w:val="00012BD7"/>
    <w:rsid w:val="00012C72"/>
    <w:rsid w:val="00012DD1"/>
    <w:rsid w:val="00012F3A"/>
    <w:rsid w:val="00012F44"/>
    <w:rsid w:val="00012FA0"/>
    <w:rsid w:val="00013430"/>
    <w:rsid w:val="000136C2"/>
    <w:rsid w:val="000137C1"/>
    <w:rsid w:val="000138C5"/>
    <w:rsid w:val="00013A9C"/>
    <w:rsid w:val="00013AAB"/>
    <w:rsid w:val="00013F5A"/>
    <w:rsid w:val="0001417C"/>
    <w:rsid w:val="0001421C"/>
    <w:rsid w:val="0001443F"/>
    <w:rsid w:val="00014519"/>
    <w:rsid w:val="00014634"/>
    <w:rsid w:val="00014648"/>
    <w:rsid w:val="00014731"/>
    <w:rsid w:val="00014865"/>
    <w:rsid w:val="000149B0"/>
    <w:rsid w:val="00014E05"/>
    <w:rsid w:val="00014EB2"/>
    <w:rsid w:val="0001502B"/>
    <w:rsid w:val="0001506B"/>
    <w:rsid w:val="000150FE"/>
    <w:rsid w:val="000152AB"/>
    <w:rsid w:val="00015344"/>
    <w:rsid w:val="000157BF"/>
    <w:rsid w:val="000157EC"/>
    <w:rsid w:val="00015851"/>
    <w:rsid w:val="00015928"/>
    <w:rsid w:val="00015BA5"/>
    <w:rsid w:val="00015FCD"/>
    <w:rsid w:val="00015FF8"/>
    <w:rsid w:val="000160A2"/>
    <w:rsid w:val="000161D0"/>
    <w:rsid w:val="000162C1"/>
    <w:rsid w:val="000163DC"/>
    <w:rsid w:val="000165AB"/>
    <w:rsid w:val="00016649"/>
    <w:rsid w:val="00016659"/>
    <w:rsid w:val="000167EB"/>
    <w:rsid w:val="00016828"/>
    <w:rsid w:val="000168C1"/>
    <w:rsid w:val="00016BA5"/>
    <w:rsid w:val="00016C32"/>
    <w:rsid w:val="00016CDD"/>
    <w:rsid w:val="00016E21"/>
    <w:rsid w:val="00016F00"/>
    <w:rsid w:val="00017002"/>
    <w:rsid w:val="000170AC"/>
    <w:rsid w:val="00017415"/>
    <w:rsid w:val="0001747E"/>
    <w:rsid w:val="000174C9"/>
    <w:rsid w:val="000175A4"/>
    <w:rsid w:val="00017733"/>
    <w:rsid w:val="00017841"/>
    <w:rsid w:val="000179B3"/>
    <w:rsid w:val="00017A78"/>
    <w:rsid w:val="00017CFA"/>
    <w:rsid w:val="00017DE7"/>
    <w:rsid w:val="00017E05"/>
    <w:rsid w:val="00017E7D"/>
    <w:rsid w:val="00017EB5"/>
    <w:rsid w:val="00017F4D"/>
    <w:rsid w:val="00017FE2"/>
    <w:rsid w:val="0002034D"/>
    <w:rsid w:val="00020376"/>
    <w:rsid w:val="000205AE"/>
    <w:rsid w:val="000207BE"/>
    <w:rsid w:val="000209F0"/>
    <w:rsid w:val="00020A65"/>
    <w:rsid w:val="00020B54"/>
    <w:rsid w:val="00020C1B"/>
    <w:rsid w:val="00020DC4"/>
    <w:rsid w:val="00020E80"/>
    <w:rsid w:val="00020ECD"/>
    <w:rsid w:val="00020EE2"/>
    <w:rsid w:val="00020EEE"/>
    <w:rsid w:val="000215BC"/>
    <w:rsid w:val="000218CF"/>
    <w:rsid w:val="00021A41"/>
    <w:rsid w:val="00021A61"/>
    <w:rsid w:val="00021B37"/>
    <w:rsid w:val="00021C51"/>
    <w:rsid w:val="00021C5E"/>
    <w:rsid w:val="00021D60"/>
    <w:rsid w:val="00021F8A"/>
    <w:rsid w:val="00021FF5"/>
    <w:rsid w:val="0002247C"/>
    <w:rsid w:val="00022576"/>
    <w:rsid w:val="0002259A"/>
    <w:rsid w:val="0002272A"/>
    <w:rsid w:val="000227EE"/>
    <w:rsid w:val="000229C6"/>
    <w:rsid w:val="00022A15"/>
    <w:rsid w:val="00022C74"/>
    <w:rsid w:val="00022E89"/>
    <w:rsid w:val="0002304A"/>
    <w:rsid w:val="00023222"/>
    <w:rsid w:val="00023681"/>
    <w:rsid w:val="000238B6"/>
    <w:rsid w:val="00023AAC"/>
    <w:rsid w:val="00023BC1"/>
    <w:rsid w:val="00023C80"/>
    <w:rsid w:val="000240DA"/>
    <w:rsid w:val="00024176"/>
    <w:rsid w:val="0002422E"/>
    <w:rsid w:val="000242B0"/>
    <w:rsid w:val="00024370"/>
    <w:rsid w:val="00024417"/>
    <w:rsid w:val="0002450E"/>
    <w:rsid w:val="000245C9"/>
    <w:rsid w:val="0002468E"/>
    <w:rsid w:val="00024736"/>
    <w:rsid w:val="000248F2"/>
    <w:rsid w:val="00024ACC"/>
    <w:rsid w:val="00024B84"/>
    <w:rsid w:val="00024CA1"/>
    <w:rsid w:val="00024E45"/>
    <w:rsid w:val="00024EBF"/>
    <w:rsid w:val="00024F0F"/>
    <w:rsid w:val="00024FBB"/>
    <w:rsid w:val="00024FF2"/>
    <w:rsid w:val="0002501C"/>
    <w:rsid w:val="000252B4"/>
    <w:rsid w:val="000252C6"/>
    <w:rsid w:val="0002530C"/>
    <w:rsid w:val="00025543"/>
    <w:rsid w:val="00025C1F"/>
    <w:rsid w:val="00025D6D"/>
    <w:rsid w:val="00026383"/>
    <w:rsid w:val="000265D4"/>
    <w:rsid w:val="00026989"/>
    <w:rsid w:val="00026A52"/>
    <w:rsid w:val="00026B6D"/>
    <w:rsid w:val="00026D52"/>
    <w:rsid w:val="00026D76"/>
    <w:rsid w:val="00026DD2"/>
    <w:rsid w:val="00026F6F"/>
    <w:rsid w:val="00027028"/>
    <w:rsid w:val="0002714C"/>
    <w:rsid w:val="000271E4"/>
    <w:rsid w:val="000272B1"/>
    <w:rsid w:val="0002748F"/>
    <w:rsid w:val="00027576"/>
    <w:rsid w:val="00027583"/>
    <w:rsid w:val="000275E4"/>
    <w:rsid w:val="000276F7"/>
    <w:rsid w:val="00027B1A"/>
    <w:rsid w:val="00027DC8"/>
    <w:rsid w:val="00027EC3"/>
    <w:rsid w:val="00027ED8"/>
    <w:rsid w:val="00030069"/>
    <w:rsid w:val="000301AA"/>
    <w:rsid w:val="00030429"/>
    <w:rsid w:val="00030614"/>
    <w:rsid w:val="0003066A"/>
    <w:rsid w:val="0003071F"/>
    <w:rsid w:val="0003076D"/>
    <w:rsid w:val="0003084B"/>
    <w:rsid w:val="000308A0"/>
    <w:rsid w:val="00030907"/>
    <w:rsid w:val="00030C2B"/>
    <w:rsid w:val="00030CF8"/>
    <w:rsid w:val="00030D77"/>
    <w:rsid w:val="00030DC0"/>
    <w:rsid w:val="00030DFC"/>
    <w:rsid w:val="00030F24"/>
    <w:rsid w:val="00030F65"/>
    <w:rsid w:val="000311BA"/>
    <w:rsid w:val="00031261"/>
    <w:rsid w:val="00031320"/>
    <w:rsid w:val="00031375"/>
    <w:rsid w:val="0003140A"/>
    <w:rsid w:val="0003152D"/>
    <w:rsid w:val="00031579"/>
    <w:rsid w:val="0003168C"/>
    <w:rsid w:val="000317BF"/>
    <w:rsid w:val="00031800"/>
    <w:rsid w:val="0003199A"/>
    <w:rsid w:val="000319F2"/>
    <w:rsid w:val="00031AD8"/>
    <w:rsid w:val="00031CA9"/>
    <w:rsid w:val="00031CD5"/>
    <w:rsid w:val="00031D6A"/>
    <w:rsid w:val="00031E80"/>
    <w:rsid w:val="00031FC3"/>
    <w:rsid w:val="000325E4"/>
    <w:rsid w:val="00032A56"/>
    <w:rsid w:val="00032D40"/>
    <w:rsid w:val="00033102"/>
    <w:rsid w:val="00033291"/>
    <w:rsid w:val="000332DE"/>
    <w:rsid w:val="000334DC"/>
    <w:rsid w:val="0003381E"/>
    <w:rsid w:val="00033987"/>
    <w:rsid w:val="0003398E"/>
    <w:rsid w:val="000339B0"/>
    <w:rsid w:val="00033FFB"/>
    <w:rsid w:val="00034083"/>
    <w:rsid w:val="00034466"/>
    <w:rsid w:val="0003464E"/>
    <w:rsid w:val="000347BC"/>
    <w:rsid w:val="00034E38"/>
    <w:rsid w:val="00034EFE"/>
    <w:rsid w:val="00035235"/>
    <w:rsid w:val="0003523D"/>
    <w:rsid w:val="00035713"/>
    <w:rsid w:val="000359DC"/>
    <w:rsid w:val="00035BA8"/>
    <w:rsid w:val="00035E78"/>
    <w:rsid w:val="00035E95"/>
    <w:rsid w:val="00035FA2"/>
    <w:rsid w:val="00035FFB"/>
    <w:rsid w:val="00036304"/>
    <w:rsid w:val="00036414"/>
    <w:rsid w:val="0003661A"/>
    <w:rsid w:val="0003662D"/>
    <w:rsid w:val="0003674A"/>
    <w:rsid w:val="0003675F"/>
    <w:rsid w:val="000368CC"/>
    <w:rsid w:val="00036B39"/>
    <w:rsid w:val="0003704E"/>
    <w:rsid w:val="000370F5"/>
    <w:rsid w:val="00037141"/>
    <w:rsid w:val="00037221"/>
    <w:rsid w:val="00037B43"/>
    <w:rsid w:val="00037C56"/>
    <w:rsid w:val="00037D9D"/>
    <w:rsid w:val="0004014A"/>
    <w:rsid w:val="00040366"/>
    <w:rsid w:val="00040417"/>
    <w:rsid w:val="0004049C"/>
    <w:rsid w:val="0004055F"/>
    <w:rsid w:val="00040974"/>
    <w:rsid w:val="00040E44"/>
    <w:rsid w:val="00040E66"/>
    <w:rsid w:val="00040FC7"/>
    <w:rsid w:val="0004118B"/>
    <w:rsid w:val="00041314"/>
    <w:rsid w:val="00041686"/>
    <w:rsid w:val="00041998"/>
    <w:rsid w:val="00041A0C"/>
    <w:rsid w:val="00041A10"/>
    <w:rsid w:val="00041D46"/>
    <w:rsid w:val="00041E44"/>
    <w:rsid w:val="00041EAC"/>
    <w:rsid w:val="00041EC7"/>
    <w:rsid w:val="00042084"/>
    <w:rsid w:val="00042115"/>
    <w:rsid w:val="000424A1"/>
    <w:rsid w:val="00042556"/>
    <w:rsid w:val="000427E2"/>
    <w:rsid w:val="0004289F"/>
    <w:rsid w:val="00042913"/>
    <w:rsid w:val="00042A03"/>
    <w:rsid w:val="00042C32"/>
    <w:rsid w:val="00042C7D"/>
    <w:rsid w:val="00042CA5"/>
    <w:rsid w:val="00042CB8"/>
    <w:rsid w:val="00042F6C"/>
    <w:rsid w:val="000431A1"/>
    <w:rsid w:val="000433AB"/>
    <w:rsid w:val="000434B7"/>
    <w:rsid w:val="000434CB"/>
    <w:rsid w:val="000435A2"/>
    <w:rsid w:val="00043870"/>
    <w:rsid w:val="000438E9"/>
    <w:rsid w:val="00043935"/>
    <w:rsid w:val="00043F66"/>
    <w:rsid w:val="00043FF5"/>
    <w:rsid w:val="00044008"/>
    <w:rsid w:val="000440D1"/>
    <w:rsid w:val="000441F7"/>
    <w:rsid w:val="000442F4"/>
    <w:rsid w:val="0004439E"/>
    <w:rsid w:val="000443D4"/>
    <w:rsid w:val="00044662"/>
    <w:rsid w:val="000446F7"/>
    <w:rsid w:val="00044750"/>
    <w:rsid w:val="000447F1"/>
    <w:rsid w:val="00044B38"/>
    <w:rsid w:val="00044BD5"/>
    <w:rsid w:val="00044D57"/>
    <w:rsid w:val="00044E34"/>
    <w:rsid w:val="00044F93"/>
    <w:rsid w:val="000450CF"/>
    <w:rsid w:val="000455C3"/>
    <w:rsid w:val="00045614"/>
    <w:rsid w:val="0004566B"/>
    <w:rsid w:val="000457DE"/>
    <w:rsid w:val="0004581E"/>
    <w:rsid w:val="00045878"/>
    <w:rsid w:val="0004599B"/>
    <w:rsid w:val="00045C96"/>
    <w:rsid w:val="0004617E"/>
    <w:rsid w:val="0004621D"/>
    <w:rsid w:val="000462C1"/>
    <w:rsid w:val="0004633C"/>
    <w:rsid w:val="000464C1"/>
    <w:rsid w:val="000464D9"/>
    <w:rsid w:val="00046514"/>
    <w:rsid w:val="000466C5"/>
    <w:rsid w:val="000466E7"/>
    <w:rsid w:val="00046A42"/>
    <w:rsid w:val="00046AE7"/>
    <w:rsid w:val="00046B22"/>
    <w:rsid w:val="00046B9B"/>
    <w:rsid w:val="00046FF3"/>
    <w:rsid w:val="00047160"/>
    <w:rsid w:val="00047161"/>
    <w:rsid w:val="0004749C"/>
    <w:rsid w:val="000474A7"/>
    <w:rsid w:val="00047707"/>
    <w:rsid w:val="0004771D"/>
    <w:rsid w:val="00047983"/>
    <w:rsid w:val="00047AC1"/>
    <w:rsid w:val="00047AFB"/>
    <w:rsid w:val="00047AFC"/>
    <w:rsid w:val="00047C34"/>
    <w:rsid w:val="000502CC"/>
    <w:rsid w:val="0005083B"/>
    <w:rsid w:val="00050A07"/>
    <w:rsid w:val="00050AE7"/>
    <w:rsid w:val="00050E84"/>
    <w:rsid w:val="00050FC0"/>
    <w:rsid w:val="00051099"/>
    <w:rsid w:val="00051140"/>
    <w:rsid w:val="00051195"/>
    <w:rsid w:val="00051241"/>
    <w:rsid w:val="0005136A"/>
    <w:rsid w:val="00051587"/>
    <w:rsid w:val="000518D5"/>
    <w:rsid w:val="00051DF8"/>
    <w:rsid w:val="00051FBB"/>
    <w:rsid w:val="00051FD2"/>
    <w:rsid w:val="00052071"/>
    <w:rsid w:val="0005214E"/>
    <w:rsid w:val="000525BC"/>
    <w:rsid w:val="0005260C"/>
    <w:rsid w:val="000526E2"/>
    <w:rsid w:val="000527B7"/>
    <w:rsid w:val="000527C3"/>
    <w:rsid w:val="00052806"/>
    <w:rsid w:val="00052A7B"/>
    <w:rsid w:val="00052AF8"/>
    <w:rsid w:val="00052C8E"/>
    <w:rsid w:val="00052DB7"/>
    <w:rsid w:val="00052FD1"/>
    <w:rsid w:val="00052FE7"/>
    <w:rsid w:val="000532B8"/>
    <w:rsid w:val="000535C3"/>
    <w:rsid w:val="00053822"/>
    <w:rsid w:val="00053968"/>
    <w:rsid w:val="00053AFF"/>
    <w:rsid w:val="00053BF3"/>
    <w:rsid w:val="00053E50"/>
    <w:rsid w:val="00053FE8"/>
    <w:rsid w:val="00054177"/>
    <w:rsid w:val="00054392"/>
    <w:rsid w:val="000545B1"/>
    <w:rsid w:val="00054742"/>
    <w:rsid w:val="0005481F"/>
    <w:rsid w:val="00054833"/>
    <w:rsid w:val="000549E0"/>
    <w:rsid w:val="00054E2E"/>
    <w:rsid w:val="00054F7C"/>
    <w:rsid w:val="00054FC2"/>
    <w:rsid w:val="000550EA"/>
    <w:rsid w:val="0005517C"/>
    <w:rsid w:val="000551C9"/>
    <w:rsid w:val="0005525F"/>
    <w:rsid w:val="000552C8"/>
    <w:rsid w:val="000552F1"/>
    <w:rsid w:val="00055719"/>
    <w:rsid w:val="000558FF"/>
    <w:rsid w:val="0005598D"/>
    <w:rsid w:val="0005599D"/>
    <w:rsid w:val="00055A02"/>
    <w:rsid w:val="00055B98"/>
    <w:rsid w:val="00055BF9"/>
    <w:rsid w:val="00055F15"/>
    <w:rsid w:val="00056066"/>
    <w:rsid w:val="000561B6"/>
    <w:rsid w:val="000565EF"/>
    <w:rsid w:val="00056779"/>
    <w:rsid w:val="00056805"/>
    <w:rsid w:val="00056887"/>
    <w:rsid w:val="000569D3"/>
    <w:rsid w:val="00056A52"/>
    <w:rsid w:val="00056A7C"/>
    <w:rsid w:val="00056AFF"/>
    <w:rsid w:val="00056B7E"/>
    <w:rsid w:val="00056C40"/>
    <w:rsid w:val="00056E51"/>
    <w:rsid w:val="00056F1A"/>
    <w:rsid w:val="0005747C"/>
    <w:rsid w:val="000575BA"/>
    <w:rsid w:val="000577B2"/>
    <w:rsid w:val="00057952"/>
    <w:rsid w:val="00060000"/>
    <w:rsid w:val="00060429"/>
    <w:rsid w:val="000604CA"/>
    <w:rsid w:val="000604D4"/>
    <w:rsid w:val="00060704"/>
    <w:rsid w:val="00060B78"/>
    <w:rsid w:val="00060DA8"/>
    <w:rsid w:val="00060E17"/>
    <w:rsid w:val="00060EB4"/>
    <w:rsid w:val="00061220"/>
    <w:rsid w:val="0006134C"/>
    <w:rsid w:val="00061437"/>
    <w:rsid w:val="00061486"/>
    <w:rsid w:val="000614C4"/>
    <w:rsid w:val="00061682"/>
    <w:rsid w:val="0006171B"/>
    <w:rsid w:val="00061782"/>
    <w:rsid w:val="00061840"/>
    <w:rsid w:val="00061C7C"/>
    <w:rsid w:val="00061D0B"/>
    <w:rsid w:val="00061E9C"/>
    <w:rsid w:val="0006200A"/>
    <w:rsid w:val="0006240B"/>
    <w:rsid w:val="0006264F"/>
    <w:rsid w:val="00062A23"/>
    <w:rsid w:val="00062B15"/>
    <w:rsid w:val="00062BA5"/>
    <w:rsid w:val="00062D5C"/>
    <w:rsid w:val="000630F9"/>
    <w:rsid w:val="00063236"/>
    <w:rsid w:val="00063508"/>
    <w:rsid w:val="000635C2"/>
    <w:rsid w:val="00063694"/>
    <w:rsid w:val="000639A3"/>
    <w:rsid w:val="00063ADE"/>
    <w:rsid w:val="00063BE9"/>
    <w:rsid w:val="00063C9D"/>
    <w:rsid w:val="00063E6D"/>
    <w:rsid w:val="00063F16"/>
    <w:rsid w:val="00063FF7"/>
    <w:rsid w:val="0006433C"/>
    <w:rsid w:val="000643F5"/>
    <w:rsid w:val="0006450B"/>
    <w:rsid w:val="0006455B"/>
    <w:rsid w:val="00064570"/>
    <w:rsid w:val="000645DD"/>
    <w:rsid w:val="0006498D"/>
    <w:rsid w:val="00064A28"/>
    <w:rsid w:val="00064C9E"/>
    <w:rsid w:val="00064D44"/>
    <w:rsid w:val="00064E2D"/>
    <w:rsid w:val="00064E67"/>
    <w:rsid w:val="0006507E"/>
    <w:rsid w:val="000653F4"/>
    <w:rsid w:val="000654CA"/>
    <w:rsid w:val="00065570"/>
    <w:rsid w:val="00065614"/>
    <w:rsid w:val="000658C5"/>
    <w:rsid w:val="00065955"/>
    <w:rsid w:val="000659CB"/>
    <w:rsid w:val="00065BF8"/>
    <w:rsid w:val="000660AE"/>
    <w:rsid w:val="000660B5"/>
    <w:rsid w:val="000662B7"/>
    <w:rsid w:val="00066438"/>
    <w:rsid w:val="000666B5"/>
    <w:rsid w:val="0006672E"/>
    <w:rsid w:val="00066A37"/>
    <w:rsid w:val="00066BAE"/>
    <w:rsid w:val="00066E0A"/>
    <w:rsid w:val="00066F29"/>
    <w:rsid w:val="0006704C"/>
    <w:rsid w:val="000670B9"/>
    <w:rsid w:val="000670E0"/>
    <w:rsid w:val="000673F7"/>
    <w:rsid w:val="00067488"/>
    <w:rsid w:val="00067721"/>
    <w:rsid w:val="00067917"/>
    <w:rsid w:val="00067D01"/>
    <w:rsid w:val="00067EC5"/>
    <w:rsid w:val="00070342"/>
    <w:rsid w:val="0007047D"/>
    <w:rsid w:val="0007068A"/>
    <w:rsid w:val="00070A63"/>
    <w:rsid w:val="00070BA2"/>
    <w:rsid w:val="00070BCC"/>
    <w:rsid w:val="00070E98"/>
    <w:rsid w:val="00070F0A"/>
    <w:rsid w:val="000711A9"/>
    <w:rsid w:val="00071681"/>
    <w:rsid w:val="000719AC"/>
    <w:rsid w:val="00071A4B"/>
    <w:rsid w:val="00071BFE"/>
    <w:rsid w:val="00071C29"/>
    <w:rsid w:val="00071D42"/>
    <w:rsid w:val="00071E14"/>
    <w:rsid w:val="00072056"/>
    <w:rsid w:val="000720CA"/>
    <w:rsid w:val="00072436"/>
    <w:rsid w:val="000726EE"/>
    <w:rsid w:val="000729E3"/>
    <w:rsid w:val="00072A71"/>
    <w:rsid w:val="00072AE5"/>
    <w:rsid w:val="00072AEF"/>
    <w:rsid w:val="00072E6B"/>
    <w:rsid w:val="0007342C"/>
    <w:rsid w:val="00073649"/>
    <w:rsid w:val="0007368D"/>
    <w:rsid w:val="000736DE"/>
    <w:rsid w:val="0007373C"/>
    <w:rsid w:val="00073866"/>
    <w:rsid w:val="0007395B"/>
    <w:rsid w:val="00073A19"/>
    <w:rsid w:val="00073A63"/>
    <w:rsid w:val="00073C8C"/>
    <w:rsid w:val="00073CF0"/>
    <w:rsid w:val="00073EBF"/>
    <w:rsid w:val="00074038"/>
    <w:rsid w:val="00074074"/>
    <w:rsid w:val="00074236"/>
    <w:rsid w:val="0007430B"/>
    <w:rsid w:val="000743B6"/>
    <w:rsid w:val="000744B8"/>
    <w:rsid w:val="00074510"/>
    <w:rsid w:val="0007455A"/>
    <w:rsid w:val="00074582"/>
    <w:rsid w:val="000745EB"/>
    <w:rsid w:val="000748D6"/>
    <w:rsid w:val="00074AFC"/>
    <w:rsid w:val="00074B19"/>
    <w:rsid w:val="00074F11"/>
    <w:rsid w:val="00074FC0"/>
    <w:rsid w:val="00075353"/>
    <w:rsid w:val="00075399"/>
    <w:rsid w:val="00075503"/>
    <w:rsid w:val="000755B8"/>
    <w:rsid w:val="000756E7"/>
    <w:rsid w:val="000757E0"/>
    <w:rsid w:val="00075B10"/>
    <w:rsid w:val="00075C8E"/>
    <w:rsid w:val="00075E38"/>
    <w:rsid w:val="00075EA4"/>
    <w:rsid w:val="00075F37"/>
    <w:rsid w:val="0007635F"/>
    <w:rsid w:val="00076391"/>
    <w:rsid w:val="00076680"/>
    <w:rsid w:val="0007679D"/>
    <w:rsid w:val="00076976"/>
    <w:rsid w:val="00076ACE"/>
    <w:rsid w:val="00076B71"/>
    <w:rsid w:val="00076CD2"/>
    <w:rsid w:val="00076F06"/>
    <w:rsid w:val="00076F24"/>
    <w:rsid w:val="00076FDC"/>
    <w:rsid w:val="000771AF"/>
    <w:rsid w:val="00077239"/>
    <w:rsid w:val="000772C9"/>
    <w:rsid w:val="000772CF"/>
    <w:rsid w:val="00077384"/>
    <w:rsid w:val="000774DD"/>
    <w:rsid w:val="0007755F"/>
    <w:rsid w:val="000775DF"/>
    <w:rsid w:val="00077623"/>
    <w:rsid w:val="000778AC"/>
    <w:rsid w:val="000778C1"/>
    <w:rsid w:val="00077E66"/>
    <w:rsid w:val="00080062"/>
    <w:rsid w:val="000801C7"/>
    <w:rsid w:val="000802C6"/>
    <w:rsid w:val="000805A8"/>
    <w:rsid w:val="00080723"/>
    <w:rsid w:val="00080D65"/>
    <w:rsid w:val="00081123"/>
    <w:rsid w:val="0008122F"/>
    <w:rsid w:val="0008135C"/>
    <w:rsid w:val="000813EC"/>
    <w:rsid w:val="000814DE"/>
    <w:rsid w:val="00081523"/>
    <w:rsid w:val="00081ABB"/>
    <w:rsid w:val="00081B03"/>
    <w:rsid w:val="00081B33"/>
    <w:rsid w:val="00081B9D"/>
    <w:rsid w:val="00081D02"/>
    <w:rsid w:val="00081F7C"/>
    <w:rsid w:val="00081FA8"/>
    <w:rsid w:val="00082144"/>
    <w:rsid w:val="000824DD"/>
    <w:rsid w:val="00082536"/>
    <w:rsid w:val="0008286A"/>
    <w:rsid w:val="00082954"/>
    <w:rsid w:val="00082A63"/>
    <w:rsid w:val="00082AE8"/>
    <w:rsid w:val="00082B52"/>
    <w:rsid w:val="00082BF9"/>
    <w:rsid w:val="00082EAF"/>
    <w:rsid w:val="00082ED7"/>
    <w:rsid w:val="00082FEA"/>
    <w:rsid w:val="000830B2"/>
    <w:rsid w:val="000836DF"/>
    <w:rsid w:val="000837F0"/>
    <w:rsid w:val="00083975"/>
    <w:rsid w:val="00083BB9"/>
    <w:rsid w:val="00083E24"/>
    <w:rsid w:val="00083FD1"/>
    <w:rsid w:val="000846DA"/>
    <w:rsid w:val="00084BF3"/>
    <w:rsid w:val="00084D25"/>
    <w:rsid w:val="00084F6B"/>
    <w:rsid w:val="0008503F"/>
    <w:rsid w:val="00085177"/>
    <w:rsid w:val="000854E8"/>
    <w:rsid w:val="00085682"/>
    <w:rsid w:val="000857AC"/>
    <w:rsid w:val="00085C51"/>
    <w:rsid w:val="00085E41"/>
    <w:rsid w:val="00085E67"/>
    <w:rsid w:val="00085E81"/>
    <w:rsid w:val="00086091"/>
    <w:rsid w:val="000861B8"/>
    <w:rsid w:val="00086213"/>
    <w:rsid w:val="000862CE"/>
    <w:rsid w:val="000862F8"/>
    <w:rsid w:val="000866DF"/>
    <w:rsid w:val="000868F9"/>
    <w:rsid w:val="00086926"/>
    <w:rsid w:val="000869A3"/>
    <w:rsid w:val="00086BC9"/>
    <w:rsid w:val="00087006"/>
    <w:rsid w:val="0008704E"/>
    <w:rsid w:val="00087085"/>
    <w:rsid w:val="00087108"/>
    <w:rsid w:val="00087273"/>
    <w:rsid w:val="000876E6"/>
    <w:rsid w:val="0008778B"/>
    <w:rsid w:val="000877E9"/>
    <w:rsid w:val="00087869"/>
    <w:rsid w:val="00087984"/>
    <w:rsid w:val="00087ADF"/>
    <w:rsid w:val="00087C97"/>
    <w:rsid w:val="00087E12"/>
    <w:rsid w:val="00087FF6"/>
    <w:rsid w:val="000901A0"/>
    <w:rsid w:val="000901A2"/>
    <w:rsid w:val="000901D4"/>
    <w:rsid w:val="000905D8"/>
    <w:rsid w:val="0009080F"/>
    <w:rsid w:val="00090834"/>
    <w:rsid w:val="0009083C"/>
    <w:rsid w:val="0009092D"/>
    <w:rsid w:val="000909CD"/>
    <w:rsid w:val="00090B0D"/>
    <w:rsid w:val="00090D82"/>
    <w:rsid w:val="000910DF"/>
    <w:rsid w:val="000914EC"/>
    <w:rsid w:val="000915C2"/>
    <w:rsid w:val="000915E0"/>
    <w:rsid w:val="0009164C"/>
    <w:rsid w:val="000918ED"/>
    <w:rsid w:val="0009196F"/>
    <w:rsid w:val="0009197E"/>
    <w:rsid w:val="00091BA2"/>
    <w:rsid w:val="00091DD6"/>
    <w:rsid w:val="000920EC"/>
    <w:rsid w:val="000921B9"/>
    <w:rsid w:val="0009225D"/>
    <w:rsid w:val="000925F3"/>
    <w:rsid w:val="000928B2"/>
    <w:rsid w:val="0009295B"/>
    <w:rsid w:val="00092A52"/>
    <w:rsid w:val="00092BBC"/>
    <w:rsid w:val="00092CAA"/>
    <w:rsid w:val="00092D3C"/>
    <w:rsid w:val="00092EC3"/>
    <w:rsid w:val="00093026"/>
    <w:rsid w:val="000930E5"/>
    <w:rsid w:val="000930FC"/>
    <w:rsid w:val="00093184"/>
    <w:rsid w:val="000931E9"/>
    <w:rsid w:val="00093758"/>
    <w:rsid w:val="0009398B"/>
    <w:rsid w:val="000939B4"/>
    <w:rsid w:val="00093B68"/>
    <w:rsid w:val="00093BE7"/>
    <w:rsid w:val="00093E2F"/>
    <w:rsid w:val="00093F50"/>
    <w:rsid w:val="0009410A"/>
    <w:rsid w:val="000943DE"/>
    <w:rsid w:val="00094470"/>
    <w:rsid w:val="00094B4D"/>
    <w:rsid w:val="00094EF8"/>
    <w:rsid w:val="0009504D"/>
    <w:rsid w:val="000950ED"/>
    <w:rsid w:val="0009533C"/>
    <w:rsid w:val="000953CD"/>
    <w:rsid w:val="00095640"/>
    <w:rsid w:val="0009571F"/>
    <w:rsid w:val="000957A2"/>
    <w:rsid w:val="00095857"/>
    <w:rsid w:val="00095CD9"/>
    <w:rsid w:val="00095EC9"/>
    <w:rsid w:val="000961CB"/>
    <w:rsid w:val="000961CD"/>
    <w:rsid w:val="00096264"/>
    <w:rsid w:val="0009637E"/>
    <w:rsid w:val="0009660A"/>
    <w:rsid w:val="00096A6A"/>
    <w:rsid w:val="00096AD9"/>
    <w:rsid w:val="00096DEC"/>
    <w:rsid w:val="00096E34"/>
    <w:rsid w:val="00096E7C"/>
    <w:rsid w:val="00096E86"/>
    <w:rsid w:val="00096F23"/>
    <w:rsid w:val="00096F60"/>
    <w:rsid w:val="0009713C"/>
    <w:rsid w:val="000972EF"/>
    <w:rsid w:val="000973F6"/>
    <w:rsid w:val="000973FA"/>
    <w:rsid w:val="00097619"/>
    <w:rsid w:val="00097959"/>
    <w:rsid w:val="00097A18"/>
    <w:rsid w:val="00097C63"/>
    <w:rsid w:val="00097F1D"/>
    <w:rsid w:val="00097F73"/>
    <w:rsid w:val="000A01CC"/>
    <w:rsid w:val="000A028A"/>
    <w:rsid w:val="000A0385"/>
    <w:rsid w:val="000A03E6"/>
    <w:rsid w:val="000A04F2"/>
    <w:rsid w:val="000A0793"/>
    <w:rsid w:val="000A07C6"/>
    <w:rsid w:val="000A07EB"/>
    <w:rsid w:val="000A08F5"/>
    <w:rsid w:val="000A0A80"/>
    <w:rsid w:val="000A0CBB"/>
    <w:rsid w:val="000A102F"/>
    <w:rsid w:val="000A11E2"/>
    <w:rsid w:val="000A1429"/>
    <w:rsid w:val="000A1549"/>
    <w:rsid w:val="000A1644"/>
    <w:rsid w:val="000A19F3"/>
    <w:rsid w:val="000A217F"/>
    <w:rsid w:val="000A2311"/>
    <w:rsid w:val="000A2323"/>
    <w:rsid w:val="000A243E"/>
    <w:rsid w:val="000A2659"/>
    <w:rsid w:val="000A291C"/>
    <w:rsid w:val="000A2948"/>
    <w:rsid w:val="000A2A98"/>
    <w:rsid w:val="000A2BCC"/>
    <w:rsid w:val="000A2FFF"/>
    <w:rsid w:val="000A3112"/>
    <w:rsid w:val="000A32A2"/>
    <w:rsid w:val="000A3449"/>
    <w:rsid w:val="000A3935"/>
    <w:rsid w:val="000A3948"/>
    <w:rsid w:val="000A395F"/>
    <w:rsid w:val="000A3987"/>
    <w:rsid w:val="000A398C"/>
    <w:rsid w:val="000A3A77"/>
    <w:rsid w:val="000A3EDF"/>
    <w:rsid w:val="000A3F80"/>
    <w:rsid w:val="000A4125"/>
    <w:rsid w:val="000A43DB"/>
    <w:rsid w:val="000A4878"/>
    <w:rsid w:val="000A4A34"/>
    <w:rsid w:val="000A4B65"/>
    <w:rsid w:val="000A4D1A"/>
    <w:rsid w:val="000A51A5"/>
    <w:rsid w:val="000A5300"/>
    <w:rsid w:val="000A5398"/>
    <w:rsid w:val="000A53B2"/>
    <w:rsid w:val="000A55FC"/>
    <w:rsid w:val="000A567E"/>
    <w:rsid w:val="000A56AA"/>
    <w:rsid w:val="000A5746"/>
    <w:rsid w:val="000A57C4"/>
    <w:rsid w:val="000A584E"/>
    <w:rsid w:val="000A5962"/>
    <w:rsid w:val="000A5ABE"/>
    <w:rsid w:val="000A5CAB"/>
    <w:rsid w:val="000A5E37"/>
    <w:rsid w:val="000A6081"/>
    <w:rsid w:val="000A61EE"/>
    <w:rsid w:val="000A62B6"/>
    <w:rsid w:val="000A6AA5"/>
    <w:rsid w:val="000A6CFC"/>
    <w:rsid w:val="000A71BF"/>
    <w:rsid w:val="000A71DA"/>
    <w:rsid w:val="000A78F4"/>
    <w:rsid w:val="000A79BF"/>
    <w:rsid w:val="000A7BB8"/>
    <w:rsid w:val="000A7C90"/>
    <w:rsid w:val="000B0995"/>
    <w:rsid w:val="000B0B32"/>
    <w:rsid w:val="000B0B91"/>
    <w:rsid w:val="000B0C92"/>
    <w:rsid w:val="000B0E8B"/>
    <w:rsid w:val="000B0ED9"/>
    <w:rsid w:val="000B113A"/>
    <w:rsid w:val="000B1228"/>
    <w:rsid w:val="000B16F6"/>
    <w:rsid w:val="000B16FB"/>
    <w:rsid w:val="000B181E"/>
    <w:rsid w:val="000B1A58"/>
    <w:rsid w:val="000B1BF6"/>
    <w:rsid w:val="000B1C48"/>
    <w:rsid w:val="000B1D49"/>
    <w:rsid w:val="000B1D7E"/>
    <w:rsid w:val="000B1F85"/>
    <w:rsid w:val="000B22EA"/>
    <w:rsid w:val="000B23F6"/>
    <w:rsid w:val="000B2463"/>
    <w:rsid w:val="000B24A3"/>
    <w:rsid w:val="000B2613"/>
    <w:rsid w:val="000B2797"/>
    <w:rsid w:val="000B27EE"/>
    <w:rsid w:val="000B2AAF"/>
    <w:rsid w:val="000B2C30"/>
    <w:rsid w:val="000B2D64"/>
    <w:rsid w:val="000B2F5B"/>
    <w:rsid w:val="000B30EA"/>
    <w:rsid w:val="000B315F"/>
    <w:rsid w:val="000B32B5"/>
    <w:rsid w:val="000B368B"/>
    <w:rsid w:val="000B37BF"/>
    <w:rsid w:val="000B384A"/>
    <w:rsid w:val="000B3885"/>
    <w:rsid w:val="000B38A6"/>
    <w:rsid w:val="000B39CB"/>
    <w:rsid w:val="000B3B2F"/>
    <w:rsid w:val="000B3D7D"/>
    <w:rsid w:val="000B3F50"/>
    <w:rsid w:val="000B40C9"/>
    <w:rsid w:val="000B410A"/>
    <w:rsid w:val="000B431C"/>
    <w:rsid w:val="000B4828"/>
    <w:rsid w:val="000B4917"/>
    <w:rsid w:val="000B4AA4"/>
    <w:rsid w:val="000B4B3B"/>
    <w:rsid w:val="000B4C0F"/>
    <w:rsid w:val="000B4CA8"/>
    <w:rsid w:val="000B4D94"/>
    <w:rsid w:val="000B4FD9"/>
    <w:rsid w:val="000B57CD"/>
    <w:rsid w:val="000B5910"/>
    <w:rsid w:val="000B5A03"/>
    <w:rsid w:val="000B5EA0"/>
    <w:rsid w:val="000B5FCD"/>
    <w:rsid w:val="000B6020"/>
    <w:rsid w:val="000B60FD"/>
    <w:rsid w:val="000B6253"/>
    <w:rsid w:val="000B626F"/>
    <w:rsid w:val="000B648B"/>
    <w:rsid w:val="000B69E0"/>
    <w:rsid w:val="000B6A20"/>
    <w:rsid w:val="000B6AAC"/>
    <w:rsid w:val="000B6EAA"/>
    <w:rsid w:val="000B70D1"/>
    <w:rsid w:val="000B730B"/>
    <w:rsid w:val="000B736A"/>
    <w:rsid w:val="000B746F"/>
    <w:rsid w:val="000B7896"/>
    <w:rsid w:val="000B78F7"/>
    <w:rsid w:val="000B7A0E"/>
    <w:rsid w:val="000B7C08"/>
    <w:rsid w:val="000B7C5B"/>
    <w:rsid w:val="000B7CBD"/>
    <w:rsid w:val="000B7D95"/>
    <w:rsid w:val="000C0016"/>
    <w:rsid w:val="000C010B"/>
    <w:rsid w:val="000C016F"/>
    <w:rsid w:val="000C04B0"/>
    <w:rsid w:val="000C0650"/>
    <w:rsid w:val="000C07A1"/>
    <w:rsid w:val="000C0960"/>
    <w:rsid w:val="000C0A7A"/>
    <w:rsid w:val="000C0AA1"/>
    <w:rsid w:val="000C0B47"/>
    <w:rsid w:val="000C0C7A"/>
    <w:rsid w:val="000C11B3"/>
    <w:rsid w:val="000C1382"/>
    <w:rsid w:val="000C141A"/>
    <w:rsid w:val="000C15A4"/>
    <w:rsid w:val="000C17C8"/>
    <w:rsid w:val="000C1A33"/>
    <w:rsid w:val="000C1C09"/>
    <w:rsid w:val="000C1CFE"/>
    <w:rsid w:val="000C1EFB"/>
    <w:rsid w:val="000C21DF"/>
    <w:rsid w:val="000C2229"/>
    <w:rsid w:val="000C225E"/>
    <w:rsid w:val="000C23E7"/>
    <w:rsid w:val="000C26CA"/>
    <w:rsid w:val="000C26D2"/>
    <w:rsid w:val="000C2749"/>
    <w:rsid w:val="000C2864"/>
    <w:rsid w:val="000C2869"/>
    <w:rsid w:val="000C29B2"/>
    <w:rsid w:val="000C2B7A"/>
    <w:rsid w:val="000C2D79"/>
    <w:rsid w:val="000C2FEB"/>
    <w:rsid w:val="000C31A2"/>
    <w:rsid w:val="000C34BB"/>
    <w:rsid w:val="000C350B"/>
    <w:rsid w:val="000C3569"/>
    <w:rsid w:val="000C37BB"/>
    <w:rsid w:val="000C3801"/>
    <w:rsid w:val="000C3826"/>
    <w:rsid w:val="000C390F"/>
    <w:rsid w:val="000C39FB"/>
    <w:rsid w:val="000C3AD9"/>
    <w:rsid w:val="000C3AFD"/>
    <w:rsid w:val="000C3C89"/>
    <w:rsid w:val="000C3D68"/>
    <w:rsid w:val="000C428D"/>
    <w:rsid w:val="000C4355"/>
    <w:rsid w:val="000C4542"/>
    <w:rsid w:val="000C4572"/>
    <w:rsid w:val="000C4593"/>
    <w:rsid w:val="000C45D2"/>
    <w:rsid w:val="000C469C"/>
    <w:rsid w:val="000C46B7"/>
    <w:rsid w:val="000C479B"/>
    <w:rsid w:val="000C4B93"/>
    <w:rsid w:val="000C4BD5"/>
    <w:rsid w:val="000C4D7B"/>
    <w:rsid w:val="000C4EFF"/>
    <w:rsid w:val="000C4F05"/>
    <w:rsid w:val="000C4F4C"/>
    <w:rsid w:val="000C52CA"/>
    <w:rsid w:val="000C53A8"/>
    <w:rsid w:val="000C5418"/>
    <w:rsid w:val="000C54FF"/>
    <w:rsid w:val="000C55DA"/>
    <w:rsid w:val="000C59D6"/>
    <w:rsid w:val="000C5E89"/>
    <w:rsid w:val="000C5EB4"/>
    <w:rsid w:val="000C5EEF"/>
    <w:rsid w:val="000C5F00"/>
    <w:rsid w:val="000C60C9"/>
    <w:rsid w:val="000C6178"/>
    <w:rsid w:val="000C64BE"/>
    <w:rsid w:val="000C6707"/>
    <w:rsid w:val="000C687E"/>
    <w:rsid w:val="000C691B"/>
    <w:rsid w:val="000C6935"/>
    <w:rsid w:val="000C69AB"/>
    <w:rsid w:val="000C6AEB"/>
    <w:rsid w:val="000C6F5F"/>
    <w:rsid w:val="000C7059"/>
    <w:rsid w:val="000C70C4"/>
    <w:rsid w:val="000C71EA"/>
    <w:rsid w:val="000C7227"/>
    <w:rsid w:val="000C728B"/>
    <w:rsid w:val="000C73B2"/>
    <w:rsid w:val="000C75BA"/>
    <w:rsid w:val="000C76F6"/>
    <w:rsid w:val="000C7719"/>
    <w:rsid w:val="000C77BF"/>
    <w:rsid w:val="000C7A13"/>
    <w:rsid w:val="000C7BE4"/>
    <w:rsid w:val="000C7C87"/>
    <w:rsid w:val="000C7EFE"/>
    <w:rsid w:val="000D019D"/>
    <w:rsid w:val="000D01E3"/>
    <w:rsid w:val="000D0208"/>
    <w:rsid w:val="000D042A"/>
    <w:rsid w:val="000D04A2"/>
    <w:rsid w:val="000D04DB"/>
    <w:rsid w:val="000D04F4"/>
    <w:rsid w:val="000D05BD"/>
    <w:rsid w:val="000D0627"/>
    <w:rsid w:val="000D06D2"/>
    <w:rsid w:val="000D0AF1"/>
    <w:rsid w:val="000D0D5A"/>
    <w:rsid w:val="000D0E39"/>
    <w:rsid w:val="000D0F3E"/>
    <w:rsid w:val="000D0F93"/>
    <w:rsid w:val="000D1207"/>
    <w:rsid w:val="000D16D0"/>
    <w:rsid w:val="000D170A"/>
    <w:rsid w:val="000D173A"/>
    <w:rsid w:val="000D1823"/>
    <w:rsid w:val="000D18BD"/>
    <w:rsid w:val="000D1A88"/>
    <w:rsid w:val="000D1B34"/>
    <w:rsid w:val="000D1B48"/>
    <w:rsid w:val="000D1C00"/>
    <w:rsid w:val="000D1C18"/>
    <w:rsid w:val="000D1EDA"/>
    <w:rsid w:val="000D1FB7"/>
    <w:rsid w:val="000D21D1"/>
    <w:rsid w:val="000D236E"/>
    <w:rsid w:val="000D23A8"/>
    <w:rsid w:val="000D240E"/>
    <w:rsid w:val="000D2445"/>
    <w:rsid w:val="000D2467"/>
    <w:rsid w:val="000D24B2"/>
    <w:rsid w:val="000D2588"/>
    <w:rsid w:val="000D2756"/>
    <w:rsid w:val="000D2915"/>
    <w:rsid w:val="000D2C48"/>
    <w:rsid w:val="000D2E66"/>
    <w:rsid w:val="000D2FCD"/>
    <w:rsid w:val="000D3067"/>
    <w:rsid w:val="000D35BF"/>
    <w:rsid w:val="000D375A"/>
    <w:rsid w:val="000D3813"/>
    <w:rsid w:val="000D39D2"/>
    <w:rsid w:val="000D3B9E"/>
    <w:rsid w:val="000D3FA4"/>
    <w:rsid w:val="000D4624"/>
    <w:rsid w:val="000D478C"/>
    <w:rsid w:val="000D4843"/>
    <w:rsid w:val="000D48F6"/>
    <w:rsid w:val="000D4959"/>
    <w:rsid w:val="000D4999"/>
    <w:rsid w:val="000D49B9"/>
    <w:rsid w:val="000D4A2C"/>
    <w:rsid w:val="000D4C98"/>
    <w:rsid w:val="000D4E94"/>
    <w:rsid w:val="000D51FB"/>
    <w:rsid w:val="000D53B9"/>
    <w:rsid w:val="000D54F2"/>
    <w:rsid w:val="000D56CE"/>
    <w:rsid w:val="000D573D"/>
    <w:rsid w:val="000D5778"/>
    <w:rsid w:val="000D587D"/>
    <w:rsid w:val="000D5A53"/>
    <w:rsid w:val="000D5A6A"/>
    <w:rsid w:val="000D5B36"/>
    <w:rsid w:val="000D5BC3"/>
    <w:rsid w:val="000D5DF8"/>
    <w:rsid w:val="000D5E44"/>
    <w:rsid w:val="000D6073"/>
    <w:rsid w:val="000D6239"/>
    <w:rsid w:val="000D6582"/>
    <w:rsid w:val="000D65AB"/>
    <w:rsid w:val="000D669E"/>
    <w:rsid w:val="000D6994"/>
    <w:rsid w:val="000D69D7"/>
    <w:rsid w:val="000D69FF"/>
    <w:rsid w:val="000D6C8B"/>
    <w:rsid w:val="000D6DB0"/>
    <w:rsid w:val="000D701F"/>
    <w:rsid w:val="000D7050"/>
    <w:rsid w:val="000D7304"/>
    <w:rsid w:val="000D753F"/>
    <w:rsid w:val="000D7613"/>
    <w:rsid w:val="000D77BB"/>
    <w:rsid w:val="000D77C9"/>
    <w:rsid w:val="000D7807"/>
    <w:rsid w:val="000D7A5C"/>
    <w:rsid w:val="000D7AE0"/>
    <w:rsid w:val="000D7DC0"/>
    <w:rsid w:val="000D7FBA"/>
    <w:rsid w:val="000E0112"/>
    <w:rsid w:val="000E01D0"/>
    <w:rsid w:val="000E020D"/>
    <w:rsid w:val="000E02AB"/>
    <w:rsid w:val="000E0479"/>
    <w:rsid w:val="000E0859"/>
    <w:rsid w:val="000E096D"/>
    <w:rsid w:val="000E09E1"/>
    <w:rsid w:val="000E0A05"/>
    <w:rsid w:val="000E0A42"/>
    <w:rsid w:val="000E0D78"/>
    <w:rsid w:val="000E0E2A"/>
    <w:rsid w:val="000E10E0"/>
    <w:rsid w:val="000E1122"/>
    <w:rsid w:val="000E14C9"/>
    <w:rsid w:val="000E1A36"/>
    <w:rsid w:val="000E1BF8"/>
    <w:rsid w:val="000E1FE0"/>
    <w:rsid w:val="000E2014"/>
    <w:rsid w:val="000E2074"/>
    <w:rsid w:val="000E224F"/>
    <w:rsid w:val="000E23CB"/>
    <w:rsid w:val="000E2719"/>
    <w:rsid w:val="000E2BB7"/>
    <w:rsid w:val="000E2BB9"/>
    <w:rsid w:val="000E2CDA"/>
    <w:rsid w:val="000E2D13"/>
    <w:rsid w:val="000E2D50"/>
    <w:rsid w:val="000E2DB8"/>
    <w:rsid w:val="000E2DBC"/>
    <w:rsid w:val="000E2F06"/>
    <w:rsid w:val="000E3486"/>
    <w:rsid w:val="000E35F7"/>
    <w:rsid w:val="000E36DD"/>
    <w:rsid w:val="000E38DD"/>
    <w:rsid w:val="000E39AC"/>
    <w:rsid w:val="000E3A89"/>
    <w:rsid w:val="000E3B5C"/>
    <w:rsid w:val="000E3C10"/>
    <w:rsid w:val="000E3C48"/>
    <w:rsid w:val="000E3D10"/>
    <w:rsid w:val="000E3E5C"/>
    <w:rsid w:val="000E3EEF"/>
    <w:rsid w:val="000E3F38"/>
    <w:rsid w:val="000E3F66"/>
    <w:rsid w:val="000E4125"/>
    <w:rsid w:val="000E41F1"/>
    <w:rsid w:val="000E4785"/>
    <w:rsid w:val="000E47C2"/>
    <w:rsid w:val="000E490F"/>
    <w:rsid w:val="000E5144"/>
    <w:rsid w:val="000E51E6"/>
    <w:rsid w:val="000E5307"/>
    <w:rsid w:val="000E5319"/>
    <w:rsid w:val="000E5444"/>
    <w:rsid w:val="000E5689"/>
    <w:rsid w:val="000E57E9"/>
    <w:rsid w:val="000E5821"/>
    <w:rsid w:val="000E5C19"/>
    <w:rsid w:val="000E5C9F"/>
    <w:rsid w:val="000E5D12"/>
    <w:rsid w:val="000E5E38"/>
    <w:rsid w:val="000E5EE2"/>
    <w:rsid w:val="000E60E3"/>
    <w:rsid w:val="000E6243"/>
    <w:rsid w:val="000E650F"/>
    <w:rsid w:val="000E6594"/>
    <w:rsid w:val="000E66CD"/>
    <w:rsid w:val="000E670C"/>
    <w:rsid w:val="000E685B"/>
    <w:rsid w:val="000E6937"/>
    <w:rsid w:val="000E6A2C"/>
    <w:rsid w:val="000E6A99"/>
    <w:rsid w:val="000E6AC9"/>
    <w:rsid w:val="000E6D80"/>
    <w:rsid w:val="000E6E71"/>
    <w:rsid w:val="000E6EDB"/>
    <w:rsid w:val="000E6EF6"/>
    <w:rsid w:val="000E6F6B"/>
    <w:rsid w:val="000E6FE2"/>
    <w:rsid w:val="000E6FE7"/>
    <w:rsid w:val="000E742D"/>
    <w:rsid w:val="000E7543"/>
    <w:rsid w:val="000E76F0"/>
    <w:rsid w:val="000E77EE"/>
    <w:rsid w:val="000E7846"/>
    <w:rsid w:val="000E7997"/>
    <w:rsid w:val="000E7C14"/>
    <w:rsid w:val="000E7E5E"/>
    <w:rsid w:val="000E7FA3"/>
    <w:rsid w:val="000F0017"/>
    <w:rsid w:val="000F0040"/>
    <w:rsid w:val="000F00BB"/>
    <w:rsid w:val="000F01A3"/>
    <w:rsid w:val="000F0205"/>
    <w:rsid w:val="000F0430"/>
    <w:rsid w:val="000F056C"/>
    <w:rsid w:val="000F08D3"/>
    <w:rsid w:val="000F09C9"/>
    <w:rsid w:val="000F0C31"/>
    <w:rsid w:val="000F0ED6"/>
    <w:rsid w:val="000F0FA5"/>
    <w:rsid w:val="000F131D"/>
    <w:rsid w:val="000F13A2"/>
    <w:rsid w:val="000F1480"/>
    <w:rsid w:val="000F1534"/>
    <w:rsid w:val="000F1557"/>
    <w:rsid w:val="000F184B"/>
    <w:rsid w:val="000F1A66"/>
    <w:rsid w:val="000F2186"/>
    <w:rsid w:val="000F21CE"/>
    <w:rsid w:val="000F2450"/>
    <w:rsid w:val="000F265E"/>
    <w:rsid w:val="000F2712"/>
    <w:rsid w:val="000F2B45"/>
    <w:rsid w:val="000F2BCC"/>
    <w:rsid w:val="000F3146"/>
    <w:rsid w:val="000F3231"/>
    <w:rsid w:val="000F32BE"/>
    <w:rsid w:val="000F35FE"/>
    <w:rsid w:val="000F3775"/>
    <w:rsid w:val="000F379F"/>
    <w:rsid w:val="000F3808"/>
    <w:rsid w:val="000F3AC2"/>
    <w:rsid w:val="000F3C13"/>
    <w:rsid w:val="000F3C25"/>
    <w:rsid w:val="000F3CF8"/>
    <w:rsid w:val="000F3D40"/>
    <w:rsid w:val="000F4275"/>
    <w:rsid w:val="000F4320"/>
    <w:rsid w:val="000F4982"/>
    <w:rsid w:val="000F49E7"/>
    <w:rsid w:val="000F4ADF"/>
    <w:rsid w:val="000F4B37"/>
    <w:rsid w:val="000F4E38"/>
    <w:rsid w:val="000F4FD2"/>
    <w:rsid w:val="000F50AB"/>
    <w:rsid w:val="000F52FA"/>
    <w:rsid w:val="000F5317"/>
    <w:rsid w:val="000F537E"/>
    <w:rsid w:val="000F53D3"/>
    <w:rsid w:val="000F5456"/>
    <w:rsid w:val="000F5639"/>
    <w:rsid w:val="000F5A65"/>
    <w:rsid w:val="000F5DCF"/>
    <w:rsid w:val="000F5E57"/>
    <w:rsid w:val="000F60B9"/>
    <w:rsid w:val="000F6217"/>
    <w:rsid w:val="000F62AA"/>
    <w:rsid w:val="000F62FB"/>
    <w:rsid w:val="000F6474"/>
    <w:rsid w:val="000F654C"/>
    <w:rsid w:val="000F67E2"/>
    <w:rsid w:val="000F688A"/>
    <w:rsid w:val="000F6913"/>
    <w:rsid w:val="000F6A1B"/>
    <w:rsid w:val="000F6A20"/>
    <w:rsid w:val="000F6C2F"/>
    <w:rsid w:val="000F6CDD"/>
    <w:rsid w:val="000F6DF0"/>
    <w:rsid w:val="000F6E01"/>
    <w:rsid w:val="000F7297"/>
    <w:rsid w:val="000F72F9"/>
    <w:rsid w:val="000F75D7"/>
    <w:rsid w:val="000F7636"/>
    <w:rsid w:val="000F77B3"/>
    <w:rsid w:val="000F78EC"/>
    <w:rsid w:val="000F79E9"/>
    <w:rsid w:val="000F7B6D"/>
    <w:rsid w:val="000F7C98"/>
    <w:rsid w:val="000F7CA0"/>
    <w:rsid w:val="000F7D28"/>
    <w:rsid w:val="000F7DC5"/>
    <w:rsid w:val="001000D3"/>
    <w:rsid w:val="001000F1"/>
    <w:rsid w:val="001001EB"/>
    <w:rsid w:val="001003CB"/>
    <w:rsid w:val="001003D3"/>
    <w:rsid w:val="001004D7"/>
    <w:rsid w:val="00100626"/>
    <w:rsid w:val="00100693"/>
    <w:rsid w:val="0010069C"/>
    <w:rsid w:val="001006CD"/>
    <w:rsid w:val="001006E5"/>
    <w:rsid w:val="001007B2"/>
    <w:rsid w:val="0010084C"/>
    <w:rsid w:val="001008DF"/>
    <w:rsid w:val="00100930"/>
    <w:rsid w:val="00100A49"/>
    <w:rsid w:val="00100A99"/>
    <w:rsid w:val="00100AF8"/>
    <w:rsid w:val="00101276"/>
    <w:rsid w:val="00101279"/>
    <w:rsid w:val="001016C4"/>
    <w:rsid w:val="001017B7"/>
    <w:rsid w:val="001018B4"/>
    <w:rsid w:val="0010199C"/>
    <w:rsid w:val="001019DA"/>
    <w:rsid w:val="00101B82"/>
    <w:rsid w:val="00101C30"/>
    <w:rsid w:val="00101C7B"/>
    <w:rsid w:val="00101D0C"/>
    <w:rsid w:val="00101D26"/>
    <w:rsid w:val="00101D38"/>
    <w:rsid w:val="00101DAF"/>
    <w:rsid w:val="00101DBA"/>
    <w:rsid w:val="00101DBE"/>
    <w:rsid w:val="00102056"/>
    <w:rsid w:val="001023DF"/>
    <w:rsid w:val="0010245B"/>
    <w:rsid w:val="00102463"/>
    <w:rsid w:val="00102794"/>
    <w:rsid w:val="0010283D"/>
    <w:rsid w:val="00102A23"/>
    <w:rsid w:val="00102BFA"/>
    <w:rsid w:val="00102DF0"/>
    <w:rsid w:val="00103182"/>
    <w:rsid w:val="00103387"/>
    <w:rsid w:val="0010368E"/>
    <w:rsid w:val="0010387C"/>
    <w:rsid w:val="001038EA"/>
    <w:rsid w:val="00103CE5"/>
    <w:rsid w:val="00103DD1"/>
    <w:rsid w:val="00103F05"/>
    <w:rsid w:val="0010401E"/>
    <w:rsid w:val="00104095"/>
    <w:rsid w:val="001040C6"/>
    <w:rsid w:val="00104214"/>
    <w:rsid w:val="00104276"/>
    <w:rsid w:val="001043F6"/>
    <w:rsid w:val="00104443"/>
    <w:rsid w:val="001044A9"/>
    <w:rsid w:val="001046B3"/>
    <w:rsid w:val="001046EB"/>
    <w:rsid w:val="00104A16"/>
    <w:rsid w:val="00104B2B"/>
    <w:rsid w:val="00104B36"/>
    <w:rsid w:val="00104B84"/>
    <w:rsid w:val="00104C53"/>
    <w:rsid w:val="001050AE"/>
    <w:rsid w:val="00105370"/>
    <w:rsid w:val="00105676"/>
    <w:rsid w:val="001059EF"/>
    <w:rsid w:val="00105BDE"/>
    <w:rsid w:val="00106329"/>
    <w:rsid w:val="001066C3"/>
    <w:rsid w:val="00106B86"/>
    <w:rsid w:val="00106C30"/>
    <w:rsid w:val="00106DCC"/>
    <w:rsid w:val="0010706E"/>
    <w:rsid w:val="001071BA"/>
    <w:rsid w:val="001071BD"/>
    <w:rsid w:val="001072E8"/>
    <w:rsid w:val="00107449"/>
    <w:rsid w:val="00107992"/>
    <w:rsid w:val="00107C26"/>
    <w:rsid w:val="00107D6B"/>
    <w:rsid w:val="001101CE"/>
    <w:rsid w:val="0011029D"/>
    <w:rsid w:val="00110342"/>
    <w:rsid w:val="0011039E"/>
    <w:rsid w:val="00110423"/>
    <w:rsid w:val="0011056E"/>
    <w:rsid w:val="00110708"/>
    <w:rsid w:val="00110B27"/>
    <w:rsid w:val="00110D61"/>
    <w:rsid w:val="0011100B"/>
    <w:rsid w:val="0011127D"/>
    <w:rsid w:val="001112F5"/>
    <w:rsid w:val="0011140C"/>
    <w:rsid w:val="0011145C"/>
    <w:rsid w:val="0011166B"/>
    <w:rsid w:val="00111726"/>
    <w:rsid w:val="0011173B"/>
    <w:rsid w:val="00111D16"/>
    <w:rsid w:val="00111D4D"/>
    <w:rsid w:val="00111DBD"/>
    <w:rsid w:val="00111E8A"/>
    <w:rsid w:val="001125B9"/>
    <w:rsid w:val="001125BF"/>
    <w:rsid w:val="00112678"/>
    <w:rsid w:val="001126DE"/>
    <w:rsid w:val="001126FD"/>
    <w:rsid w:val="00112817"/>
    <w:rsid w:val="00112A2F"/>
    <w:rsid w:val="00112C5F"/>
    <w:rsid w:val="00112D31"/>
    <w:rsid w:val="00112D86"/>
    <w:rsid w:val="00112E22"/>
    <w:rsid w:val="00112E63"/>
    <w:rsid w:val="00112F48"/>
    <w:rsid w:val="0011314C"/>
    <w:rsid w:val="001131E4"/>
    <w:rsid w:val="00113562"/>
    <w:rsid w:val="001136C8"/>
    <w:rsid w:val="00113700"/>
    <w:rsid w:val="0011373F"/>
    <w:rsid w:val="001138F0"/>
    <w:rsid w:val="00113B64"/>
    <w:rsid w:val="00113D9A"/>
    <w:rsid w:val="00113EB0"/>
    <w:rsid w:val="00113F62"/>
    <w:rsid w:val="001142E6"/>
    <w:rsid w:val="00114368"/>
    <w:rsid w:val="00114390"/>
    <w:rsid w:val="00114554"/>
    <w:rsid w:val="00114732"/>
    <w:rsid w:val="001149ED"/>
    <w:rsid w:val="00114BD1"/>
    <w:rsid w:val="00114E40"/>
    <w:rsid w:val="00114EFB"/>
    <w:rsid w:val="00115047"/>
    <w:rsid w:val="00115157"/>
    <w:rsid w:val="0011527F"/>
    <w:rsid w:val="0011539A"/>
    <w:rsid w:val="001156D0"/>
    <w:rsid w:val="00115838"/>
    <w:rsid w:val="001159D7"/>
    <w:rsid w:val="00115B7A"/>
    <w:rsid w:val="001163A5"/>
    <w:rsid w:val="001164CB"/>
    <w:rsid w:val="0011658E"/>
    <w:rsid w:val="001165F6"/>
    <w:rsid w:val="001167F4"/>
    <w:rsid w:val="0011682A"/>
    <w:rsid w:val="00116C1D"/>
    <w:rsid w:val="001175E4"/>
    <w:rsid w:val="001176CB"/>
    <w:rsid w:val="0011791C"/>
    <w:rsid w:val="001179CF"/>
    <w:rsid w:val="001179D1"/>
    <w:rsid w:val="00117AAA"/>
    <w:rsid w:val="00117C2D"/>
    <w:rsid w:val="00117CC2"/>
    <w:rsid w:val="00117FF6"/>
    <w:rsid w:val="00120296"/>
    <w:rsid w:val="0012030F"/>
    <w:rsid w:val="0012075B"/>
    <w:rsid w:val="001208AA"/>
    <w:rsid w:val="00120950"/>
    <w:rsid w:val="00120AFB"/>
    <w:rsid w:val="00120B79"/>
    <w:rsid w:val="00120D6C"/>
    <w:rsid w:val="00120D75"/>
    <w:rsid w:val="00120D9D"/>
    <w:rsid w:val="00120EC5"/>
    <w:rsid w:val="001212AE"/>
    <w:rsid w:val="0012139B"/>
    <w:rsid w:val="001214D0"/>
    <w:rsid w:val="00121854"/>
    <w:rsid w:val="00121960"/>
    <w:rsid w:val="00121991"/>
    <w:rsid w:val="001219D4"/>
    <w:rsid w:val="00121C8F"/>
    <w:rsid w:val="00121EF2"/>
    <w:rsid w:val="00121FA6"/>
    <w:rsid w:val="00121FF8"/>
    <w:rsid w:val="00122030"/>
    <w:rsid w:val="001221E9"/>
    <w:rsid w:val="0012261B"/>
    <w:rsid w:val="0012270D"/>
    <w:rsid w:val="00122873"/>
    <w:rsid w:val="001228FB"/>
    <w:rsid w:val="0012294D"/>
    <w:rsid w:val="00122A30"/>
    <w:rsid w:val="00122A82"/>
    <w:rsid w:val="00122C07"/>
    <w:rsid w:val="00122C46"/>
    <w:rsid w:val="00122CDE"/>
    <w:rsid w:val="00122FC1"/>
    <w:rsid w:val="001230A5"/>
    <w:rsid w:val="001234CC"/>
    <w:rsid w:val="001235FD"/>
    <w:rsid w:val="001237FF"/>
    <w:rsid w:val="00123811"/>
    <w:rsid w:val="00123867"/>
    <w:rsid w:val="00123958"/>
    <w:rsid w:val="00123983"/>
    <w:rsid w:val="00123C35"/>
    <w:rsid w:val="00123D29"/>
    <w:rsid w:val="00123D8E"/>
    <w:rsid w:val="00124047"/>
    <w:rsid w:val="001241B0"/>
    <w:rsid w:val="001242F5"/>
    <w:rsid w:val="001243E2"/>
    <w:rsid w:val="00124549"/>
    <w:rsid w:val="00124804"/>
    <w:rsid w:val="001248AC"/>
    <w:rsid w:val="00124DE3"/>
    <w:rsid w:val="001257C6"/>
    <w:rsid w:val="00125BA1"/>
    <w:rsid w:val="00125BEC"/>
    <w:rsid w:val="00125E70"/>
    <w:rsid w:val="001266B6"/>
    <w:rsid w:val="00126941"/>
    <w:rsid w:val="00126A99"/>
    <w:rsid w:val="00126B0C"/>
    <w:rsid w:val="00126BA3"/>
    <w:rsid w:val="00126C7B"/>
    <w:rsid w:val="00127138"/>
    <w:rsid w:val="0012745A"/>
    <w:rsid w:val="001274AB"/>
    <w:rsid w:val="00127914"/>
    <w:rsid w:val="00127B97"/>
    <w:rsid w:val="00127B9E"/>
    <w:rsid w:val="00127FC8"/>
    <w:rsid w:val="0013061A"/>
    <w:rsid w:val="001306ED"/>
    <w:rsid w:val="0013088B"/>
    <w:rsid w:val="00130893"/>
    <w:rsid w:val="001309B8"/>
    <w:rsid w:val="001309D0"/>
    <w:rsid w:val="00130A7F"/>
    <w:rsid w:val="00130B9E"/>
    <w:rsid w:val="00130DBA"/>
    <w:rsid w:val="00131184"/>
    <w:rsid w:val="00131492"/>
    <w:rsid w:val="0013163A"/>
    <w:rsid w:val="0013177D"/>
    <w:rsid w:val="001317CE"/>
    <w:rsid w:val="001319C6"/>
    <w:rsid w:val="00131A61"/>
    <w:rsid w:val="00131D2B"/>
    <w:rsid w:val="00132099"/>
    <w:rsid w:val="00132233"/>
    <w:rsid w:val="001322F4"/>
    <w:rsid w:val="00132346"/>
    <w:rsid w:val="001323C9"/>
    <w:rsid w:val="0013242C"/>
    <w:rsid w:val="001325E8"/>
    <w:rsid w:val="00132664"/>
    <w:rsid w:val="0013276C"/>
    <w:rsid w:val="001327DD"/>
    <w:rsid w:val="001329C8"/>
    <w:rsid w:val="00132B8C"/>
    <w:rsid w:val="00132E88"/>
    <w:rsid w:val="00133269"/>
    <w:rsid w:val="00133383"/>
    <w:rsid w:val="001333AB"/>
    <w:rsid w:val="001337BA"/>
    <w:rsid w:val="00133B0A"/>
    <w:rsid w:val="00133D7E"/>
    <w:rsid w:val="00133D8D"/>
    <w:rsid w:val="001340DF"/>
    <w:rsid w:val="001343F2"/>
    <w:rsid w:val="001344D3"/>
    <w:rsid w:val="00134864"/>
    <w:rsid w:val="00134B25"/>
    <w:rsid w:val="00134C7D"/>
    <w:rsid w:val="00134CFC"/>
    <w:rsid w:val="00134DA1"/>
    <w:rsid w:val="00134F16"/>
    <w:rsid w:val="00134F65"/>
    <w:rsid w:val="00134FA6"/>
    <w:rsid w:val="00135488"/>
    <w:rsid w:val="001356D8"/>
    <w:rsid w:val="001358C2"/>
    <w:rsid w:val="0013596F"/>
    <w:rsid w:val="00135AD7"/>
    <w:rsid w:val="0013609A"/>
    <w:rsid w:val="001361E6"/>
    <w:rsid w:val="00136238"/>
    <w:rsid w:val="00136325"/>
    <w:rsid w:val="00136423"/>
    <w:rsid w:val="001364CC"/>
    <w:rsid w:val="0013652F"/>
    <w:rsid w:val="00136621"/>
    <w:rsid w:val="001367A3"/>
    <w:rsid w:val="00136AD6"/>
    <w:rsid w:val="00136AF4"/>
    <w:rsid w:val="00136BA1"/>
    <w:rsid w:val="00136D59"/>
    <w:rsid w:val="00136D99"/>
    <w:rsid w:val="00136E0A"/>
    <w:rsid w:val="00136E52"/>
    <w:rsid w:val="00136FFF"/>
    <w:rsid w:val="001371FD"/>
    <w:rsid w:val="00137548"/>
    <w:rsid w:val="001377B9"/>
    <w:rsid w:val="0013787D"/>
    <w:rsid w:val="001378B0"/>
    <w:rsid w:val="001378E5"/>
    <w:rsid w:val="0013799C"/>
    <w:rsid w:val="00137BF1"/>
    <w:rsid w:val="00137C82"/>
    <w:rsid w:val="00137CCD"/>
    <w:rsid w:val="00137D2E"/>
    <w:rsid w:val="00137F0B"/>
    <w:rsid w:val="001401C3"/>
    <w:rsid w:val="0014044E"/>
    <w:rsid w:val="00140638"/>
    <w:rsid w:val="00140689"/>
    <w:rsid w:val="001406E1"/>
    <w:rsid w:val="001406F7"/>
    <w:rsid w:val="00140774"/>
    <w:rsid w:val="00140C22"/>
    <w:rsid w:val="00140D85"/>
    <w:rsid w:val="00140D95"/>
    <w:rsid w:val="00141053"/>
    <w:rsid w:val="0014109F"/>
    <w:rsid w:val="001412C9"/>
    <w:rsid w:val="001415C4"/>
    <w:rsid w:val="001415DE"/>
    <w:rsid w:val="00141801"/>
    <w:rsid w:val="00141C1B"/>
    <w:rsid w:val="00141DDB"/>
    <w:rsid w:val="00141E19"/>
    <w:rsid w:val="00141F52"/>
    <w:rsid w:val="00142115"/>
    <w:rsid w:val="001421D1"/>
    <w:rsid w:val="00142793"/>
    <w:rsid w:val="00142800"/>
    <w:rsid w:val="00142AE7"/>
    <w:rsid w:val="00142CC1"/>
    <w:rsid w:val="00142D89"/>
    <w:rsid w:val="00143007"/>
    <w:rsid w:val="00143047"/>
    <w:rsid w:val="001432B3"/>
    <w:rsid w:val="001432F8"/>
    <w:rsid w:val="0014330D"/>
    <w:rsid w:val="00143534"/>
    <w:rsid w:val="001437BB"/>
    <w:rsid w:val="00143A43"/>
    <w:rsid w:val="00143F55"/>
    <w:rsid w:val="00143F63"/>
    <w:rsid w:val="00144166"/>
    <w:rsid w:val="001441B7"/>
    <w:rsid w:val="00144282"/>
    <w:rsid w:val="001442B5"/>
    <w:rsid w:val="0014432A"/>
    <w:rsid w:val="00144463"/>
    <w:rsid w:val="00144496"/>
    <w:rsid w:val="001444C7"/>
    <w:rsid w:val="00144D1B"/>
    <w:rsid w:val="00144D4D"/>
    <w:rsid w:val="00144E21"/>
    <w:rsid w:val="00145091"/>
    <w:rsid w:val="001451D3"/>
    <w:rsid w:val="001457AC"/>
    <w:rsid w:val="00145A54"/>
    <w:rsid w:val="00145ADF"/>
    <w:rsid w:val="00145DC8"/>
    <w:rsid w:val="00145F02"/>
    <w:rsid w:val="001462D4"/>
    <w:rsid w:val="0014631F"/>
    <w:rsid w:val="0014668A"/>
    <w:rsid w:val="0014689D"/>
    <w:rsid w:val="00146944"/>
    <w:rsid w:val="00146990"/>
    <w:rsid w:val="00146E9B"/>
    <w:rsid w:val="00147076"/>
    <w:rsid w:val="00147249"/>
    <w:rsid w:val="0014727D"/>
    <w:rsid w:val="001472C6"/>
    <w:rsid w:val="001472C7"/>
    <w:rsid w:val="00147754"/>
    <w:rsid w:val="00147B4C"/>
    <w:rsid w:val="00147C41"/>
    <w:rsid w:val="00147C95"/>
    <w:rsid w:val="00147CCB"/>
    <w:rsid w:val="00147E0F"/>
    <w:rsid w:val="00147E24"/>
    <w:rsid w:val="00147EB7"/>
    <w:rsid w:val="00147FD3"/>
    <w:rsid w:val="001502EE"/>
    <w:rsid w:val="001503AE"/>
    <w:rsid w:val="0015053D"/>
    <w:rsid w:val="00150559"/>
    <w:rsid w:val="00150574"/>
    <w:rsid w:val="001505F4"/>
    <w:rsid w:val="00150782"/>
    <w:rsid w:val="00150960"/>
    <w:rsid w:val="00150A60"/>
    <w:rsid w:val="00150ADE"/>
    <w:rsid w:val="00150BC9"/>
    <w:rsid w:val="00150C38"/>
    <w:rsid w:val="00150D2A"/>
    <w:rsid w:val="00150F5F"/>
    <w:rsid w:val="00150FE1"/>
    <w:rsid w:val="001510F8"/>
    <w:rsid w:val="00151191"/>
    <w:rsid w:val="00151217"/>
    <w:rsid w:val="00151296"/>
    <w:rsid w:val="0015198E"/>
    <w:rsid w:val="00151A4E"/>
    <w:rsid w:val="00151A94"/>
    <w:rsid w:val="00151B13"/>
    <w:rsid w:val="00151C74"/>
    <w:rsid w:val="00151CB9"/>
    <w:rsid w:val="00151CC2"/>
    <w:rsid w:val="00151E53"/>
    <w:rsid w:val="00152075"/>
    <w:rsid w:val="00152085"/>
    <w:rsid w:val="00152319"/>
    <w:rsid w:val="0015260B"/>
    <w:rsid w:val="0015268B"/>
    <w:rsid w:val="00152793"/>
    <w:rsid w:val="001527C4"/>
    <w:rsid w:val="001528D6"/>
    <w:rsid w:val="00152953"/>
    <w:rsid w:val="00152AF0"/>
    <w:rsid w:val="00152DD2"/>
    <w:rsid w:val="00152EF6"/>
    <w:rsid w:val="00152FF1"/>
    <w:rsid w:val="00153053"/>
    <w:rsid w:val="00153280"/>
    <w:rsid w:val="001533C8"/>
    <w:rsid w:val="001533D0"/>
    <w:rsid w:val="00153505"/>
    <w:rsid w:val="00153746"/>
    <w:rsid w:val="00153A3F"/>
    <w:rsid w:val="00153A46"/>
    <w:rsid w:val="00153A81"/>
    <w:rsid w:val="00153B0A"/>
    <w:rsid w:val="00153B4B"/>
    <w:rsid w:val="00153CB9"/>
    <w:rsid w:val="00153DD0"/>
    <w:rsid w:val="001540E4"/>
    <w:rsid w:val="0015413F"/>
    <w:rsid w:val="0015414B"/>
    <w:rsid w:val="001543A3"/>
    <w:rsid w:val="00154409"/>
    <w:rsid w:val="00154622"/>
    <w:rsid w:val="001549EB"/>
    <w:rsid w:val="00154A89"/>
    <w:rsid w:val="00154D1E"/>
    <w:rsid w:val="00154E7C"/>
    <w:rsid w:val="00154F6E"/>
    <w:rsid w:val="00155010"/>
    <w:rsid w:val="00155438"/>
    <w:rsid w:val="001554FA"/>
    <w:rsid w:val="00155604"/>
    <w:rsid w:val="00155793"/>
    <w:rsid w:val="001557A2"/>
    <w:rsid w:val="00155863"/>
    <w:rsid w:val="00155A92"/>
    <w:rsid w:val="00155AFE"/>
    <w:rsid w:val="00155D06"/>
    <w:rsid w:val="00155F34"/>
    <w:rsid w:val="00155FA8"/>
    <w:rsid w:val="001560A1"/>
    <w:rsid w:val="001561C0"/>
    <w:rsid w:val="00156234"/>
    <w:rsid w:val="001563BE"/>
    <w:rsid w:val="0015642E"/>
    <w:rsid w:val="0015676A"/>
    <w:rsid w:val="00156B7C"/>
    <w:rsid w:val="00156D84"/>
    <w:rsid w:val="00156D8B"/>
    <w:rsid w:val="00157008"/>
    <w:rsid w:val="00157079"/>
    <w:rsid w:val="001570EE"/>
    <w:rsid w:val="00157526"/>
    <w:rsid w:val="00157ADE"/>
    <w:rsid w:val="00157CEC"/>
    <w:rsid w:val="00157FF6"/>
    <w:rsid w:val="00160273"/>
    <w:rsid w:val="001602B6"/>
    <w:rsid w:val="00160433"/>
    <w:rsid w:val="00160460"/>
    <w:rsid w:val="001605EF"/>
    <w:rsid w:val="00160624"/>
    <w:rsid w:val="00160683"/>
    <w:rsid w:val="0016079E"/>
    <w:rsid w:val="001607D3"/>
    <w:rsid w:val="001607F3"/>
    <w:rsid w:val="00160939"/>
    <w:rsid w:val="00160AD2"/>
    <w:rsid w:val="00160D6C"/>
    <w:rsid w:val="00160DD6"/>
    <w:rsid w:val="00161011"/>
    <w:rsid w:val="00161264"/>
    <w:rsid w:val="001612F7"/>
    <w:rsid w:val="001616AF"/>
    <w:rsid w:val="00161721"/>
    <w:rsid w:val="00161779"/>
    <w:rsid w:val="001617EC"/>
    <w:rsid w:val="00161816"/>
    <w:rsid w:val="00161900"/>
    <w:rsid w:val="00161A61"/>
    <w:rsid w:val="00161B6E"/>
    <w:rsid w:val="00161B95"/>
    <w:rsid w:val="00161D71"/>
    <w:rsid w:val="00162231"/>
    <w:rsid w:val="00162349"/>
    <w:rsid w:val="00162488"/>
    <w:rsid w:val="00162552"/>
    <w:rsid w:val="001625AD"/>
    <w:rsid w:val="0016292F"/>
    <w:rsid w:val="00162A3C"/>
    <w:rsid w:val="00162C31"/>
    <w:rsid w:val="00162CD4"/>
    <w:rsid w:val="00162D10"/>
    <w:rsid w:val="00162DEB"/>
    <w:rsid w:val="00163089"/>
    <w:rsid w:val="001630B7"/>
    <w:rsid w:val="00163118"/>
    <w:rsid w:val="0016317C"/>
    <w:rsid w:val="00163205"/>
    <w:rsid w:val="0016339D"/>
    <w:rsid w:val="001634F3"/>
    <w:rsid w:val="0016350A"/>
    <w:rsid w:val="001635FE"/>
    <w:rsid w:val="0016394C"/>
    <w:rsid w:val="00163993"/>
    <w:rsid w:val="001639D4"/>
    <w:rsid w:val="00163A77"/>
    <w:rsid w:val="00163B06"/>
    <w:rsid w:val="00163BE0"/>
    <w:rsid w:val="0016411A"/>
    <w:rsid w:val="00164272"/>
    <w:rsid w:val="001643C2"/>
    <w:rsid w:val="001645F8"/>
    <w:rsid w:val="001646CB"/>
    <w:rsid w:val="0016483B"/>
    <w:rsid w:val="0016495A"/>
    <w:rsid w:val="001649F7"/>
    <w:rsid w:val="00164C04"/>
    <w:rsid w:val="00164DEA"/>
    <w:rsid w:val="001650FB"/>
    <w:rsid w:val="001652D0"/>
    <w:rsid w:val="00165426"/>
    <w:rsid w:val="0016543C"/>
    <w:rsid w:val="0016543F"/>
    <w:rsid w:val="00165442"/>
    <w:rsid w:val="00165585"/>
    <w:rsid w:val="001655B3"/>
    <w:rsid w:val="001656C2"/>
    <w:rsid w:val="001658EE"/>
    <w:rsid w:val="00165C74"/>
    <w:rsid w:val="00165D89"/>
    <w:rsid w:val="00165DD7"/>
    <w:rsid w:val="00165FD7"/>
    <w:rsid w:val="00166052"/>
    <w:rsid w:val="0016607A"/>
    <w:rsid w:val="0016628C"/>
    <w:rsid w:val="001663ED"/>
    <w:rsid w:val="001667E9"/>
    <w:rsid w:val="00166A3C"/>
    <w:rsid w:val="00166B48"/>
    <w:rsid w:val="00166F74"/>
    <w:rsid w:val="00166F84"/>
    <w:rsid w:val="0016718A"/>
    <w:rsid w:val="0016740A"/>
    <w:rsid w:val="0016741E"/>
    <w:rsid w:val="00167565"/>
    <w:rsid w:val="0016766C"/>
    <w:rsid w:val="00167797"/>
    <w:rsid w:val="00167822"/>
    <w:rsid w:val="00167AE2"/>
    <w:rsid w:val="00167B3C"/>
    <w:rsid w:val="00167B6A"/>
    <w:rsid w:val="00167E37"/>
    <w:rsid w:val="0017009D"/>
    <w:rsid w:val="00170484"/>
    <w:rsid w:val="001705BF"/>
    <w:rsid w:val="001706DD"/>
    <w:rsid w:val="001707AE"/>
    <w:rsid w:val="00171050"/>
    <w:rsid w:val="00171090"/>
    <w:rsid w:val="001711C9"/>
    <w:rsid w:val="001712A5"/>
    <w:rsid w:val="00171404"/>
    <w:rsid w:val="00171469"/>
    <w:rsid w:val="0017147F"/>
    <w:rsid w:val="0017151D"/>
    <w:rsid w:val="001715B5"/>
    <w:rsid w:val="001718A3"/>
    <w:rsid w:val="001718CF"/>
    <w:rsid w:val="00171CE3"/>
    <w:rsid w:val="00171D6D"/>
    <w:rsid w:val="00171E36"/>
    <w:rsid w:val="00171EB2"/>
    <w:rsid w:val="00171FAD"/>
    <w:rsid w:val="00171FEC"/>
    <w:rsid w:val="00172130"/>
    <w:rsid w:val="001721B2"/>
    <w:rsid w:val="00172213"/>
    <w:rsid w:val="001722D2"/>
    <w:rsid w:val="001723D1"/>
    <w:rsid w:val="001726A0"/>
    <w:rsid w:val="00172855"/>
    <w:rsid w:val="001729DF"/>
    <w:rsid w:val="00172B51"/>
    <w:rsid w:val="00172C83"/>
    <w:rsid w:val="00172D3E"/>
    <w:rsid w:val="00172DAD"/>
    <w:rsid w:val="00173150"/>
    <w:rsid w:val="00173259"/>
    <w:rsid w:val="001732A3"/>
    <w:rsid w:val="0017343A"/>
    <w:rsid w:val="0017351A"/>
    <w:rsid w:val="001735E3"/>
    <w:rsid w:val="0017392A"/>
    <w:rsid w:val="00173BB2"/>
    <w:rsid w:val="00173BE0"/>
    <w:rsid w:val="00173DE4"/>
    <w:rsid w:val="001740C2"/>
    <w:rsid w:val="0017414C"/>
    <w:rsid w:val="0017415E"/>
    <w:rsid w:val="00174350"/>
    <w:rsid w:val="001746E5"/>
    <w:rsid w:val="001748C4"/>
    <w:rsid w:val="00174BB3"/>
    <w:rsid w:val="00174C90"/>
    <w:rsid w:val="00174CB8"/>
    <w:rsid w:val="00174D29"/>
    <w:rsid w:val="00174D8C"/>
    <w:rsid w:val="00174F0F"/>
    <w:rsid w:val="0017538B"/>
    <w:rsid w:val="001755B4"/>
    <w:rsid w:val="0017562B"/>
    <w:rsid w:val="001758E6"/>
    <w:rsid w:val="00175DA3"/>
    <w:rsid w:val="00175EE1"/>
    <w:rsid w:val="00175EEA"/>
    <w:rsid w:val="00175F58"/>
    <w:rsid w:val="001760FC"/>
    <w:rsid w:val="001765A8"/>
    <w:rsid w:val="00176657"/>
    <w:rsid w:val="00176710"/>
    <w:rsid w:val="0017686E"/>
    <w:rsid w:val="001768ED"/>
    <w:rsid w:val="00176973"/>
    <w:rsid w:val="00176B11"/>
    <w:rsid w:val="00176FB5"/>
    <w:rsid w:val="00177341"/>
    <w:rsid w:val="00177391"/>
    <w:rsid w:val="0017774B"/>
    <w:rsid w:val="00177776"/>
    <w:rsid w:val="00177981"/>
    <w:rsid w:val="00177A5F"/>
    <w:rsid w:val="00177ADC"/>
    <w:rsid w:val="00177CB7"/>
    <w:rsid w:val="00177D28"/>
    <w:rsid w:val="00177D4F"/>
    <w:rsid w:val="00180207"/>
    <w:rsid w:val="00180400"/>
    <w:rsid w:val="00180416"/>
    <w:rsid w:val="00180517"/>
    <w:rsid w:val="001807C5"/>
    <w:rsid w:val="00180808"/>
    <w:rsid w:val="001808DB"/>
    <w:rsid w:val="00180A7D"/>
    <w:rsid w:val="00180B35"/>
    <w:rsid w:val="00180B68"/>
    <w:rsid w:val="00180BE2"/>
    <w:rsid w:val="00180DF9"/>
    <w:rsid w:val="00180EA9"/>
    <w:rsid w:val="00180F5D"/>
    <w:rsid w:val="0018119A"/>
    <w:rsid w:val="001813EF"/>
    <w:rsid w:val="00181702"/>
    <w:rsid w:val="00181971"/>
    <w:rsid w:val="00181CE0"/>
    <w:rsid w:val="00182177"/>
    <w:rsid w:val="00182271"/>
    <w:rsid w:val="0018238C"/>
    <w:rsid w:val="001823BB"/>
    <w:rsid w:val="0018240D"/>
    <w:rsid w:val="0018262A"/>
    <w:rsid w:val="001826B8"/>
    <w:rsid w:val="001827DD"/>
    <w:rsid w:val="001829E0"/>
    <w:rsid w:val="00182B7B"/>
    <w:rsid w:val="00182BC1"/>
    <w:rsid w:val="00182DD8"/>
    <w:rsid w:val="00182E86"/>
    <w:rsid w:val="00182F35"/>
    <w:rsid w:val="00182F41"/>
    <w:rsid w:val="001831E7"/>
    <w:rsid w:val="00183321"/>
    <w:rsid w:val="001834FF"/>
    <w:rsid w:val="001835B6"/>
    <w:rsid w:val="001835CD"/>
    <w:rsid w:val="00183636"/>
    <w:rsid w:val="001836DB"/>
    <w:rsid w:val="00183873"/>
    <w:rsid w:val="0018387D"/>
    <w:rsid w:val="00183999"/>
    <w:rsid w:val="00183DF2"/>
    <w:rsid w:val="00183EE6"/>
    <w:rsid w:val="00183FE5"/>
    <w:rsid w:val="00184037"/>
    <w:rsid w:val="0018408A"/>
    <w:rsid w:val="0018442C"/>
    <w:rsid w:val="00184589"/>
    <w:rsid w:val="0018470E"/>
    <w:rsid w:val="001847A5"/>
    <w:rsid w:val="0018489F"/>
    <w:rsid w:val="00184985"/>
    <w:rsid w:val="00184AC0"/>
    <w:rsid w:val="00184B2E"/>
    <w:rsid w:val="00184B3F"/>
    <w:rsid w:val="00184F1F"/>
    <w:rsid w:val="001850E5"/>
    <w:rsid w:val="001854DB"/>
    <w:rsid w:val="0018565C"/>
    <w:rsid w:val="00185A88"/>
    <w:rsid w:val="00185CE0"/>
    <w:rsid w:val="00185E29"/>
    <w:rsid w:val="00185FFE"/>
    <w:rsid w:val="00186109"/>
    <w:rsid w:val="00186254"/>
    <w:rsid w:val="001862B4"/>
    <w:rsid w:val="001863FD"/>
    <w:rsid w:val="0018647A"/>
    <w:rsid w:val="00186F39"/>
    <w:rsid w:val="00186FA0"/>
    <w:rsid w:val="00186FEF"/>
    <w:rsid w:val="0018707E"/>
    <w:rsid w:val="00187083"/>
    <w:rsid w:val="001870A9"/>
    <w:rsid w:val="001870F0"/>
    <w:rsid w:val="0018710D"/>
    <w:rsid w:val="00187171"/>
    <w:rsid w:val="001875D4"/>
    <w:rsid w:val="001877D1"/>
    <w:rsid w:val="0018787A"/>
    <w:rsid w:val="00187D0C"/>
    <w:rsid w:val="00187E9E"/>
    <w:rsid w:val="00190216"/>
    <w:rsid w:val="0019021B"/>
    <w:rsid w:val="001903FA"/>
    <w:rsid w:val="001907FF"/>
    <w:rsid w:val="001908BC"/>
    <w:rsid w:val="00190A81"/>
    <w:rsid w:val="00190C74"/>
    <w:rsid w:val="00190E23"/>
    <w:rsid w:val="00190E8F"/>
    <w:rsid w:val="00190EAF"/>
    <w:rsid w:val="00190F60"/>
    <w:rsid w:val="001911FD"/>
    <w:rsid w:val="0019138D"/>
    <w:rsid w:val="0019157E"/>
    <w:rsid w:val="001917A8"/>
    <w:rsid w:val="001917EE"/>
    <w:rsid w:val="00191913"/>
    <w:rsid w:val="00191AF3"/>
    <w:rsid w:val="00191B80"/>
    <w:rsid w:val="00191B94"/>
    <w:rsid w:val="00191DC6"/>
    <w:rsid w:val="00191F45"/>
    <w:rsid w:val="00191F52"/>
    <w:rsid w:val="00191F56"/>
    <w:rsid w:val="00191FCF"/>
    <w:rsid w:val="00192035"/>
    <w:rsid w:val="00192084"/>
    <w:rsid w:val="001920DE"/>
    <w:rsid w:val="00192291"/>
    <w:rsid w:val="00192698"/>
    <w:rsid w:val="00192911"/>
    <w:rsid w:val="00192A5E"/>
    <w:rsid w:val="00192B6E"/>
    <w:rsid w:val="00192FAC"/>
    <w:rsid w:val="00193070"/>
    <w:rsid w:val="001930DD"/>
    <w:rsid w:val="001931AC"/>
    <w:rsid w:val="0019324E"/>
    <w:rsid w:val="00193557"/>
    <w:rsid w:val="001935CF"/>
    <w:rsid w:val="00193677"/>
    <w:rsid w:val="00193727"/>
    <w:rsid w:val="00193780"/>
    <w:rsid w:val="0019379A"/>
    <w:rsid w:val="00193A26"/>
    <w:rsid w:val="00193DA6"/>
    <w:rsid w:val="00193E10"/>
    <w:rsid w:val="00193FE2"/>
    <w:rsid w:val="00194114"/>
    <w:rsid w:val="0019412B"/>
    <w:rsid w:val="001942B3"/>
    <w:rsid w:val="001945E9"/>
    <w:rsid w:val="00194CD4"/>
    <w:rsid w:val="00194D7B"/>
    <w:rsid w:val="00194F0E"/>
    <w:rsid w:val="00194FD6"/>
    <w:rsid w:val="0019509F"/>
    <w:rsid w:val="001950AD"/>
    <w:rsid w:val="0019510B"/>
    <w:rsid w:val="00195241"/>
    <w:rsid w:val="0019545D"/>
    <w:rsid w:val="0019554D"/>
    <w:rsid w:val="001956D3"/>
    <w:rsid w:val="0019577D"/>
    <w:rsid w:val="001958D2"/>
    <w:rsid w:val="00195C19"/>
    <w:rsid w:val="00195E03"/>
    <w:rsid w:val="00195E9F"/>
    <w:rsid w:val="00196111"/>
    <w:rsid w:val="001962EE"/>
    <w:rsid w:val="0019660A"/>
    <w:rsid w:val="0019666C"/>
    <w:rsid w:val="00196807"/>
    <w:rsid w:val="00196808"/>
    <w:rsid w:val="00196886"/>
    <w:rsid w:val="00196972"/>
    <w:rsid w:val="001969F5"/>
    <w:rsid w:val="00196A92"/>
    <w:rsid w:val="00196A96"/>
    <w:rsid w:val="00196BC3"/>
    <w:rsid w:val="00196C40"/>
    <w:rsid w:val="00196D90"/>
    <w:rsid w:val="00196E1C"/>
    <w:rsid w:val="00196E9D"/>
    <w:rsid w:val="00196F84"/>
    <w:rsid w:val="00197066"/>
    <w:rsid w:val="001973D2"/>
    <w:rsid w:val="001973E9"/>
    <w:rsid w:val="0019760D"/>
    <w:rsid w:val="0019768B"/>
    <w:rsid w:val="0019776B"/>
    <w:rsid w:val="001978D5"/>
    <w:rsid w:val="00197997"/>
    <w:rsid w:val="00197B67"/>
    <w:rsid w:val="00197B97"/>
    <w:rsid w:val="00197C43"/>
    <w:rsid w:val="001A00F5"/>
    <w:rsid w:val="001A0313"/>
    <w:rsid w:val="001A04E0"/>
    <w:rsid w:val="001A04FF"/>
    <w:rsid w:val="001A05BF"/>
    <w:rsid w:val="001A0A23"/>
    <w:rsid w:val="001A0A96"/>
    <w:rsid w:val="001A0B8C"/>
    <w:rsid w:val="001A1177"/>
    <w:rsid w:val="001A122B"/>
    <w:rsid w:val="001A1525"/>
    <w:rsid w:val="001A1601"/>
    <w:rsid w:val="001A19CA"/>
    <w:rsid w:val="001A2168"/>
    <w:rsid w:val="001A22CA"/>
    <w:rsid w:val="001A2343"/>
    <w:rsid w:val="001A24A3"/>
    <w:rsid w:val="001A26D5"/>
    <w:rsid w:val="001A2B6C"/>
    <w:rsid w:val="001A2CBD"/>
    <w:rsid w:val="001A2CCE"/>
    <w:rsid w:val="001A2D08"/>
    <w:rsid w:val="001A31EF"/>
    <w:rsid w:val="001A33DA"/>
    <w:rsid w:val="001A340D"/>
    <w:rsid w:val="001A34A6"/>
    <w:rsid w:val="001A36FB"/>
    <w:rsid w:val="001A38DE"/>
    <w:rsid w:val="001A3B2F"/>
    <w:rsid w:val="001A3DF1"/>
    <w:rsid w:val="001A418C"/>
    <w:rsid w:val="001A427E"/>
    <w:rsid w:val="001A48DD"/>
    <w:rsid w:val="001A4971"/>
    <w:rsid w:val="001A49B7"/>
    <w:rsid w:val="001A49DF"/>
    <w:rsid w:val="001A4B2F"/>
    <w:rsid w:val="001A4DCF"/>
    <w:rsid w:val="001A4EFF"/>
    <w:rsid w:val="001A4F83"/>
    <w:rsid w:val="001A5255"/>
    <w:rsid w:val="001A534D"/>
    <w:rsid w:val="001A5714"/>
    <w:rsid w:val="001A596B"/>
    <w:rsid w:val="001A597A"/>
    <w:rsid w:val="001A5A84"/>
    <w:rsid w:val="001A5AAE"/>
    <w:rsid w:val="001A5B09"/>
    <w:rsid w:val="001A5CD0"/>
    <w:rsid w:val="001A5E92"/>
    <w:rsid w:val="001A6116"/>
    <w:rsid w:val="001A618F"/>
    <w:rsid w:val="001A6229"/>
    <w:rsid w:val="001A62B4"/>
    <w:rsid w:val="001A63CD"/>
    <w:rsid w:val="001A63D0"/>
    <w:rsid w:val="001A654C"/>
    <w:rsid w:val="001A65E8"/>
    <w:rsid w:val="001A68B4"/>
    <w:rsid w:val="001A68E4"/>
    <w:rsid w:val="001A6A5E"/>
    <w:rsid w:val="001A6AEE"/>
    <w:rsid w:val="001A6BA6"/>
    <w:rsid w:val="001A6BEC"/>
    <w:rsid w:val="001A6C51"/>
    <w:rsid w:val="001A6FF4"/>
    <w:rsid w:val="001A7118"/>
    <w:rsid w:val="001A719F"/>
    <w:rsid w:val="001A7366"/>
    <w:rsid w:val="001A73AA"/>
    <w:rsid w:val="001A768C"/>
    <w:rsid w:val="001A76D7"/>
    <w:rsid w:val="001A76EE"/>
    <w:rsid w:val="001A77BF"/>
    <w:rsid w:val="001A786A"/>
    <w:rsid w:val="001A7A3A"/>
    <w:rsid w:val="001B023C"/>
    <w:rsid w:val="001B029F"/>
    <w:rsid w:val="001B0504"/>
    <w:rsid w:val="001B0612"/>
    <w:rsid w:val="001B074F"/>
    <w:rsid w:val="001B0824"/>
    <w:rsid w:val="001B0843"/>
    <w:rsid w:val="001B08C7"/>
    <w:rsid w:val="001B0A7B"/>
    <w:rsid w:val="001B0A8D"/>
    <w:rsid w:val="001B0D17"/>
    <w:rsid w:val="001B0D18"/>
    <w:rsid w:val="001B0EE0"/>
    <w:rsid w:val="001B1006"/>
    <w:rsid w:val="001B108B"/>
    <w:rsid w:val="001B1137"/>
    <w:rsid w:val="001B1146"/>
    <w:rsid w:val="001B131E"/>
    <w:rsid w:val="001B161C"/>
    <w:rsid w:val="001B17D0"/>
    <w:rsid w:val="001B1828"/>
    <w:rsid w:val="001B1927"/>
    <w:rsid w:val="001B1D4B"/>
    <w:rsid w:val="001B1F40"/>
    <w:rsid w:val="001B2184"/>
    <w:rsid w:val="001B233E"/>
    <w:rsid w:val="001B25AF"/>
    <w:rsid w:val="001B25B6"/>
    <w:rsid w:val="001B26B2"/>
    <w:rsid w:val="001B2B0F"/>
    <w:rsid w:val="001B2C99"/>
    <w:rsid w:val="001B2D72"/>
    <w:rsid w:val="001B2E0B"/>
    <w:rsid w:val="001B3087"/>
    <w:rsid w:val="001B314C"/>
    <w:rsid w:val="001B331A"/>
    <w:rsid w:val="001B34E1"/>
    <w:rsid w:val="001B3B58"/>
    <w:rsid w:val="001B3D41"/>
    <w:rsid w:val="001B419D"/>
    <w:rsid w:val="001B430F"/>
    <w:rsid w:val="001B4618"/>
    <w:rsid w:val="001B48F6"/>
    <w:rsid w:val="001B4C07"/>
    <w:rsid w:val="001B4C23"/>
    <w:rsid w:val="001B4D2C"/>
    <w:rsid w:val="001B4E64"/>
    <w:rsid w:val="001B4E8D"/>
    <w:rsid w:val="001B4EFA"/>
    <w:rsid w:val="001B539F"/>
    <w:rsid w:val="001B5417"/>
    <w:rsid w:val="001B5683"/>
    <w:rsid w:val="001B58C3"/>
    <w:rsid w:val="001B590F"/>
    <w:rsid w:val="001B5ABB"/>
    <w:rsid w:val="001B5C52"/>
    <w:rsid w:val="001B5D65"/>
    <w:rsid w:val="001B5FEC"/>
    <w:rsid w:val="001B6082"/>
    <w:rsid w:val="001B60EA"/>
    <w:rsid w:val="001B61E0"/>
    <w:rsid w:val="001B65AE"/>
    <w:rsid w:val="001B663C"/>
    <w:rsid w:val="001B6A8A"/>
    <w:rsid w:val="001B6B8A"/>
    <w:rsid w:val="001B6C24"/>
    <w:rsid w:val="001B6C8B"/>
    <w:rsid w:val="001B70C3"/>
    <w:rsid w:val="001B71B0"/>
    <w:rsid w:val="001B72BB"/>
    <w:rsid w:val="001B72E3"/>
    <w:rsid w:val="001B741A"/>
    <w:rsid w:val="001B745F"/>
    <w:rsid w:val="001B76D9"/>
    <w:rsid w:val="001B7833"/>
    <w:rsid w:val="001B78D8"/>
    <w:rsid w:val="001B7A55"/>
    <w:rsid w:val="001B7DAD"/>
    <w:rsid w:val="001C0094"/>
    <w:rsid w:val="001C01AF"/>
    <w:rsid w:val="001C0220"/>
    <w:rsid w:val="001C0298"/>
    <w:rsid w:val="001C02B8"/>
    <w:rsid w:val="001C045D"/>
    <w:rsid w:val="001C06C6"/>
    <w:rsid w:val="001C06E9"/>
    <w:rsid w:val="001C0AC2"/>
    <w:rsid w:val="001C0C10"/>
    <w:rsid w:val="001C0CA8"/>
    <w:rsid w:val="001C0ED2"/>
    <w:rsid w:val="001C0F35"/>
    <w:rsid w:val="001C0F4A"/>
    <w:rsid w:val="001C0F67"/>
    <w:rsid w:val="001C0FD8"/>
    <w:rsid w:val="001C0FE7"/>
    <w:rsid w:val="001C1060"/>
    <w:rsid w:val="001C107A"/>
    <w:rsid w:val="001C1083"/>
    <w:rsid w:val="001C1112"/>
    <w:rsid w:val="001C1159"/>
    <w:rsid w:val="001C12E9"/>
    <w:rsid w:val="001C145E"/>
    <w:rsid w:val="001C17DA"/>
    <w:rsid w:val="001C182E"/>
    <w:rsid w:val="001C1932"/>
    <w:rsid w:val="001C19B2"/>
    <w:rsid w:val="001C1A16"/>
    <w:rsid w:val="001C1BC4"/>
    <w:rsid w:val="001C20BD"/>
    <w:rsid w:val="001C20F8"/>
    <w:rsid w:val="001C216C"/>
    <w:rsid w:val="001C2191"/>
    <w:rsid w:val="001C231F"/>
    <w:rsid w:val="001C260A"/>
    <w:rsid w:val="001C2632"/>
    <w:rsid w:val="001C2759"/>
    <w:rsid w:val="001C2ADE"/>
    <w:rsid w:val="001C2C44"/>
    <w:rsid w:val="001C2CEA"/>
    <w:rsid w:val="001C3386"/>
    <w:rsid w:val="001C3523"/>
    <w:rsid w:val="001C3642"/>
    <w:rsid w:val="001C3890"/>
    <w:rsid w:val="001C38FC"/>
    <w:rsid w:val="001C3A04"/>
    <w:rsid w:val="001C3D35"/>
    <w:rsid w:val="001C3EA5"/>
    <w:rsid w:val="001C4084"/>
    <w:rsid w:val="001C432E"/>
    <w:rsid w:val="001C45D8"/>
    <w:rsid w:val="001C4739"/>
    <w:rsid w:val="001C4862"/>
    <w:rsid w:val="001C4890"/>
    <w:rsid w:val="001C4973"/>
    <w:rsid w:val="001C4A5B"/>
    <w:rsid w:val="001C4A92"/>
    <w:rsid w:val="001C4E5E"/>
    <w:rsid w:val="001C5082"/>
    <w:rsid w:val="001C51F1"/>
    <w:rsid w:val="001C5235"/>
    <w:rsid w:val="001C52C5"/>
    <w:rsid w:val="001C554C"/>
    <w:rsid w:val="001C5581"/>
    <w:rsid w:val="001C55C3"/>
    <w:rsid w:val="001C55FC"/>
    <w:rsid w:val="001C563D"/>
    <w:rsid w:val="001C5719"/>
    <w:rsid w:val="001C57A1"/>
    <w:rsid w:val="001C5868"/>
    <w:rsid w:val="001C5A67"/>
    <w:rsid w:val="001C5AD6"/>
    <w:rsid w:val="001C6041"/>
    <w:rsid w:val="001C61DE"/>
    <w:rsid w:val="001C6298"/>
    <w:rsid w:val="001C63DF"/>
    <w:rsid w:val="001C6841"/>
    <w:rsid w:val="001C6968"/>
    <w:rsid w:val="001C6AB6"/>
    <w:rsid w:val="001C6B1D"/>
    <w:rsid w:val="001C6BE5"/>
    <w:rsid w:val="001C6DC9"/>
    <w:rsid w:val="001C6DDA"/>
    <w:rsid w:val="001C6EBE"/>
    <w:rsid w:val="001C6EE8"/>
    <w:rsid w:val="001C71CD"/>
    <w:rsid w:val="001C737E"/>
    <w:rsid w:val="001C74E4"/>
    <w:rsid w:val="001C7826"/>
    <w:rsid w:val="001C793F"/>
    <w:rsid w:val="001C7A49"/>
    <w:rsid w:val="001C7DCC"/>
    <w:rsid w:val="001C7FFD"/>
    <w:rsid w:val="001D00A4"/>
    <w:rsid w:val="001D0344"/>
    <w:rsid w:val="001D0486"/>
    <w:rsid w:val="001D04BB"/>
    <w:rsid w:val="001D0719"/>
    <w:rsid w:val="001D0950"/>
    <w:rsid w:val="001D0B0C"/>
    <w:rsid w:val="001D0BF4"/>
    <w:rsid w:val="001D0FC7"/>
    <w:rsid w:val="001D0FD3"/>
    <w:rsid w:val="001D11E0"/>
    <w:rsid w:val="001D120B"/>
    <w:rsid w:val="001D129E"/>
    <w:rsid w:val="001D13F1"/>
    <w:rsid w:val="001D1548"/>
    <w:rsid w:val="001D160A"/>
    <w:rsid w:val="001D17A2"/>
    <w:rsid w:val="001D17D4"/>
    <w:rsid w:val="001D1827"/>
    <w:rsid w:val="001D18BA"/>
    <w:rsid w:val="001D18D5"/>
    <w:rsid w:val="001D1A6F"/>
    <w:rsid w:val="001D1D05"/>
    <w:rsid w:val="001D2019"/>
    <w:rsid w:val="001D2914"/>
    <w:rsid w:val="001D29E1"/>
    <w:rsid w:val="001D2D4C"/>
    <w:rsid w:val="001D2FD0"/>
    <w:rsid w:val="001D2FFE"/>
    <w:rsid w:val="001D3125"/>
    <w:rsid w:val="001D3303"/>
    <w:rsid w:val="001D34CB"/>
    <w:rsid w:val="001D3898"/>
    <w:rsid w:val="001D3C3E"/>
    <w:rsid w:val="001D3DE6"/>
    <w:rsid w:val="001D3F1B"/>
    <w:rsid w:val="001D401C"/>
    <w:rsid w:val="001D4114"/>
    <w:rsid w:val="001D41AB"/>
    <w:rsid w:val="001D4493"/>
    <w:rsid w:val="001D44DE"/>
    <w:rsid w:val="001D454B"/>
    <w:rsid w:val="001D4976"/>
    <w:rsid w:val="001D49BB"/>
    <w:rsid w:val="001D4A70"/>
    <w:rsid w:val="001D4C24"/>
    <w:rsid w:val="001D4D3A"/>
    <w:rsid w:val="001D4F09"/>
    <w:rsid w:val="001D5109"/>
    <w:rsid w:val="001D5289"/>
    <w:rsid w:val="001D52EA"/>
    <w:rsid w:val="001D5447"/>
    <w:rsid w:val="001D5727"/>
    <w:rsid w:val="001D578E"/>
    <w:rsid w:val="001D581C"/>
    <w:rsid w:val="001D594F"/>
    <w:rsid w:val="001D5A48"/>
    <w:rsid w:val="001D5A4A"/>
    <w:rsid w:val="001D5ADA"/>
    <w:rsid w:val="001D5B5E"/>
    <w:rsid w:val="001D5C1F"/>
    <w:rsid w:val="001D5EEB"/>
    <w:rsid w:val="001D5F94"/>
    <w:rsid w:val="001D608D"/>
    <w:rsid w:val="001D6361"/>
    <w:rsid w:val="001D678B"/>
    <w:rsid w:val="001D67A5"/>
    <w:rsid w:val="001D6F2B"/>
    <w:rsid w:val="001D7011"/>
    <w:rsid w:val="001D741D"/>
    <w:rsid w:val="001D7514"/>
    <w:rsid w:val="001D787C"/>
    <w:rsid w:val="001D7944"/>
    <w:rsid w:val="001D7C74"/>
    <w:rsid w:val="001D7D20"/>
    <w:rsid w:val="001D7E9E"/>
    <w:rsid w:val="001E0404"/>
    <w:rsid w:val="001E0425"/>
    <w:rsid w:val="001E049F"/>
    <w:rsid w:val="001E04A8"/>
    <w:rsid w:val="001E04F4"/>
    <w:rsid w:val="001E08C0"/>
    <w:rsid w:val="001E0A66"/>
    <w:rsid w:val="001E0B9A"/>
    <w:rsid w:val="001E0BCC"/>
    <w:rsid w:val="001E0E59"/>
    <w:rsid w:val="001E1098"/>
    <w:rsid w:val="001E130B"/>
    <w:rsid w:val="001E137A"/>
    <w:rsid w:val="001E145F"/>
    <w:rsid w:val="001E1573"/>
    <w:rsid w:val="001E1B33"/>
    <w:rsid w:val="001E1D4E"/>
    <w:rsid w:val="001E1D9A"/>
    <w:rsid w:val="001E2050"/>
    <w:rsid w:val="001E20EB"/>
    <w:rsid w:val="001E22C0"/>
    <w:rsid w:val="001E22CD"/>
    <w:rsid w:val="001E29C7"/>
    <w:rsid w:val="001E2B22"/>
    <w:rsid w:val="001E2C1B"/>
    <w:rsid w:val="001E2C6A"/>
    <w:rsid w:val="001E3019"/>
    <w:rsid w:val="001E3825"/>
    <w:rsid w:val="001E3947"/>
    <w:rsid w:val="001E3960"/>
    <w:rsid w:val="001E39C1"/>
    <w:rsid w:val="001E3B9D"/>
    <w:rsid w:val="001E3E08"/>
    <w:rsid w:val="001E3EC2"/>
    <w:rsid w:val="001E418C"/>
    <w:rsid w:val="001E4394"/>
    <w:rsid w:val="001E4416"/>
    <w:rsid w:val="001E45F1"/>
    <w:rsid w:val="001E46A9"/>
    <w:rsid w:val="001E47D8"/>
    <w:rsid w:val="001E4956"/>
    <w:rsid w:val="001E4974"/>
    <w:rsid w:val="001E49B8"/>
    <w:rsid w:val="001E4C0E"/>
    <w:rsid w:val="001E4C7A"/>
    <w:rsid w:val="001E4D01"/>
    <w:rsid w:val="001E50E6"/>
    <w:rsid w:val="001E54D9"/>
    <w:rsid w:val="001E55AE"/>
    <w:rsid w:val="001E5689"/>
    <w:rsid w:val="001E578C"/>
    <w:rsid w:val="001E5963"/>
    <w:rsid w:val="001E5AFE"/>
    <w:rsid w:val="001E5C73"/>
    <w:rsid w:val="001E5D18"/>
    <w:rsid w:val="001E5E2A"/>
    <w:rsid w:val="001E5F1E"/>
    <w:rsid w:val="001E629B"/>
    <w:rsid w:val="001E6360"/>
    <w:rsid w:val="001E636F"/>
    <w:rsid w:val="001E648B"/>
    <w:rsid w:val="001E656F"/>
    <w:rsid w:val="001E6669"/>
    <w:rsid w:val="001E668E"/>
    <w:rsid w:val="001E6A01"/>
    <w:rsid w:val="001E6A46"/>
    <w:rsid w:val="001E6A85"/>
    <w:rsid w:val="001E6DEC"/>
    <w:rsid w:val="001E6E91"/>
    <w:rsid w:val="001E743D"/>
    <w:rsid w:val="001E744A"/>
    <w:rsid w:val="001E75AC"/>
    <w:rsid w:val="001E76CD"/>
    <w:rsid w:val="001E7969"/>
    <w:rsid w:val="001E7DB7"/>
    <w:rsid w:val="001E7DB9"/>
    <w:rsid w:val="001F001B"/>
    <w:rsid w:val="001F02A6"/>
    <w:rsid w:val="001F03A7"/>
    <w:rsid w:val="001F0419"/>
    <w:rsid w:val="001F0635"/>
    <w:rsid w:val="001F07FD"/>
    <w:rsid w:val="001F0800"/>
    <w:rsid w:val="001F0BA7"/>
    <w:rsid w:val="001F0E80"/>
    <w:rsid w:val="001F0EFA"/>
    <w:rsid w:val="001F0F07"/>
    <w:rsid w:val="001F0F6C"/>
    <w:rsid w:val="001F0F79"/>
    <w:rsid w:val="001F11B2"/>
    <w:rsid w:val="001F127F"/>
    <w:rsid w:val="001F1BCF"/>
    <w:rsid w:val="001F1C24"/>
    <w:rsid w:val="001F1E82"/>
    <w:rsid w:val="001F207C"/>
    <w:rsid w:val="001F2599"/>
    <w:rsid w:val="001F2B7A"/>
    <w:rsid w:val="001F2E66"/>
    <w:rsid w:val="001F309C"/>
    <w:rsid w:val="001F31DD"/>
    <w:rsid w:val="001F326F"/>
    <w:rsid w:val="001F337E"/>
    <w:rsid w:val="001F36AC"/>
    <w:rsid w:val="001F3792"/>
    <w:rsid w:val="001F38A8"/>
    <w:rsid w:val="001F3A75"/>
    <w:rsid w:val="001F3D27"/>
    <w:rsid w:val="001F3F03"/>
    <w:rsid w:val="001F42ED"/>
    <w:rsid w:val="001F4308"/>
    <w:rsid w:val="001F4663"/>
    <w:rsid w:val="001F4945"/>
    <w:rsid w:val="001F4ACC"/>
    <w:rsid w:val="001F4FB9"/>
    <w:rsid w:val="001F50A3"/>
    <w:rsid w:val="001F57C2"/>
    <w:rsid w:val="001F5911"/>
    <w:rsid w:val="001F5B28"/>
    <w:rsid w:val="001F5C8A"/>
    <w:rsid w:val="001F5F62"/>
    <w:rsid w:val="001F616D"/>
    <w:rsid w:val="001F63E8"/>
    <w:rsid w:val="001F6A91"/>
    <w:rsid w:val="001F6B9D"/>
    <w:rsid w:val="001F6BCE"/>
    <w:rsid w:val="001F6C76"/>
    <w:rsid w:val="001F6CE9"/>
    <w:rsid w:val="001F6FEC"/>
    <w:rsid w:val="001F7164"/>
    <w:rsid w:val="001F71AF"/>
    <w:rsid w:val="001F72BA"/>
    <w:rsid w:val="001F7A8F"/>
    <w:rsid w:val="001F7AC9"/>
    <w:rsid w:val="001F7AFF"/>
    <w:rsid w:val="001F7C74"/>
    <w:rsid w:val="00200580"/>
    <w:rsid w:val="002005B1"/>
    <w:rsid w:val="00200650"/>
    <w:rsid w:val="00200A04"/>
    <w:rsid w:val="00200D97"/>
    <w:rsid w:val="00201318"/>
    <w:rsid w:val="00201360"/>
    <w:rsid w:val="00201713"/>
    <w:rsid w:val="00201747"/>
    <w:rsid w:val="002017BC"/>
    <w:rsid w:val="00201AE5"/>
    <w:rsid w:val="00201BA2"/>
    <w:rsid w:val="00201C92"/>
    <w:rsid w:val="00201F22"/>
    <w:rsid w:val="0020237B"/>
    <w:rsid w:val="00202412"/>
    <w:rsid w:val="00202465"/>
    <w:rsid w:val="002024E5"/>
    <w:rsid w:val="00202A50"/>
    <w:rsid w:val="00202AB3"/>
    <w:rsid w:val="00202B8A"/>
    <w:rsid w:val="00202CC1"/>
    <w:rsid w:val="00202CE9"/>
    <w:rsid w:val="00202CF0"/>
    <w:rsid w:val="00202D20"/>
    <w:rsid w:val="00203264"/>
    <w:rsid w:val="002033E0"/>
    <w:rsid w:val="00203405"/>
    <w:rsid w:val="002034E6"/>
    <w:rsid w:val="00203959"/>
    <w:rsid w:val="00203967"/>
    <w:rsid w:val="002039E1"/>
    <w:rsid w:val="00203A20"/>
    <w:rsid w:val="00203A2A"/>
    <w:rsid w:val="00203E82"/>
    <w:rsid w:val="00203EEF"/>
    <w:rsid w:val="00204041"/>
    <w:rsid w:val="0020412C"/>
    <w:rsid w:val="002041B7"/>
    <w:rsid w:val="002045CD"/>
    <w:rsid w:val="00204683"/>
    <w:rsid w:val="002048F0"/>
    <w:rsid w:val="002048F7"/>
    <w:rsid w:val="00204BE9"/>
    <w:rsid w:val="00204C47"/>
    <w:rsid w:val="00204DC5"/>
    <w:rsid w:val="00204DEB"/>
    <w:rsid w:val="00204EC9"/>
    <w:rsid w:val="002053BB"/>
    <w:rsid w:val="00205469"/>
    <w:rsid w:val="002054C8"/>
    <w:rsid w:val="00205789"/>
    <w:rsid w:val="002058C0"/>
    <w:rsid w:val="002058E6"/>
    <w:rsid w:val="00205A5B"/>
    <w:rsid w:val="00205D10"/>
    <w:rsid w:val="00205E26"/>
    <w:rsid w:val="0020635E"/>
    <w:rsid w:val="00206525"/>
    <w:rsid w:val="002066DF"/>
    <w:rsid w:val="002066E9"/>
    <w:rsid w:val="002067ED"/>
    <w:rsid w:val="0020686D"/>
    <w:rsid w:val="00206BEB"/>
    <w:rsid w:val="00206C2B"/>
    <w:rsid w:val="00206D8C"/>
    <w:rsid w:val="00206FA9"/>
    <w:rsid w:val="0020727C"/>
    <w:rsid w:val="002072BC"/>
    <w:rsid w:val="002077CB"/>
    <w:rsid w:val="00207829"/>
    <w:rsid w:val="0020784D"/>
    <w:rsid w:val="00207905"/>
    <w:rsid w:val="00207A35"/>
    <w:rsid w:val="00210125"/>
    <w:rsid w:val="002101A6"/>
    <w:rsid w:val="002105EB"/>
    <w:rsid w:val="002108A0"/>
    <w:rsid w:val="002109B4"/>
    <w:rsid w:val="00210BF3"/>
    <w:rsid w:val="00210FCF"/>
    <w:rsid w:val="002110DC"/>
    <w:rsid w:val="002110DD"/>
    <w:rsid w:val="002110F3"/>
    <w:rsid w:val="00211715"/>
    <w:rsid w:val="00211794"/>
    <w:rsid w:val="002118CE"/>
    <w:rsid w:val="00211F79"/>
    <w:rsid w:val="00212012"/>
    <w:rsid w:val="0021219F"/>
    <w:rsid w:val="002123A4"/>
    <w:rsid w:val="002123B7"/>
    <w:rsid w:val="002123ED"/>
    <w:rsid w:val="00212718"/>
    <w:rsid w:val="00212791"/>
    <w:rsid w:val="002128D0"/>
    <w:rsid w:val="00212BCC"/>
    <w:rsid w:val="00212C61"/>
    <w:rsid w:val="00212DF2"/>
    <w:rsid w:val="00212FD0"/>
    <w:rsid w:val="00213119"/>
    <w:rsid w:val="00213370"/>
    <w:rsid w:val="00213601"/>
    <w:rsid w:val="0021377F"/>
    <w:rsid w:val="0021399D"/>
    <w:rsid w:val="002139B7"/>
    <w:rsid w:val="00213A69"/>
    <w:rsid w:val="00213E2C"/>
    <w:rsid w:val="00214027"/>
    <w:rsid w:val="0021418B"/>
    <w:rsid w:val="00214200"/>
    <w:rsid w:val="002147BF"/>
    <w:rsid w:val="0021482C"/>
    <w:rsid w:val="00214A3D"/>
    <w:rsid w:val="00214EBC"/>
    <w:rsid w:val="00215014"/>
    <w:rsid w:val="0021548D"/>
    <w:rsid w:val="00215622"/>
    <w:rsid w:val="002156C4"/>
    <w:rsid w:val="00215B42"/>
    <w:rsid w:val="00215E13"/>
    <w:rsid w:val="00215F5E"/>
    <w:rsid w:val="00216149"/>
    <w:rsid w:val="00216346"/>
    <w:rsid w:val="0021634A"/>
    <w:rsid w:val="00216522"/>
    <w:rsid w:val="0021653D"/>
    <w:rsid w:val="00216579"/>
    <w:rsid w:val="0021657B"/>
    <w:rsid w:val="002165DE"/>
    <w:rsid w:val="0021697B"/>
    <w:rsid w:val="00216B6E"/>
    <w:rsid w:val="00216C01"/>
    <w:rsid w:val="00216C12"/>
    <w:rsid w:val="00216D07"/>
    <w:rsid w:val="00216D33"/>
    <w:rsid w:val="0021734A"/>
    <w:rsid w:val="00217497"/>
    <w:rsid w:val="002175FC"/>
    <w:rsid w:val="002176B1"/>
    <w:rsid w:val="002176F6"/>
    <w:rsid w:val="002177A5"/>
    <w:rsid w:val="002177DA"/>
    <w:rsid w:val="00217A8D"/>
    <w:rsid w:val="00217A9E"/>
    <w:rsid w:val="00217AD5"/>
    <w:rsid w:val="00217BBF"/>
    <w:rsid w:val="00217EDE"/>
    <w:rsid w:val="00217F42"/>
    <w:rsid w:val="00217F8E"/>
    <w:rsid w:val="0022002B"/>
    <w:rsid w:val="00220184"/>
    <w:rsid w:val="00220266"/>
    <w:rsid w:val="0022049B"/>
    <w:rsid w:val="00220814"/>
    <w:rsid w:val="00220892"/>
    <w:rsid w:val="00220D2D"/>
    <w:rsid w:val="00220DE6"/>
    <w:rsid w:val="00220E01"/>
    <w:rsid w:val="00221033"/>
    <w:rsid w:val="00221336"/>
    <w:rsid w:val="002213F5"/>
    <w:rsid w:val="00221574"/>
    <w:rsid w:val="00221597"/>
    <w:rsid w:val="002215EC"/>
    <w:rsid w:val="0022180E"/>
    <w:rsid w:val="00221AE5"/>
    <w:rsid w:val="00221B5E"/>
    <w:rsid w:val="00221F34"/>
    <w:rsid w:val="0022203D"/>
    <w:rsid w:val="00222051"/>
    <w:rsid w:val="00222378"/>
    <w:rsid w:val="0022259B"/>
    <w:rsid w:val="00222742"/>
    <w:rsid w:val="0022277E"/>
    <w:rsid w:val="00222A2A"/>
    <w:rsid w:val="00222A3D"/>
    <w:rsid w:val="00222AEC"/>
    <w:rsid w:val="00222C6B"/>
    <w:rsid w:val="00222DAE"/>
    <w:rsid w:val="00222DD7"/>
    <w:rsid w:val="00222EF0"/>
    <w:rsid w:val="00223058"/>
    <w:rsid w:val="002230CF"/>
    <w:rsid w:val="0022317E"/>
    <w:rsid w:val="00223232"/>
    <w:rsid w:val="00223376"/>
    <w:rsid w:val="0022352A"/>
    <w:rsid w:val="002239AB"/>
    <w:rsid w:val="00223AD6"/>
    <w:rsid w:val="00223AE8"/>
    <w:rsid w:val="00223D54"/>
    <w:rsid w:val="00223E0D"/>
    <w:rsid w:val="00223E2E"/>
    <w:rsid w:val="0022404E"/>
    <w:rsid w:val="00224286"/>
    <w:rsid w:val="00224288"/>
    <w:rsid w:val="002242D8"/>
    <w:rsid w:val="002243C4"/>
    <w:rsid w:val="0022474C"/>
    <w:rsid w:val="00224871"/>
    <w:rsid w:val="002248E3"/>
    <w:rsid w:val="002249F5"/>
    <w:rsid w:val="00224A71"/>
    <w:rsid w:val="00224DD9"/>
    <w:rsid w:val="00224F29"/>
    <w:rsid w:val="00224F50"/>
    <w:rsid w:val="002251F0"/>
    <w:rsid w:val="0022549A"/>
    <w:rsid w:val="00225622"/>
    <w:rsid w:val="00225949"/>
    <w:rsid w:val="0022594E"/>
    <w:rsid w:val="00225BCF"/>
    <w:rsid w:val="00225DAC"/>
    <w:rsid w:val="00225DB9"/>
    <w:rsid w:val="00225E80"/>
    <w:rsid w:val="00225EEB"/>
    <w:rsid w:val="00226491"/>
    <w:rsid w:val="00226560"/>
    <w:rsid w:val="00226611"/>
    <w:rsid w:val="0022663E"/>
    <w:rsid w:val="00226946"/>
    <w:rsid w:val="00226A6D"/>
    <w:rsid w:val="00226A70"/>
    <w:rsid w:val="00226B70"/>
    <w:rsid w:val="00226BCF"/>
    <w:rsid w:val="00226F9B"/>
    <w:rsid w:val="002270C1"/>
    <w:rsid w:val="00227309"/>
    <w:rsid w:val="0022731F"/>
    <w:rsid w:val="002273CA"/>
    <w:rsid w:val="00227406"/>
    <w:rsid w:val="0022747E"/>
    <w:rsid w:val="0022748B"/>
    <w:rsid w:val="00227567"/>
    <w:rsid w:val="002277E4"/>
    <w:rsid w:val="00227841"/>
    <w:rsid w:val="002278CD"/>
    <w:rsid w:val="002279D9"/>
    <w:rsid w:val="00227C39"/>
    <w:rsid w:val="00227CD2"/>
    <w:rsid w:val="00227CFB"/>
    <w:rsid w:val="00227D4D"/>
    <w:rsid w:val="00227FC8"/>
    <w:rsid w:val="00227FE1"/>
    <w:rsid w:val="00230035"/>
    <w:rsid w:val="002302A4"/>
    <w:rsid w:val="002304BF"/>
    <w:rsid w:val="00230963"/>
    <w:rsid w:val="00230A06"/>
    <w:rsid w:val="00230A0E"/>
    <w:rsid w:val="00230CB3"/>
    <w:rsid w:val="00230CE5"/>
    <w:rsid w:val="00230D3C"/>
    <w:rsid w:val="00230F3E"/>
    <w:rsid w:val="002311CB"/>
    <w:rsid w:val="00231222"/>
    <w:rsid w:val="00231287"/>
    <w:rsid w:val="00231442"/>
    <w:rsid w:val="00231678"/>
    <w:rsid w:val="0023171E"/>
    <w:rsid w:val="002318C4"/>
    <w:rsid w:val="00231AA5"/>
    <w:rsid w:val="00231BB3"/>
    <w:rsid w:val="002320D0"/>
    <w:rsid w:val="002326E2"/>
    <w:rsid w:val="0023273C"/>
    <w:rsid w:val="002327FB"/>
    <w:rsid w:val="00232ECA"/>
    <w:rsid w:val="00232F09"/>
    <w:rsid w:val="00232F10"/>
    <w:rsid w:val="00232FA2"/>
    <w:rsid w:val="00233082"/>
    <w:rsid w:val="00233717"/>
    <w:rsid w:val="0023373B"/>
    <w:rsid w:val="00233947"/>
    <w:rsid w:val="00233AFF"/>
    <w:rsid w:val="00233B35"/>
    <w:rsid w:val="00233E23"/>
    <w:rsid w:val="00233ECA"/>
    <w:rsid w:val="00234181"/>
    <w:rsid w:val="00234A4F"/>
    <w:rsid w:val="00234A73"/>
    <w:rsid w:val="00234FDC"/>
    <w:rsid w:val="00235070"/>
    <w:rsid w:val="00235327"/>
    <w:rsid w:val="0023539B"/>
    <w:rsid w:val="0023549E"/>
    <w:rsid w:val="002355CD"/>
    <w:rsid w:val="00235692"/>
    <w:rsid w:val="00235A20"/>
    <w:rsid w:val="00235B72"/>
    <w:rsid w:val="00235BE9"/>
    <w:rsid w:val="002362D0"/>
    <w:rsid w:val="00236400"/>
    <w:rsid w:val="0023654E"/>
    <w:rsid w:val="002365AC"/>
    <w:rsid w:val="00236727"/>
    <w:rsid w:val="00236A00"/>
    <w:rsid w:val="00236D7A"/>
    <w:rsid w:val="00236DAE"/>
    <w:rsid w:val="00236ED9"/>
    <w:rsid w:val="00236FCD"/>
    <w:rsid w:val="00236FE8"/>
    <w:rsid w:val="002371C6"/>
    <w:rsid w:val="002371D4"/>
    <w:rsid w:val="002371FD"/>
    <w:rsid w:val="0023739D"/>
    <w:rsid w:val="002374F9"/>
    <w:rsid w:val="002376DC"/>
    <w:rsid w:val="00237927"/>
    <w:rsid w:val="002379ED"/>
    <w:rsid w:val="00237AAD"/>
    <w:rsid w:val="00237AE2"/>
    <w:rsid w:val="00237B7A"/>
    <w:rsid w:val="00237C19"/>
    <w:rsid w:val="00237D4D"/>
    <w:rsid w:val="00237E30"/>
    <w:rsid w:val="00237F8F"/>
    <w:rsid w:val="00240001"/>
    <w:rsid w:val="002402AC"/>
    <w:rsid w:val="0024057E"/>
    <w:rsid w:val="00240595"/>
    <w:rsid w:val="002405C0"/>
    <w:rsid w:val="00240622"/>
    <w:rsid w:val="0024075F"/>
    <w:rsid w:val="002407AD"/>
    <w:rsid w:val="002408D6"/>
    <w:rsid w:val="002408F7"/>
    <w:rsid w:val="00240A52"/>
    <w:rsid w:val="00240C24"/>
    <w:rsid w:val="00240C59"/>
    <w:rsid w:val="00240CC3"/>
    <w:rsid w:val="00240D79"/>
    <w:rsid w:val="00241187"/>
    <w:rsid w:val="002411F5"/>
    <w:rsid w:val="00241289"/>
    <w:rsid w:val="002414FA"/>
    <w:rsid w:val="0024160E"/>
    <w:rsid w:val="00241709"/>
    <w:rsid w:val="0024185F"/>
    <w:rsid w:val="00241A13"/>
    <w:rsid w:val="00241AF6"/>
    <w:rsid w:val="00241B28"/>
    <w:rsid w:val="00241D5B"/>
    <w:rsid w:val="00241DE8"/>
    <w:rsid w:val="00241F35"/>
    <w:rsid w:val="0024246B"/>
    <w:rsid w:val="002425C9"/>
    <w:rsid w:val="00242695"/>
    <w:rsid w:val="0024297F"/>
    <w:rsid w:val="0024298F"/>
    <w:rsid w:val="00242BBB"/>
    <w:rsid w:val="00242DEA"/>
    <w:rsid w:val="00243020"/>
    <w:rsid w:val="0024308F"/>
    <w:rsid w:val="00243180"/>
    <w:rsid w:val="002435A8"/>
    <w:rsid w:val="00243628"/>
    <w:rsid w:val="002436D9"/>
    <w:rsid w:val="00243725"/>
    <w:rsid w:val="002439DA"/>
    <w:rsid w:val="00243BAC"/>
    <w:rsid w:val="00243C56"/>
    <w:rsid w:val="00243C67"/>
    <w:rsid w:val="00243FE6"/>
    <w:rsid w:val="0024430E"/>
    <w:rsid w:val="002443FE"/>
    <w:rsid w:val="0024446B"/>
    <w:rsid w:val="00244868"/>
    <w:rsid w:val="002449FC"/>
    <w:rsid w:val="00244A2E"/>
    <w:rsid w:val="00244BEA"/>
    <w:rsid w:val="0024535E"/>
    <w:rsid w:val="0024547D"/>
    <w:rsid w:val="0024552C"/>
    <w:rsid w:val="00245587"/>
    <w:rsid w:val="00245666"/>
    <w:rsid w:val="002456E2"/>
    <w:rsid w:val="002456EA"/>
    <w:rsid w:val="00245E6F"/>
    <w:rsid w:val="00245F89"/>
    <w:rsid w:val="00245FA5"/>
    <w:rsid w:val="00246018"/>
    <w:rsid w:val="0024622B"/>
    <w:rsid w:val="0024627A"/>
    <w:rsid w:val="00246323"/>
    <w:rsid w:val="002464FB"/>
    <w:rsid w:val="00246546"/>
    <w:rsid w:val="002465D8"/>
    <w:rsid w:val="00246673"/>
    <w:rsid w:val="002466CE"/>
    <w:rsid w:val="00246719"/>
    <w:rsid w:val="00246A29"/>
    <w:rsid w:val="00246C80"/>
    <w:rsid w:val="002470B8"/>
    <w:rsid w:val="00247122"/>
    <w:rsid w:val="0024717C"/>
    <w:rsid w:val="00247391"/>
    <w:rsid w:val="00247475"/>
    <w:rsid w:val="0024765F"/>
    <w:rsid w:val="00247707"/>
    <w:rsid w:val="00247C16"/>
    <w:rsid w:val="00247C3D"/>
    <w:rsid w:val="00247E8F"/>
    <w:rsid w:val="00250065"/>
    <w:rsid w:val="002502AE"/>
    <w:rsid w:val="002502F1"/>
    <w:rsid w:val="00250449"/>
    <w:rsid w:val="002506F5"/>
    <w:rsid w:val="00250819"/>
    <w:rsid w:val="00250845"/>
    <w:rsid w:val="002508F9"/>
    <w:rsid w:val="002509DF"/>
    <w:rsid w:val="002509EE"/>
    <w:rsid w:val="00250D06"/>
    <w:rsid w:val="00250D1E"/>
    <w:rsid w:val="00250D3B"/>
    <w:rsid w:val="00250E17"/>
    <w:rsid w:val="002510D7"/>
    <w:rsid w:val="002510EF"/>
    <w:rsid w:val="00251117"/>
    <w:rsid w:val="00251124"/>
    <w:rsid w:val="00251596"/>
    <w:rsid w:val="002517AD"/>
    <w:rsid w:val="002518AF"/>
    <w:rsid w:val="00251B31"/>
    <w:rsid w:val="00251B8B"/>
    <w:rsid w:val="00251C33"/>
    <w:rsid w:val="00251DE1"/>
    <w:rsid w:val="00251DE7"/>
    <w:rsid w:val="00251E4B"/>
    <w:rsid w:val="00252068"/>
    <w:rsid w:val="00252167"/>
    <w:rsid w:val="002521F8"/>
    <w:rsid w:val="00252218"/>
    <w:rsid w:val="0025270E"/>
    <w:rsid w:val="00252784"/>
    <w:rsid w:val="00252B4E"/>
    <w:rsid w:val="00252BD3"/>
    <w:rsid w:val="00252C4C"/>
    <w:rsid w:val="00252DEA"/>
    <w:rsid w:val="00252DEE"/>
    <w:rsid w:val="002531DE"/>
    <w:rsid w:val="00253503"/>
    <w:rsid w:val="00253691"/>
    <w:rsid w:val="002537BB"/>
    <w:rsid w:val="00253B15"/>
    <w:rsid w:val="00253C54"/>
    <w:rsid w:val="00253D2F"/>
    <w:rsid w:val="00253ED1"/>
    <w:rsid w:val="00253F4F"/>
    <w:rsid w:val="00253F9F"/>
    <w:rsid w:val="00254195"/>
    <w:rsid w:val="002543CC"/>
    <w:rsid w:val="0025454F"/>
    <w:rsid w:val="002545A9"/>
    <w:rsid w:val="002547E8"/>
    <w:rsid w:val="00254924"/>
    <w:rsid w:val="00254974"/>
    <w:rsid w:val="002552E9"/>
    <w:rsid w:val="0025549D"/>
    <w:rsid w:val="00255653"/>
    <w:rsid w:val="002556E2"/>
    <w:rsid w:val="00255803"/>
    <w:rsid w:val="002558DD"/>
    <w:rsid w:val="00255974"/>
    <w:rsid w:val="00255A58"/>
    <w:rsid w:val="00255C41"/>
    <w:rsid w:val="00255E68"/>
    <w:rsid w:val="00255F14"/>
    <w:rsid w:val="0025608C"/>
    <w:rsid w:val="002561A4"/>
    <w:rsid w:val="00256247"/>
    <w:rsid w:val="00256626"/>
    <w:rsid w:val="00256652"/>
    <w:rsid w:val="00256683"/>
    <w:rsid w:val="00256BA1"/>
    <w:rsid w:val="00256BC3"/>
    <w:rsid w:val="00256C35"/>
    <w:rsid w:val="00256FC5"/>
    <w:rsid w:val="00257027"/>
    <w:rsid w:val="00257085"/>
    <w:rsid w:val="002570A2"/>
    <w:rsid w:val="00257162"/>
    <w:rsid w:val="00257287"/>
    <w:rsid w:val="002573C2"/>
    <w:rsid w:val="00257435"/>
    <w:rsid w:val="00257482"/>
    <w:rsid w:val="002574AB"/>
    <w:rsid w:val="002574E0"/>
    <w:rsid w:val="00257658"/>
    <w:rsid w:val="00257819"/>
    <w:rsid w:val="00257824"/>
    <w:rsid w:val="0025792F"/>
    <w:rsid w:val="00257A1D"/>
    <w:rsid w:val="00257A2C"/>
    <w:rsid w:val="00257CDF"/>
    <w:rsid w:val="00257F03"/>
    <w:rsid w:val="00257F63"/>
    <w:rsid w:val="00257F74"/>
    <w:rsid w:val="00257F8D"/>
    <w:rsid w:val="00257FDF"/>
    <w:rsid w:val="00260079"/>
    <w:rsid w:val="0026027F"/>
    <w:rsid w:val="0026044A"/>
    <w:rsid w:val="0026051A"/>
    <w:rsid w:val="00260582"/>
    <w:rsid w:val="002606A9"/>
    <w:rsid w:val="00260732"/>
    <w:rsid w:val="00260863"/>
    <w:rsid w:val="00260B20"/>
    <w:rsid w:val="00260C00"/>
    <w:rsid w:val="00260DFF"/>
    <w:rsid w:val="00260F17"/>
    <w:rsid w:val="00260FEC"/>
    <w:rsid w:val="002610A3"/>
    <w:rsid w:val="00261429"/>
    <w:rsid w:val="0026153D"/>
    <w:rsid w:val="002619A0"/>
    <w:rsid w:val="00261A52"/>
    <w:rsid w:val="00261AD7"/>
    <w:rsid w:val="00261C19"/>
    <w:rsid w:val="00261CBA"/>
    <w:rsid w:val="00261F86"/>
    <w:rsid w:val="0026202F"/>
    <w:rsid w:val="00262486"/>
    <w:rsid w:val="00262632"/>
    <w:rsid w:val="00262675"/>
    <w:rsid w:val="002626B0"/>
    <w:rsid w:val="00262704"/>
    <w:rsid w:val="00262883"/>
    <w:rsid w:val="00262A24"/>
    <w:rsid w:val="00262A29"/>
    <w:rsid w:val="00262A7B"/>
    <w:rsid w:val="00263031"/>
    <w:rsid w:val="00263034"/>
    <w:rsid w:val="00263064"/>
    <w:rsid w:val="002630D1"/>
    <w:rsid w:val="002632E3"/>
    <w:rsid w:val="00263C7F"/>
    <w:rsid w:val="00263D53"/>
    <w:rsid w:val="00263E34"/>
    <w:rsid w:val="00263E85"/>
    <w:rsid w:val="00263FD8"/>
    <w:rsid w:val="00263FE8"/>
    <w:rsid w:val="002643F5"/>
    <w:rsid w:val="002646E8"/>
    <w:rsid w:val="002647D7"/>
    <w:rsid w:val="002649D4"/>
    <w:rsid w:val="00264A2C"/>
    <w:rsid w:val="00264C10"/>
    <w:rsid w:val="00264CEF"/>
    <w:rsid w:val="00264D14"/>
    <w:rsid w:val="00264DBF"/>
    <w:rsid w:val="00264E29"/>
    <w:rsid w:val="00265011"/>
    <w:rsid w:val="0026509C"/>
    <w:rsid w:val="002651BA"/>
    <w:rsid w:val="002657A2"/>
    <w:rsid w:val="00265AE2"/>
    <w:rsid w:val="00265C98"/>
    <w:rsid w:val="00266144"/>
    <w:rsid w:val="002663D5"/>
    <w:rsid w:val="0026642C"/>
    <w:rsid w:val="002664C9"/>
    <w:rsid w:val="00266543"/>
    <w:rsid w:val="002665C1"/>
    <w:rsid w:val="00266869"/>
    <w:rsid w:val="0026688D"/>
    <w:rsid w:val="00266B63"/>
    <w:rsid w:val="00266DA4"/>
    <w:rsid w:val="00266DE6"/>
    <w:rsid w:val="00266EB7"/>
    <w:rsid w:val="00266F45"/>
    <w:rsid w:val="00266F47"/>
    <w:rsid w:val="00266FCC"/>
    <w:rsid w:val="002671C6"/>
    <w:rsid w:val="0026720C"/>
    <w:rsid w:val="0026746E"/>
    <w:rsid w:val="0026750F"/>
    <w:rsid w:val="00267592"/>
    <w:rsid w:val="00267595"/>
    <w:rsid w:val="00267EA4"/>
    <w:rsid w:val="00270062"/>
    <w:rsid w:val="00270321"/>
    <w:rsid w:val="0027036A"/>
    <w:rsid w:val="0027066B"/>
    <w:rsid w:val="0027072F"/>
    <w:rsid w:val="00270D09"/>
    <w:rsid w:val="00270E6A"/>
    <w:rsid w:val="00271084"/>
    <w:rsid w:val="00271797"/>
    <w:rsid w:val="002717F7"/>
    <w:rsid w:val="00271813"/>
    <w:rsid w:val="00271993"/>
    <w:rsid w:val="00271BE5"/>
    <w:rsid w:val="00271F0C"/>
    <w:rsid w:val="00271F9E"/>
    <w:rsid w:val="0027215E"/>
    <w:rsid w:val="002723B3"/>
    <w:rsid w:val="00272566"/>
    <w:rsid w:val="0027293B"/>
    <w:rsid w:val="00272EC5"/>
    <w:rsid w:val="00272FD2"/>
    <w:rsid w:val="002730E3"/>
    <w:rsid w:val="00273268"/>
    <w:rsid w:val="0027342C"/>
    <w:rsid w:val="0027350A"/>
    <w:rsid w:val="002736E0"/>
    <w:rsid w:val="00273766"/>
    <w:rsid w:val="00273B13"/>
    <w:rsid w:val="00273BD2"/>
    <w:rsid w:val="00273D0F"/>
    <w:rsid w:val="00273F15"/>
    <w:rsid w:val="00274117"/>
    <w:rsid w:val="00274332"/>
    <w:rsid w:val="002743CE"/>
    <w:rsid w:val="00274400"/>
    <w:rsid w:val="00274424"/>
    <w:rsid w:val="00274BC5"/>
    <w:rsid w:val="00274BFB"/>
    <w:rsid w:val="00274C10"/>
    <w:rsid w:val="00274D6B"/>
    <w:rsid w:val="0027527C"/>
    <w:rsid w:val="002752F1"/>
    <w:rsid w:val="00275459"/>
    <w:rsid w:val="00275608"/>
    <w:rsid w:val="00275AFC"/>
    <w:rsid w:val="00275D52"/>
    <w:rsid w:val="00275DBB"/>
    <w:rsid w:val="00275E39"/>
    <w:rsid w:val="0027601E"/>
    <w:rsid w:val="00276175"/>
    <w:rsid w:val="002763A8"/>
    <w:rsid w:val="002763C6"/>
    <w:rsid w:val="002766C9"/>
    <w:rsid w:val="00276764"/>
    <w:rsid w:val="002768FF"/>
    <w:rsid w:val="00276976"/>
    <w:rsid w:val="00276D70"/>
    <w:rsid w:val="00276D94"/>
    <w:rsid w:val="00276F0A"/>
    <w:rsid w:val="0027711B"/>
    <w:rsid w:val="00277208"/>
    <w:rsid w:val="00277502"/>
    <w:rsid w:val="002775B6"/>
    <w:rsid w:val="002775F7"/>
    <w:rsid w:val="00277948"/>
    <w:rsid w:val="00277A1B"/>
    <w:rsid w:val="00277C3A"/>
    <w:rsid w:val="00277CD7"/>
    <w:rsid w:val="00277FB0"/>
    <w:rsid w:val="00280165"/>
    <w:rsid w:val="002801FB"/>
    <w:rsid w:val="0028023A"/>
    <w:rsid w:val="0028030B"/>
    <w:rsid w:val="002803DC"/>
    <w:rsid w:val="002806F6"/>
    <w:rsid w:val="002807C6"/>
    <w:rsid w:val="002807FF"/>
    <w:rsid w:val="002808B0"/>
    <w:rsid w:val="00280927"/>
    <w:rsid w:val="00280976"/>
    <w:rsid w:val="00280AEE"/>
    <w:rsid w:val="00280B63"/>
    <w:rsid w:val="00280C5E"/>
    <w:rsid w:val="00280C8C"/>
    <w:rsid w:val="00280CC6"/>
    <w:rsid w:val="00280EA1"/>
    <w:rsid w:val="0028122A"/>
    <w:rsid w:val="00281286"/>
    <w:rsid w:val="00281417"/>
    <w:rsid w:val="00281436"/>
    <w:rsid w:val="0028157E"/>
    <w:rsid w:val="0028176A"/>
    <w:rsid w:val="0028180C"/>
    <w:rsid w:val="00281A22"/>
    <w:rsid w:val="00281A23"/>
    <w:rsid w:val="00281C2C"/>
    <w:rsid w:val="00281EDD"/>
    <w:rsid w:val="00281F74"/>
    <w:rsid w:val="002821CD"/>
    <w:rsid w:val="002821E7"/>
    <w:rsid w:val="00282452"/>
    <w:rsid w:val="0028248F"/>
    <w:rsid w:val="00282646"/>
    <w:rsid w:val="00282800"/>
    <w:rsid w:val="0028283E"/>
    <w:rsid w:val="002828B2"/>
    <w:rsid w:val="00282A8C"/>
    <w:rsid w:val="00282AEA"/>
    <w:rsid w:val="00282CD6"/>
    <w:rsid w:val="00282D13"/>
    <w:rsid w:val="00282D19"/>
    <w:rsid w:val="00282D50"/>
    <w:rsid w:val="00282D59"/>
    <w:rsid w:val="00282DDB"/>
    <w:rsid w:val="00282DE3"/>
    <w:rsid w:val="00282E64"/>
    <w:rsid w:val="00282FC2"/>
    <w:rsid w:val="00283158"/>
    <w:rsid w:val="002831ED"/>
    <w:rsid w:val="00283282"/>
    <w:rsid w:val="002832DE"/>
    <w:rsid w:val="002832EF"/>
    <w:rsid w:val="00283329"/>
    <w:rsid w:val="002833CD"/>
    <w:rsid w:val="0028386D"/>
    <w:rsid w:val="002838E1"/>
    <w:rsid w:val="002838FE"/>
    <w:rsid w:val="00283F4F"/>
    <w:rsid w:val="00283FCE"/>
    <w:rsid w:val="002840C0"/>
    <w:rsid w:val="002841B0"/>
    <w:rsid w:val="002842FA"/>
    <w:rsid w:val="00284326"/>
    <w:rsid w:val="0028445F"/>
    <w:rsid w:val="00284586"/>
    <w:rsid w:val="002847EA"/>
    <w:rsid w:val="00284B1B"/>
    <w:rsid w:val="00284B6B"/>
    <w:rsid w:val="00284BA5"/>
    <w:rsid w:val="00284CAB"/>
    <w:rsid w:val="00284D6D"/>
    <w:rsid w:val="00284DA7"/>
    <w:rsid w:val="00284F53"/>
    <w:rsid w:val="00285419"/>
    <w:rsid w:val="002854B1"/>
    <w:rsid w:val="0028563F"/>
    <w:rsid w:val="00285665"/>
    <w:rsid w:val="00285E7E"/>
    <w:rsid w:val="00285ECC"/>
    <w:rsid w:val="00286245"/>
    <w:rsid w:val="00286335"/>
    <w:rsid w:val="0028637E"/>
    <w:rsid w:val="0028640C"/>
    <w:rsid w:val="00286544"/>
    <w:rsid w:val="00286A7C"/>
    <w:rsid w:val="00286B0B"/>
    <w:rsid w:val="00286CC6"/>
    <w:rsid w:val="00287245"/>
    <w:rsid w:val="002872A4"/>
    <w:rsid w:val="002874D3"/>
    <w:rsid w:val="002875B0"/>
    <w:rsid w:val="002875EC"/>
    <w:rsid w:val="0028768E"/>
    <w:rsid w:val="002877F9"/>
    <w:rsid w:val="00287815"/>
    <w:rsid w:val="002878B8"/>
    <w:rsid w:val="002878F3"/>
    <w:rsid w:val="00287B9C"/>
    <w:rsid w:val="00287C2F"/>
    <w:rsid w:val="00287D0E"/>
    <w:rsid w:val="00287DDD"/>
    <w:rsid w:val="00287E81"/>
    <w:rsid w:val="002900E1"/>
    <w:rsid w:val="00290257"/>
    <w:rsid w:val="002903BE"/>
    <w:rsid w:val="002903DC"/>
    <w:rsid w:val="00290510"/>
    <w:rsid w:val="00290572"/>
    <w:rsid w:val="0029093A"/>
    <w:rsid w:val="00290C96"/>
    <w:rsid w:val="00290DCF"/>
    <w:rsid w:val="00290E85"/>
    <w:rsid w:val="002910D5"/>
    <w:rsid w:val="00291183"/>
    <w:rsid w:val="002911C9"/>
    <w:rsid w:val="002911E2"/>
    <w:rsid w:val="0029122A"/>
    <w:rsid w:val="002912DF"/>
    <w:rsid w:val="002913E0"/>
    <w:rsid w:val="002913F5"/>
    <w:rsid w:val="00291445"/>
    <w:rsid w:val="002917CF"/>
    <w:rsid w:val="00291B3D"/>
    <w:rsid w:val="0029208C"/>
    <w:rsid w:val="00292424"/>
    <w:rsid w:val="00292503"/>
    <w:rsid w:val="00292751"/>
    <w:rsid w:val="00292871"/>
    <w:rsid w:val="00292888"/>
    <w:rsid w:val="00292A54"/>
    <w:rsid w:val="00292C98"/>
    <w:rsid w:val="00292F65"/>
    <w:rsid w:val="00292FE1"/>
    <w:rsid w:val="00293047"/>
    <w:rsid w:val="002931DF"/>
    <w:rsid w:val="0029359E"/>
    <w:rsid w:val="00293CC7"/>
    <w:rsid w:val="00293D98"/>
    <w:rsid w:val="00293DC3"/>
    <w:rsid w:val="00293EF0"/>
    <w:rsid w:val="0029408F"/>
    <w:rsid w:val="002941CC"/>
    <w:rsid w:val="00294371"/>
    <w:rsid w:val="00294382"/>
    <w:rsid w:val="002943BE"/>
    <w:rsid w:val="002943F5"/>
    <w:rsid w:val="00294403"/>
    <w:rsid w:val="002946C7"/>
    <w:rsid w:val="0029473C"/>
    <w:rsid w:val="00294888"/>
    <w:rsid w:val="002949E0"/>
    <w:rsid w:val="00294B03"/>
    <w:rsid w:val="00294B19"/>
    <w:rsid w:val="00294DC7"/>
    <w:rsid w:val="00294E3C"/>
    <w:rsid w:val="00294EE1"/>
    <w:rsid w:val="0029500B"/>
    <w:rsid w:val="00295063"/>
    <w:rsid w:val="00295172"/>
    <w:rsid w:val="002955E6"/>
    <w:rsid w:val="002957A7"/>
    <w:rsid w:val="0029583B"/>
    <w:rsid w:val="00295856"/>
    <w:rsid w:val="00295B46"/>
    <w:rsid w:val="00295E29"/>
    <w:rsid w:val="00295EDD"/>
    <w:rsid w:val="00295FAB"/>
    <w:rsid w:val="00295FBF"/>
    <w:rsid w:val="00296256"/>
    <w:rsid w:val="002964B2"/>
    <w:rsid w:val="00296526"/>
    <w:rsid w:val="0029652B"/>
    <w:rsid w:val="0029653C"/>
    <w:rsid w:val="0029671C"/>
    <w:rsid w:val="00296884"/>
    <w:rsid w:val="002969EF"/>
    <w:rsid w:val="00296B1D"/>
    <w:rsid w:val="00296DCB"/>
    <w:rsid w:val="00296E02"/>
    <w:rsid w:val="00297168"/>
    <w:rsid w:val="002972C0"/>
    <w:rsid w:val="00297394"/>
    <w:rsid w:val="002976DA"/>
    <w:rsid w:val="00297972"/>
    <w:rsid w:val="00297DAF"/>
    <w:rsid w:val="00297DCD"/>
    <w:rsid w:val="00297E84"/>
    <w:rsid w:val="00297E9E"/>
    <w:rsid w:val="002A0039"/>
    <w:rsid w:val="002A01A3"/>
    <w:rsid w:val="002A029B"/>
    <w:rsid w:val="002A02AF"/>
    <w:rsid w:val="002A0485"/>
    <w:rsid w:val="002A0602"/>
    <w:rsid w:val="002A062C"/>
    <w:rsid w:val="002A06D7"/>
    <w:rsid w:val="002A07D1"/>
    <w:rsid w:val="002A083E"/>
    <w:rsid w:val="002A097D"/>
    <w:rsid w:val="002A09D6"/>
    <w:rsid w:val="002A0F8B"/>
    <w:rsid w:val="002A10D6"/>
    <w:rsid w:val="002A110A"/>
    <w:rsid w:val="002A11E4"/>
    <w:rsid w:val="002A11F4"/>
    <w:rsid w:val="002A12A3"/>
    <w:rsid w:val="002A12C7"/>
    <w:rsid w:val="002A1824"/>
    <w:rsid w:val="002A1B8E"/>
    <w:rsid w:val="002A1D2E"/>
    <w:rsid w:val="002A1DFC"/>
    <w:rsid w:val="002A1E88"/>
    <w:rsid w:val="002A2336"/>
    <w:rsid w:val="002A25BF"/>
    <w:rsid w:val="002A25EB"/>
    <w:rsid w:val="002A2668"/>
    <w:rsid w:val="002A268C"/>
    <w:rsid w:val="002A26AA"/>
    <w:rsid w:val="002A2885"/>
    <w:rsid w:val="002A2A9E"/>
    <w:rsid w:val="002A2B16"/>
    <w:rsid w:val="002A2E50"/>
    <w:rsid w:val="002A3063"/>
    <w:rsid w:val="002A3241"/>
    <w:rsid w:val="002A324B"/>
    <w:rsid w:val="002A33A7"/>
    <w:rsid w:val="002A383F"/>
    <w:rsid w:val="002A3B1D"/>
    <w:rsid w:val="002A40DE"/>
    <w:rsid w:val="002A43CD"/>
    <w:rsid w:val="002A4412"/>
    <w:rsid w:val="002A4683"/>
    <w:rsid w:val="002A484B"/>
    <w:rsid w:val="002A48F2"/>
    <w:rsid w:val="002A4C8C"/>
    <w:rsid w:val="002A4E47"/>
    <w:rsid w:val="002A4F42"/>
    <w:rsid w:val="002A5032"/>
    <w:rsid w:val="002A5193"/>
    <w:rsid w:val="002A55D7"/>
    <w:rsid w:val="002A582C"/>
    <w:rsid w:val="002A591C"/>
    <w:rsid w:val="002A5EA8"/>
    <w:rsid w:val="002A5F30"/>
    <w:rsid w:val="002A5F6A"/>
    <w:rsid w:val="002A603D"/>
    <w:rsid w:val="002A608D"/>
    <w:rsid w:val="002A60E2"/>
    <w:rsid w:val="002A6173"/>
    <w:rsid w:val="002A61DA"/>
    <w:rsid w:val="002A6219"/>
    <w:rsid w:val="002A6250"/>
    <w:rsid w:val="002A671F"/>
    <w:rsid w:val="002A6769"/>
    <w:rsid w:val="002A6877"/>
    <w:rsid w:val="002A69AE"/>
    <w:rsid w:val="002A69C2"/>
    <w:rsid w:val="002A6A6F"/>
    <w:rsid w:val="002A6D89"/>
    <w:rsid w:val="002A6F0C"/>
    <w:rsid w:val="002A700E"/>
    <w:rsid w:val="002A7133"/>
    <w:rsid w:val="002A72FF"/>
    <w:rsid w:val="002A7433"/>
    <w:rsid w:val="002A751C"/>
    <w:rsid w:val="002A7725"/>
    <w:rsid w:val="002A77AB"/>
    <w:rsid w:val="002A7E43"/>
    <w:rsid w:val="002A7E69"/>
    <w:rsid w:val="002B0134"/>
    <w:rsid w:val="002B0137"/>
    <w:rsid w:val="002B0193"/>
    <w:rsid w:val="002B043A"/>
    <w:rsid w:val="002B0506"/>
    <w:rsid w:val="002B0586"/>
    <w:rsid w:val="002B05C1"/>
    <w:rsid w:val="002B060F"/>
    <w:rsid w:val="002B093B"/>
    <w:rsid w:val="002B0A8E"/>
    <w:rsid w:val="002B0EC3"/>
    <w:rsid w:val="002B10EA"/>
    <w:rsid w:val="002B1204"/>
    <w:rsid w:val="002B1253"/>
    <w:rsid w:val="002B12B6"/>
    <w:rsid w:val="002B1353"/>
    <w:rsid w:val="002B1465"/>
    <w:rsid w:val="002B1696"/>
    <w:rsid w:val="002B177F"/>
    <w:rsid w:val="002B17D3"/>
    <w:rsid w:val="002B1814"/>
    <w:rsid w:val="002B1AFB"/>
    <w:rsid w:val="002B1B05"/>
    <w:rsid w:val="002B1B15"/>
    <w:rsid w:val="002B1B38"/>
    <w:rsid w:val="002B1D78"/>
    <w:rsid w:val="002B1FBD"/>
    <w:rsid w:val="002B218A"/>
    <w:rsid w:val="002B218D"/>
    <w:rsid w:val="002B21E4"/>
    <w:rsid w:val="002B24F5"/>
    <w:rsid w:val="002B2718"/>
    <w:rsid w:val="002B27F8"/>
    <w:rsid w:val="002B2956"/>
    <w:rsid w:val="002B2958"/>
    <w:rsid w:val="002B2ED4"/>
    <w:rsid w:val="002B3250"/>
    <w:rsid w:val="002B3478"/>
    <w:rsid w:val="002B37DA"/>
    <w:rsid w:val="002B3872"/>
    <w:rsid w:val="002B3A82"/>
    <w:rsid w:val="002B3AD6"/>
    <w:rsid w:val="002B3B99"/>
    <w:rsid w:val="002B3F6B"/>
    <w:rsid w:val="002B3F7C"/>
    <w:rsid w:val="002B4110"/>
    <w:rsid w:val="002B4207"/>
    <w:rsid w:val="002B463D"/>
    <w:rsid w:val="002B47AB"/>
    <w:rsid w:val="002B493C"/>
    <w:rsid w:val="002B493E"/>
    <w:rsid w:val="002B4A7C"/>
    <w:rsid w:val="002B4AED"/>
    <w:rsid w:val="002B4BD5"/>
    <w:rsid w:val="002B51E4"/>
    <w:rsid w:val="002B580B"/>
    <w:rsid w:val="002B58C0"/>
    <w:rsid w:val="002B5C29"/>
    <w:rsid w:val="002B5F3B"/>
    <w:rsid w:val="002B62F1"/>
    <w:rsid w:val="002B63E4"/>
    <w:rsid w:val="002B666D"/>
    <w:rsid w:val="002B67A2"/>
    <w:rsid w:val="002B6800"/>
    <w:rsid w:val="002B6CFE"/>
    <w:rsid w:val="002B6EF6"/>
    <w:rsid w:val="002B7079"/>
    <w:rsid w:val="002B7213"/>
    <w:rsid w:val="002B721C"/>
    <w:rsid w:val="002B7252"/>
    <w:rsid w:val="002B726D"/>
    <w:rsid w:val="002B734E"/>
    <w:rsid w:val="002B7519"/>
    <w:rsid w:val="002B75C3"/>
    <w:rsid w:val="002B7623"/>
    <w:rsid w:val="002B794D"/>
    <w:rsid w:val="002B7B20"/>
    <w:rsid w:val="002B7D92"/>
    <w:rsid w:val="002C0011"/>
    <w:rsid w:val="002C009A"/>
    <w:rsid w:val="002C01F8"/>
    <w:rsid w:val="002C0455"/>
    <w:rsid w:val="002C04B0"/>
    <w:rsid w:val="002C04F1"/>
    <w:rsid w:val="002C0652"/>
    <w:rsid w:val="002C0662"/>
    <w:rsid w:val="002C0673"/>
    <w:rsid w:val="002C067E"/>
    <w:rsid w:val="002C069D"/>
    <w:rsid w:val="002C0732"/>
    <w:rsid w:val="002C0A73"/>
    <w:rsid w:val="002C0AFC"/>
    <w:rsid w:val="002C0BE3"/>
    <w:rsid w:val="002C0DF3"/>
    <w:rsid w:val="002C0E18"/>
    <w:rsid w:val="002C0EBF"/>
    <w:rsid w:val="002C0ED9"/>
    <w:rsid w:val="002C0F7A"/>
    <w:rsid w:val="002C1048"/>
    <w:rsid w:val="002C1513"/>
    <w:rsid w:val="002C1514"/>
    <w:rsid w:val="002C16C5"/>
    <w:rsid w:val="002C172B"/>
    <w:rsid w:val="002C19D9"/>
    <w:rsid w:val="002C1D71"/>
    <w:rsid w:val="002C1DE5"/>
    <w:rsid w:val="002C2018"/>
    <w:rsid w:val="002C203A"/>
    <w:rsid w:val="002C225E"/>
    <w:rsid w:val="002C2358"/>
    <w:rsid w:val="002C24AF"/>
    <w:rsid w:val="002C256C"/>
    <w:rsid w:val="002C2603"/>
    <w:rsid w:val="002C28F1"/>
    <w:rsid w:val="002C29D6"/>
    <w:rsid w:val="002C2CA4"/>
    <w:rsid w:val="002C2CCC"/>
    <w:rsid w:val="002C2E73"/>
    <w:rsid w:val="002C3029"/>
    <w:rsid w:val="002C31DF"/>
    <w:rsid w:val="002C3366"/>
    <w:rsid w:val="002C347A"/>
    <w:rsid w:val="002C35C3"/>
    <w:rsid w:val="002C361E"/>
    <w:rsid w:val="002C362E"/>
    <w:rsid w:val="002C3819"/>
    <w:rsid w:val="002C3954"/>
    <w:rsid w:val="002C39CC"/>
    <w:rsid w:val="002C3A60"/>
    <w:rsid w:val="002C3C79"/>
    <w:rsid w:val="002C3E43"/>
    <w:rsid w:val="002C3F74"/>
    <w:rsid w:val="002C40A2"/>
    <w:rsid w:val="002C40F2"/>
    <w:rsid w:val="002C416F"/>
    <w:rsid w:val="002C42A1"/>
    <w:rsid w:val="002C42A6"/>
    <w:rsid w:val="002C42B2"/>
    <w:rsid w:val="002C43B4"/>
    <w:rsid w:val="002C46F7"/>
    <w:rsid w:val="002C488F"/>
    <w:rsid w:val="002C492B"/>
    <w:rsid w:val="002C494E"/>
    <w:rsid w:val="002C4B5F"/>
    <w:rsid w:val="002C4B98"/>
    <w:rsid w:val="002C52E3"/>
    <w:rsid w:val="002C56F7"/>
    <w:rsid w:val="002C5767"/>
    <w:rsid w:val="002C581A"/>
    <w:rsid w:val="002C598D"/>
    <w:rsid w:val="002C5A09"/>
    <w:rsid w:val="002C5B93"/>
    <w:rsid w:val="002C5BC9"/>
    <w:rsid w:val="002C6099"/>
    <w:rsid w:val="002C620A"/>
    <w:rsid w:val="002C6384"/>
    <w:rsid w:val="002C63DE"/>
    <w:rsid w:val="002C6415"/>
    <w:rsid w:val="002C6781"/>
    <w:rsid w:val="002C691C"/>
    <w:rsid w:val="002C709E"/>
    <w:rsid w:val="002C70BA"/>
    <w:rsid w:val="002C70F5"/>
    <w:rsid w:val="002C7308"/>
    <w:rsid w:val="002C7829"/>
    <w:rsid w:val="002C797A"/>
    <w:rsid w:val="002C799B"/>
    <w:rsid w:val="002C7B2B"/>
    <w:rsid w:val="002C7E76"/>
    <w:rsid w:val="002C7F3E"/>
    <w:rsid w:val="002C7F8E"/>
    <w:rsid w:val="002D01B4"/>
    <w:rsid w:val="002D0315"/>
    <w:rsid w:val="002D03C5"/>
    <w:rsid w:val="002D03D4"/>
    <w:rsid w:val="002D0856"/>
    <w:rsid w:val="002D08A6"/>
    <w:rsid w:val="002D0A4E"/>
    <w:rsid w:val="002D0AA6"/>
    <w:rsid w:val="002D0E90"/>
    <w:rsid w:val="002D0FF7"/>
    <w:rsid w:val="002D0FFC"/>
    <w:rsid w:val="002D12F5"/>
    <w:rsid w:val="002D1A39"/>
    <w:rsid w:val="002D1AD2"/>
    <w:rsid w:val="002D1D7D"/>
    <w:rsid w:val="002D1DBF"/>
    <w:rsid w:val="002D206E"/>
    <w:rsid w:val="002D2266"/>
    <w:rsid w:val="002D22BC"/>
    <w:rsid w:val="002D249C"/>
    <w:rsid w:val="002D26D4"/>
    <w:rsid w:val="002D26E8"/>
    <w:rsid w:val="002D28C3"/>
    <w:rsid w:val="002D29D4"/>
    <w:rsid w:val="002D2C2B"/>
    <w:rsid w:val="002D2DD5"/>
    <w:rsid w:val="002D2FDA"/>
    <w:rsid w:val="002D3057"/>
    <w:rsid w:val="002D3196"/>
    <w:rsid w:val="002D31A2"/>
    <w:rsid w:val="002D3564"/>
    <w:rsid w:val="002D37F3"/>
    <w:rsid w:val="002D3A88"/>
    <w:rsid w:val="002D3B00"/>
    <w:rsid w:val="002D3B80"/>
    <w:rsid w:val="002D3D73"/>
    <w:rsid w:val="002D3D98"/>
    <w:rsid w:val="002D3E3B"/>
    <w:rsid w:val="002D3FA0"/>
    <w:rsid w:val="002D40E4"/>
    <w:rsid w:val="002D4114"/>
    <w:rsid w:val="002D4161"/>
    <w:rsid w:val="002D4209"/>
    <w:rsid w:val="002D4311"/>
    <w:rsid w:val="002D4764"/>
    <w:rsid w:val="002D479C"/>
    <w:rsid w:val="002D47A3"/>
    <w:rsid w:val="002D4836"/>
    <w:rsid w:val="002D49AF"/>
    <w:rsid w:val="002D4A3C"/>
    <w:rsid w:val="002D4BB4"/>
    <w:rsid w:val="002D4D1E"/>
    <w:rsid w:val="002D4D48"/>
    <w:rsid w:val="002D4E4B"/>
    <w:rsid w:val="002D4E53"/>
    <w:rsid w:val="002D4E8C"/>
    <w:rsid w:val="002D51BC"/>
    <w:rsid w:val="002D5270"/>
    <w:rsid w:val="002D545B"/>
    <w:rsid w:val="002D5788"/>
    <w:rsid w:val="002D582A"/>
    <w:rsid w:val="002D5B36"/>
    <w:rsid w:val="002D5B56"/>
    <w:rsid w:val="002D5D30"/>
    <w:rsid w:val="002D5F43"/>
    <w:rsid w:val="002D6118"/>
    <w:rsid w:val="002D62FC"/>
    <w:rsid w:val="002D63CE"/>
    <w:rsid w:val="002D640E"/>
    <w:rsid w:val="002D6418"/>
    <w:rsid w:val="002D69E8"/>
    <w:rsid w:val="002D6B7F"/>
    <w:rsid w:val="002D7188"/>
    <w:rsid w:val="002D71FD"/>
    <w:rsid w:val="002D720A"/>
    <w:rsid w:val="002D745C"/>
    <w:rsid w:val="002D752C"/>
    <w:rsid w:val="002D75D6"/>
    <w:rsid w:val="002D763A"/>
    <w:rsid w:val="002D77C9"/>
    <w:rsid w:val="002D7821"/>
    <w:rsid w:val="002D7890"/>
    <w:rsid w:val="002D79CE"/>
    <w:rsid w:val="002D79DF"/>
    <w:rsid w:val="002D7A0F"/>
    <w:rsid w:val="002D7B1C"/>
    <w:rsid w:val="002D7C4A"/>
    <w:rsid w:val="002D7C77"/>
    <w:rsid w:val="002D7D0F"/>
    <w:rsid w:val="002D7D14"/>
    <w:rsid w:val="002D7F92"/>
    <w:rsid w:val="002E0112"/>
    <w:rsid w:val="002E02E2"/>
    <w:rsid w:val="002E03FE"/>
    <w:rsid w:val="002E040E"/>
    <w:rsid w:val="002E0536"/>
    <w:rsid w:val="002E0622"/>
    <w:rsid w:val="002E078A"/>
    <w:rsid w:val="002E0792"/>
    <w:rsid w:val="002E08E6"/>
    <w:rsid w:val="002E0AC6"/>
    <w:rsid w:val="002E0AF0"/>
    <w:rsid w:val="002E0B89"/>
    <w:rsid w:val="002E0E2D"/>
    <w:rsid w:val="002E0F02"/>
    <w:rsid w:val="002E165C"/>
    <w:rsid w:val="002E17CF"/>
    <w:rsid w:val="002E1834"/>
    <w:rsid w:val="002E1861"/>
    <w:rsid w:val="002E2239"/>
    <w:rsid w:val="002E226B"/>
    <w:rsid w:val="002E236E"/>
    <w:rsid w:val="002E261C"/>
    <w:rsid w:val="002E265C"/>
    <w:rsid w:val="002E275B"/>
    <w:rsid w:val="002E2832"/>
    <w:rsid w:val="002E2901"/>
    <w:rsid w:val="002E2969"/>
    <w:rsid w:val="002E2A4B"/>
    <w:rsid w:val="002E2AA4"/>
    <w:rsid w:val="002E2DE5"/>
    <w:rsid w:val="002E2DED"/>
    <w:rsid w:val="002E2E35"/>
    <w:rsid w:val="002E2F1A"/>
    <w:rsid w:val="002E31F8"/>
    <w:rsid w:val="002E32A4"/>
    <w:rsid w:val="002E3376"/>
    <w:rsid w:val="002E3697"/>
    <w:rsid w:val="002E36DC"/>
    <w:rsid w:val="002E3809"/>
    <w:rsid w:val="002E3951"/>
    <w:rsid w:val="002E3D40"/>
    <w:rsid w:val="002E4152"/>
    <w:rsid w:val="002E41DF"/>
    <w:rsid w:val="002E4297"/>
    <w:rsid w:val="002E42E8"/>
    <w:rsid w:val="002E459F"/>
    <w:rsid w:val="002E45F2"/>
    <w:rsid w:val="002E46A0"/>
    <w:rsid w:val="002E5273"/>
    <w:rsid w:val="002E5509"/>
    <w:rsid w:val="002E5591"/>
    <w:rsid w:val="002E57C5"/>
    <w:rsid w:val="002E58E0"/>
    <w:rsid w:val="002E5A6A"/>
    <w:rsid w:val="002E5BF5"/>
    <w:rsid w:val="002E5BFF"/>
    <w:rsid w:val="002E5C22"/>
    <w:rsid w:val="002E5F95"/>
    <w:rsid w:val="002E625E"/>
    <w:rsid w:val="002E679B"/>
    <w:rsid w:val="002E67B2"/>
    <w:rsid w:val="002E684F"/>
    <w:rsid w:val="002E69A8"/>
    <w:rsid w:val="002E6A2F"/>
    <w:rsid w:val="002E6BE8"/>
    <w:rsid w:val="002E6C42"/>
    <w:rsid w:val="002E6DA3"/>
    <w:rsid w:val="002E7041"/>
    <w:rsid w:val="002E7210"/>
    <w:rsid w:val="002E727E"/>
    <w:rsid w:val="002E731A"/>
    <w:rsid w:val="002E7338"/>
    <w:rsid w:val="002E7379"/>
    <w:rsid w:val="002E73C8"/>
    <w:rsid w:val="002E7545"/>
    <w:rsid w:val="002E762A"/>
    <w:rsid w:val="002E7670"/>
    <w:rsid w:val="002E78AB"/>
    <w:rsid w:val="002E78AD"/>
    <w:rsid w:val="002E7923"/>
    <w:rsid w:val="002E7B49"/>
    <w:rsid w:val="002E7ECC"/>
    <w:rsid w:val="002E7FC4"/>
    <w:rsid w:val="002F00D7"/>
    <w:rsid w:val="002F0602"/>
    <w:rsid w:val="002F079A"/>
    <w:rsid w:val="002F07EB"/>
    <w:rsid w:val="002F0846"/>
    <w:rsid w:val="002F0CE2"/>
    <w:rsid w:val="002F0F8F"/>
    <w:rsid w:val="002F10CF"/>
    <w:rsid w:val="002F115B"/>
    <w:rsid w:val="002F1752"/>
    <w:rsid w:val="002F17C0"/>
    <w:rsid w:val="002F1F3B"/>
    <w:rsid w:val="002F1FC8"/>
    <w:rsid w:val="002F24E4"/>
    <w:rsid w:val="002F2529"/>
    <w:rsid w:val="002F25F1"/>
    <w:rsid w:val="002F2780"/>
    <w:rsid w:val="002F27F0"/>
    <w:rsid w:val="002F2957"/>
    <w:rsid w:val="002F29F3"/>
    <w:rsid w:val="002F2A68"/>
    <w:rsid w:val="002F2CEA"/>
    <w:rsid w:val="002F3001"/>
    <w:rsid w:val="002F3104"/>
    <w:rsid w:val="002F34C6"/>
    <w:rsid w:val="002F35A6"/>
    <w:rsid w:val="002F3684"/>
    <w:rsid w:val="002F371B"/>
    <w:rsid w:val="002F39B5"/>
    <w:rsid w:val="002F3A2B"/>
    <w:rsid w:val="002F3B3E"/>
    <w:rsid w:val="002F3BAB"/>
    <w:rsid w:val="002F3D54"/>
    <w:rsid w:val="002F3DA9"/>
    <w:rsid w:val="002F3EF0"/>
    <w:rsid w:val="002F3F2C"/>
    <w:rsid w:val="002F3FFB"/>
    <w:rsid w:val="002F40EE"/>
    <w:rsid w:val="002F42A4"/>
    <w:rsid w:val="002F45B8"/>
    <w:rsid w:val="002F45F9"/>
    <w:rsid w:val="002F4686"/>
    <w:rsid w:val="002F483C"/>
    <w:rsid w:val="002F4AAD"/>
    <w:rsid w:val="002F4CFF"/>
    <w:rsid w:val="002F4EA6"/>
    <w:rsid w:val="002F4F6E"/>
    <w:rsid w:val="002F4F97"/>
    <w:rsid w:val="002F4FC4"/>
    <w:rsid w:val="002F4FF7"/>
    <w:rsid w:val="002F50BC"/>
    <w:rsid w:val="002F5241"/>
    <w:rsid w:val="002F53C8"/>
    <w:rsid w:val="002F53E1"/>
    <w:rsid w:val="002F56BC"/>
    <w:rsid w:val="002F5901"/>
    <w:rsid w:val="002F59A9"/>
    <w:rsid w:val="002F5BC0"/>
    <w:rsid w:val="002F5F46"/>
    <w:rsid w:val="002F5F7D"/>
    <w:rsid w:val="002F6154"/>
    <w:rsid w:val="002F616F"/>
    <w:rsid w:val="002F61DF"/>
    <w:rsid w:val="002F61F3"/>
    <w:rsid w:val="002F6492"/>
    <w:rsid w:val="002F65AA"/>
    <w:rsid w:val="002F6764"/>
    <w:rsid w:val="002F6838"/>
    <w:rsid w:val="002F6B11"/>
    <w:rsid w:val="002F6BF8"/>
    <w:rsid w:val="002F6BFD"/>
    <w:rsid w:val="002F6E61"/>
    <w:rsid w:val="002F6F47"/>
    <w:rsid w:val="002F6F91"/>
    <w:rsid w:val="002F6FE7"/>
    <w:rsid w:val="002F71DB"/>
    <w:rsid w:val="002F7431"/>
    <w:rsid w:val="002F746C"/>
    <w:rsid w:val="002F776A"/>
    <w:rsid w:val="002F789B"/>
    <w:rsid w:val="002F79C4"/>
    <w:rsid w:val="002F7A18"/>
    <w:rsid w:val="002F7BC8"/>
    <w:rsid w:val="002F7F30"/>
    <w:rsid w:val="00300214"/>
    <w:rsid w:val="00300625"/>
    <w:rsid w:val="00300700"/>
    <w:rsid w:val="003007C2"/>
    <w:rsid w:val="003007CC"/>
    <w:rsid w:val="0030082C"/>
    <w:rsid w:val="0030090C"/>
    <w:rsid w:val="0030098C"/>
    <w:rsid w:val="003009D8"/>
    <w:rsid w:val="00300B8D"/>
    <w:rsid w:val="00300C8E"/>
    <w:rsid w:val="00300CAF"/>
    <w:rsid w:val="00300D9F"/>
    <w:rsid w:val="00300F2B"/>
    <w:rsid w:val="00300F43"/>
    <w:rsid w:val="00301091"/>
    <w:rsid w:val="003011EA"/>
    <w:rsid w:val="00301302"/>
    <w:rsid w:val="00301866"/>
    <w:rsid w:val="00301B78"/>
    <w:rsid w:val="00301D22"/>
    <w:rsid w:val="00301DD8"/>
    <w:rsid w:val="00301E1E"/>
    <w:rsid w:val="00302265"/>
    <w:rsid w:val="00302295"/>
    <w:rsid w:val="003025A7"/>
    <w:rsid w:val="003025CE"/>
    <w:rsid w:val="003025D5"/>
    <w:rsid w:val="00302684"/>
    <w:rsid w:val="003026C4"/>
    <w:rsid w:val="00302A22"/>
    <w:rsid w:val="00302BE1"/>
    <w:rsid w:val="00302BF1"/>
    <w:rsid w:val="00302C12"/>
    <w:rsid w:val="00302CE0"/>
    <w:rsid w:val="00302E8A"/>
    <w:rsid w:val="00302F2C"/>
    <w:rsid w:val="00302FE5"/>
    <w:rsid w:val="003030C7"/>
    <w:rsid w:val="0030318E"/>
    <w:rsid w:val="00303344"/>
    <w:rsid w:val="00303379"/>
    <w:rsid w:val="0030370C"/>
    <w:rsid w:val="00303782"/>
    <w:rsid w:val="00303839"/>
    <w:rsid w:val="00303997"/>
    <w:rsid w:val="00303A4F"/>
    <w:rsid w:val="00303ADB"/>
    <w:rsid w:val="00303E23"/>
    <w:rsid w:val="00303EA5"/>
    <w:rsid w:val="00303FB0"/>
    <w:rsid w:val="00304036"/>
    <w:rsid w:val="00304042"/>
    <w:rsid w:val="003040E3"/>
    <w:rsid w:val="00304104"/>
    <w:rsid w:val="0030445A"/>
    <w:rsid w:val="00304468"/>
    <w:rsid w:val="0030453A"/>
    <w:rsid w:val="0030455D"/>
    <w:rsid w:val="0030456E"/>
    <w:rsid w:val="00304BD4"/>
    <w:rsid w:val="00304BFD"/>
    <w:rsid w:val="00304E5C"/>
    <w:rsid w:val="00304E76"/>
    <w:rsid w:val="003050C0"/>
    <w:rsid w:val="003051C8"/>
    <w:rsid w:val="003051EE"/>
    <w:rsid w:val="00305276"/>
    <w:rsid w:val="00305568"/>
    <w:rsid w:val="003056C3"/>
    <w:rsid w:val="00305C73"/>
    <w:rsid w:val="00305F12"/>
    <w:rsid w:val="00305FFF"/>
    <w:rsid w:val="00306262"/>
    <w:rsid w:val="0030653C"/>
    <w:rsid w:val="00306597"/>
    <w:rsid w:val="00306BFD"/>
    <w:rsid w:val="00306C07"/>
    <w:rsid w:val="00307008"/>
    <w:rsid w:val="003074B9"/>
    <w:rsid w:val="003076BE"/>
    <w:rsid w:val="003076D3"/>
    <w:rsid w:val="00307820"/>
    <w:rsid w:val="00307943"/>
    <w:rsid w:val="00307C05"/>
    <w:rsid w:val="00307D16"/>
    <w:rsid w:val="00307D9E"/>
    <w:rsid w:val="00307F05"/>
    <w:rsid w:val="0031017A"/>
    <w:rsid w:val="00310182"/>
    <w:rsid w:val="00310306"/>
    <w:rsid w:val="003103D2"/>
    <w:rsid w:val="00311124"/>
    <w:rsid w:val="00311265"/>
    <w:rsid w:val="003113ED"/>
    <w:rsid w:val="00311673"/>
    <w:rsid w:val="003119E6"/>
    <w:rsid w:val="00311A46"/>
    <w:rsid w:val="00311D63"/>
    <w:rsid w:val="00311E57"/>
    <w:rsid w:val="00311EAC"/>
    <w:rsid w:val="00311EBD"/>
    <w:rsid w:val="00312232"/>
    <w:rsid w:val="00312452"/>
    <w:rsid w:val="00312465"/>
    <w:rsid w:val="003124B8"/>
    <w:rsid w:val="00312545"/>
    <w:rsid w:val="00312608"/>
    <w:rsid w:val="00312827"/>
    <w:rsid w:val="0031295A"/>
    <w:rsid w:val="00312AC7"/>
    <w:rsid w:val="00312BB6"/>
    <w:rsid w:val="00312C4A"/>
    <w:rsid w:val="00312D8E"/>
    <w:rsid w:val="00312E27"/>
    <w:rsid w:val="00312E86"/>
    <w:rsid w:val="003135A8"/>
    <w:rsid w:val="00313651"/>
    <w:rsid w:val="00313720"/>
    <w:rsid w:val="00313DAD"/>
    <w:rsid w:val="00313E10"/>
    <w:rsid w:val="00313FE9"/>
    <w:rsid w:val="00314091"/>
    <w:rsid w:val="00314138"/>
    <w:rsid w:val="003146F6"/>
    <w:rsid w:val="00314705"/>
    <w:rsid w:val="0031473F"/>
    <w:rsid w:val="00314953"/>
    <w:rsid w:val="00314960"/>
    <w:rsid w:val="003149AD"/>
    <w:rsid w:val="00314A66"/>
    <w:rsid w:val="00314AE5"/>
    <w:rsid w:val="00314AE7"/>
    <w:rsid w:val="003150EA"/>
    <w:rsid w:val="003153F2"/>
    <w:rsid w:val="00315418"/>
    <w:rsid w:val="00315A39"/>
    <w:rsid w:val="00315BF3"/>
    <w:rsid w:val="00315DFB"/>
    <w:rsid w:val="00315EDC"/>
    <w:rsid w:val="003160C7"/>
    <w:rsid w:val="00316217"/>
    <w:rsid w:val="00316558"/>
    <w:rsid w:val="00316687"/>
    <w:rsid w:val="00316B66"/>
    <w:rsid w:val="00316C33"/>
    <w:rsid w:val="00316EA1"/>
    <w:rsid w:val="00316F8C"/>
    <w:rsid w:val="00316FA4"/>
    <w:rsid w:val="0031708B"/>
    <w:rsid w:val="003171E0"/>
    <w:rsid w:val="00317229"/>
    <w:rsid w:val="003178DE"/>
    <w:rsid w:val="00317A6E"/>
    <w:rsid w:val="00317B31"/>
    <w:rsid w:val="00317C02"/>
    <w:rsid w:val="00317C4F"/>
    <w:rsid w:val="00317DE5"/>
    <w:rsid w:val="00317F6F"/>
    <w:rsid w:val="003201A1"/>
    <w:rsid w:val="003201CD"/>
    <w:rsid w:val="00320366"/>
    <w:rsid w:val="00320394"/>
    <w:rsid w:val="0032039F"/>
    <w:rsid w:val="003203F0"/>
    <w:rsid w:val="00320452"/>
    <w:rsid w:val="003205FE"/>
    <w:rsid w:val="00320800"/>
    <w:rsid w:val="00320804"/>
    <w:rsid w:val="00320845"/>
    <w:rsid w:val="00320874"/>
    <w:rsid w:val="003209A0"/>
    <w:rsid w:val="00320CCF"/>
    <w:rsid w:val="00320F3C"/>
    <w:rsid w:val="00320F73"/>
    <w:rsid w:val="003210A0"/>
    <w:rsid w:val="00321140"/>
    <w:rsid w:val="00321286"/>
    <w:rsid w:val="0032152A"/>
    <w:rsid w:val="003216A6"/>
    <w:rsid w:val="00321990"/>
    <w:rsid w:val="00321A5C"/>
    <w:rsid w:val="00321C48"/>
    <w:rsid w:val="00321DF8"/>
    <w:rsid w:val="00321FE7"/>
    <w:rsid w:val="003221FC"/>
    <w:rsid w:val="00322217"/>
    <w:rsid w:val="003222BE"/>
    <w:rsid w:val="003222F2"/>
    <w:rsid w:val="003224D1"/>
    <w:rsid w:val="00322522"/>
    <w:rsid w:val="003225BF"/>
    <w:rsid w:val="00322733"/>
    <w:rsid w:val="0032279C"/>
    <w:rsid w:val="00322978"/>
    <w:rsid w:val="00322AD6"/>
    <w:rsid w:val="00322AD9"/>
    <w:rsid w:val="00322AFD"/>
    <w:rsid w:val="00322B99"/>
    <w:rsid w:val="00322DAA"/>
    <w:rsid w:val="00322F48"/>
    <w:rsid w:val="00323078"/>
    <w:rsid w:val="00323245"/>
    <w:rsid w:val="003234B9"/>
    <w:rsid w:val="00323894"/>
    <w:rsid w:val="00323954"/>
    <w:rsid w:val="00323A28"/>
    <w:rsid w:val="00323DC3"/>
    <w:rsid w:val="00323E1B"/>
    <w:rsid w:val="00323E52"/>
    <w:rsid w:val="00323E54"/>
    <w:rsid w:val="00323EDB"/>
    <w:rsid w:val="00324065"/>
    <w:rsid w:val="003241DB"/>
    <w:rsid w:val="0032424A"/>
    <w:rsid w:val="00324508"/>
    <w:rsid w:val="00324753"/>
    <w:rsid w:val="003247A7"/>
    <w:rsid w:val="003249A6"/>
    <w:rsid w:val="003249E3"/>
    <w:rsid w:val="00324B32"/>
    <w:rsid w:val="00324B46"/>
    <w:rsid w:val="00324B4D"/>
    <w:rsid w:val="00324B6C"/>
    <w:rsid w:val="00324E59"/>
    <w:rsid w:val="00324E84"/>
    <w:rsid w:val="00324F6C"/>
    <w:rsid w:val="00325113"/>
    <w:rsid w:val="00325136"/>
    <w:rsid w:val="00325171"/>
    <w:rsid w:val="00325441"/>
    <w:rsid w:val="0032545B"/>
    <w:rsid w:val="00325829"/>
    <w:rsid w:val="0032586E"/>
    <w:rsid w:val="003258BA"/>
    <w:rsid w:val="0032596D"/>
    <w:rsid w:val="00325A9B"/>
    <w:rsid w:val="00325CBA"/>
    <w:rsid w:val="00325D81"/>
    <w:rsid w:val="00325DB7"/>
    <w:rsid w:val="00325F75"/>
    <w:rsid w:val="00325F89"/>
    <w:rsid w:val="00325FC8"/>
    <w:rsid w:val="003260E3"/>
    <w:rsid w:val="0032621F"/>
    <w:rsid w:val="00326452"/>
    <w:rsid w:val="0032652F"/>
    <w:rsid w:val="0032673D"/>
    <w:rsid w:val="00326923"/>
    <w:rsid w:val="00326994"/>
    <w:rsid w:val="00326BC4"/>
    <w:rsid w:val="00326E40"/>
    <w:rsid w:val="00326E72"/>
    <w:rsid w:val="00326FD3"/>
    <w:rsid w:val="00327037"/>
    <w:rsid w:val="00327497"/>
    <w:rsid w:val="0032751E"/>
    <w:rsid w:val="00327691"/>
    <w:rsid w:val="0032773C"/>
    <w:rsid w:val="00327855"/>
    <w:rsid w:val="0032793F"/>
    <w:rsid w:val="00327AF0"/>
    <w:rsid w:val="00327B82"/>
    <w:rsid w:val="00327BC8"/>
    <w:rsid w:val="00327BEC"/>
    <w:rsid w:val="00327C2A"/>
    <w:rsid w:val="00327D49"/>
    <w:rsid w:val="00327DB0"/>
    <w:rsid w:val="00327EB8"/>
    <w:rsid w:val="003300F0"/>
    <w:rsid w:val="003302BF"/>
    <w:rsid w:val="0033060F"/>
    <w:rsid w:val="00330936"/>
    <w:rsid w:val="00330976"/>
    <w:rsid w:val="00330AFD"/>
    <w:rsid w:val="00330B08"/>
    <w:rsid w:val="00330BCC"/>
    <w:rsid w:val="00330CEE"/>
    <w:rsid w:val="00330DC7"/>
    <w:rsid w:val="00330EB0"/>
    <w:rsid w:val="00330F16"/>
    <w:rsid w:val="003311C4"/>
    <w:rsid w:val="00331254"/>
    <w:rsid w:val="00331429"/>
    <w:rsid w:val="003317A6"/>
    <w:rsid w:val="00331A11"/>
    <w:rsid w:val="00331AF1"/>
    <w:rsid w:val="00331B9C"/>
    <w:rsid w:val="00331CF8"/>
    <w:rsid w:val="003320DB"/>
    <w:rsid w:val="00332151"/>
    <w:rsid w:val="003321A8"/>
    <w:rsid w:val="003321DF"/>
    <w:rsid w:val="0033249D"/>
    <w:rsid w:val="003325C3"/>
    <w:rsid w:val="003326F5"/>
    <w:rsid w:val="003328A7"/>
    <w:rsid w:val="003329A3"/>
    <w:rsid w:val="00332B9F"/>
    <w:rsid w:val="00332C6E"/>
    <w:rsid w:val="00332CEC"/>
    <w:rsid w:val="00332D28"/>
    <w:rsid w:val="00332E50"/>
    <w:rsid w:val="00332E9D"/>
    <w:rsid w:val="003331FE"/>
    <w:rsid w:val="00333222"/>
    <w:rsid w:val="003334C3"/>
    <w:rsid w:val="00333544"/>
    <w:rsid w:val="003336F4"/>
    <w:rsid w:val="00333966"/>
    <w:rsid w:val="00333ABF"/>
    <w:rsid w:val="00333B0D"/>
    <w:rsid w:val="00333BCF"/>
    <w:rsid w:val="00333D4B"/>
    <w:rsid w:val="00333F1E"/>
    <w:rsid w:val="003340D3"/>
    <w:rsid w:val="0033430C"/>
    <w:rsid w:val="00334585"/>
    <w:rsid w:val="0033487D"/>
    <w:rsid w:val="00334911"/>
    <w:rsid w:val="003349AB"/>
    <w:rsid w:val="00334A4A"/>
    <w:rsid w:val="00334ACA"/>
    <w:rsid w:val="00334B78"/>
    <w:rsid w:val="00334B7F"/>
    <w:rsid w:val="00334C08"/>
    <w:rsid w:val="00334D3D"/>
    <w:rsid w:val="00334DD4"/>
    <w:rsid w:val="00334E2E"/>
    <w:rsid w:val="00334F63"/>
    <w:rsid w:val="00334F7F"/>
    <w:rsid w:val="0033500E"/>
    <w:rsid w:val="00335052"/>
    <w:rsid w:val="00335144"/>
    <w:rsid w:val="003354C8"/>
    <w:rsid w:val="003354DD"/>
    <w:rsid w:val="003354EA"/>
    <w:rsid w:val="0033571E"/>
    <w:rsid w:val="00335E79"/>
    <w:rsid w:val="00335EF3"/>
    <w:rsid w:val="00335F43"/>
    <w:rsid w:val="00335F7D"/>
    <w:rsid w:val="0033623C"/>
    <w:rsid w:val="0033628B"/>
    <w:rsid w:val="003362C2"/>
    <w:rsid w:val="00336413"/>
    <w:rsid w:val="00336552"/>
    <w:rsid w:val="003365BE"/>
    <w:rsid w:val="003366FB"/>
    <w:rsid w:val="00336A97"/>
    <w:rsid w:val="00336C15"/>
    <w:rsid w:val="00336F65"/>
    <w:rsid w:val="00337552"/>
    <w:rsid w:val="00337584"/>
    <w:rsid w:val="0033761D"/>
    <w:rsid w:val="0033770C"/>
    <w:rsid w:val="0033773F"/>
    <w:rsid w:val="003379F9"/>
    <w:rsid w:val="00337B6A"/>
    <w:rsid w:val="00337C41"/>
    <w:rsid w:val="00337CEA"/>
    <w:rsid w:val="00337D68"/>
    <w:rsid w:val="00337F28"/>
    <w:rsid w:val="00340549"/>
    <w:rsid w:val="00340C7E"/>
    <w:rsid w:val="00341196"/>
    <w:rsid w:val="00341308"/>
    <w:rsid w:val="00341508"/>
    <w:rsid w:val="00341803"/>
    <w:rsid w:val="00341AF2"/>
    <w:rsid w:val="00341E4B"/>
    <w:rsid w:val="00342114"/>
    <w:rsid w:val="00342349"/>
    <w:rsid w:val="0034267E"/>
    <w:rsid w:val="00342701"/>
    <w:rsid w:val="0034297E"/>
    <w:rsid w:val="00342BA4"/>
    <w:rsid w:val="00342F84"/>
    <w:rsid w:val="00342F91"/>
    <w:rsid w:val="003432C3"/>
    <w:rsid w:val="003434CF"/>
    <w:rsid w:val="003435FE"/>
    <w:rsid w:val="00343E91"/>
    <w:rsid w:val="00343EE1"/>
    <w:rsid w:val="00343FDE"/>
    <w:rsid w:val="00344021"/>
    <w:rsid w:val="00344037"/>
    <w:rsid w:val="00344500"/>
    <w:rsid w:val="00344A50"/>
    <w:rsid w:val="00344D06"/>
    <w:rsid w:val="00345141"/>
    <w:rsid w:val="003451B6"/>
    <w:rsid w:val="00345330"/>
    <w:rsid w:val="0034574A"/>
    <w:rsid w:val="003458E1"/>
    <w:rsid w:val="0034595D"/>
    <w:rsid w:val="00345A0C"/>
    <w:rsid w:val="00345D61"/>
    <w:rsid w:val="0034604B"/>
    <w:rsid w:val="0034626B"/>
    <w:rsid w:val="00346296"/>
    <w:rsid w:val="003462D7"/>
    <w:rsid w:val="0034657C"/>
    <w:rsid w:val="00346666"/>
    <w:rsid w:val="003469D9"/>
    <w:rsid w:val="00346A93"/>
    <w:rsid w:val="00347092"/>
    <w:rsid w:val="003473E7"/>
    <w:rsid w:val="00347401"/>
    <w:rsid w:val="003474AD"/>
    <w:rsid w:val="003474DD"/>
    <w:rsid w:val="003475C2"/>
    <w:rsid w:val="0034761D"/>
    <w:rsid w:val="0034768B"/>
    <w:rsid w:val="003476D9"/>
    <w:rsid w:val="0034774E"/>
    <w:rsid w:val="003477BE"/>
    <w:rsid w:val="0034786C"/>
    <w:rsid w:val="0034786F"/>
    <w:rsid w:val="00347E06"/>
    <w:rsid w:val="00347E1E"/>
    <w:rsid w:val="00347F9E"/>
    <w:rsid w:val="003504F3"/>
    <w:rsid w:val="00350A74"/>
    <w:rsid w:val="00350B49"/>
    <w:rsid w:val="00350B5B"/>
    <w:rsid w:val="00350F11"/>
    <w:rsid w:val="003513DB"/>
    <w:rsid w:val="0035146D"/>
    <w:rsid w:val="003514CF"/>
    <w:rsid w:val="003514F0"/>
    <w:rsid w:val="0035183D"/>
    <w:rsid w:val="00351970"/>
    <w:rsid w:val="00351B1E"/>
    <w:rsid w:val="00351C85"/>
    <w:rsid w:val="00351C87"/>
    <w:rsid w:val="00351EBB"/>
    <w:rsid w:val="00351F3B"/>
    <w:rsid w:val="0035200A"/>
    <w:rsid w:val="003520C1"/>
    <w:rsid w:val="0035231F"/>
    <w:rsid w:val="0035237E"/>
    <w:rsid w:val="003524EB"/>
    <w:rsid w:val="003526AC"/>
    <w:rsid w:val="00352A59"/>
    <w:rsid w:val="00352A5C"/>
    <w:rsid w:val="00352C18"/>
    <w:rsid w:val="00352D17"/>
    <w:rsid w:val="00352E61"/>
    <w:rsid w:val="00353159"/>
    <w:rsid w:val="003531C8"/>
    <w:rsid w:val="003532FB"/>
    <w:rsid w:val="003533F3"/>
    <w:rsid w:val="003538B0"/>
    <w:rsid w:val="00353D56"/>
    <w:rsid w:val="0035413A"/>
    <w:rsid w:val="00354358"/>
    <w:rsid w:val="0035436B"/>
    <w:rsid w:val="003543F5"/>
    <w:rsid w:val="00354538"/>
    <w:rsid w:val="00354B89"/>
    <w:rsid w:val="003551F8"/>
    <w:rsid w:val="0035580E"/>
    <w:rsid w:val="00355C19"/>
    <w:rsid w:val="00355D01"/>
    <w:rsid w:val="00355D95"/>
    <w:rsid w:val="00356108"/>
    <w:rsid w:val="00356326"/>
    <w:rsid w:val="003565C0"/>
    <w:rsid w:val="0035677E"/>
    <w:rsid w:val="00356797"/>
    <w:rsid w:val="003568E2"/>
    <w:rsid w:val="0035698E"/>
    <w:rsid w:val="00356A01"/>
    <w:rsid w:val="00356D06"/>
    <w:rsid w:val="00356E92"/>
    <w:rsid w:val="00356F14"/>
    <w:rsid w:val="003570B5"/>
    <w:rsid w:val="0035712F"/>
    <w:rsid w:val="00357379"/>
    <w:rsid w:val="003573A4"/>
    <w:rsid w:val="0035797C"/>
    <w:rsid w:val="00357C9E"/>
    <w:rsid w:val="00357E6D"/>
    <w:rsid w:val="00357EB1"/>
    <w:rsid w:val="0036050E"/>
    <w:rsid w:val="0036071E"/>
    <w:rsid w:val="00360B8A"/>
    <w:rsid w:val="00360D1E"/>
    <w:rsid w:val="00360D2F"/>
    <w:rsid w:val="003610F0"/>
    <w:rsid w:val="003610FF"/>
    <w:rsid w:val="00361105"/>
    <w:rsid w:val="003619D1"/>
    <w:rsid w:val="00361A65"/>
    <w:rsid w:val="00361B55"/>
    <w:rsid w:val="00361BFA"/>
    <w:rsid w:val="00361C9F"/>
    <w:rsid w:val="00361E11"/>
    <w:rsid w:val="00361E3F"/>
    <w:rsid w:val="00361E97"/>
    <w:rsid w:val="00361F54"/>
    <w:rsid w:val="003621F7"/>
    <w:rsid w:val="00362223"/>
    <w:rsid w:val="0036228C"/>
    <w:rsid w:val="003622C2"/>
    <w:rsid w:val="003622F0"/>
    <w:rsid w:val="00362325"/>
    <w:rsid w:val="00362331"/>
    <w:rsid w:val="00362448"/>
    <w:rsid w:val="00362564"/>
    <w:rsid w:val="003625F3"/>
    <w:rsid w:val="003628A5"/>
    <w:rsid w:val="00362A4E"/>
    <w:rsid w:val="00362AC1"/>
    <w:rsid w:val="00362C43"/>
    <w:rsid w:val="00363012"/>
    <w:rsid w:val="003633D8"/>
    <w:rsid w:val="003634FA"/>
    <w:rsid w:val="00363515"/>
    <w:rsid w:val="003638F9"/>
    <w:rsid w:val="00363B09"/>
    <w:rsid w:val="00363BB0"/>
    <w:rsid w:val="00363BB7"/>
    <w:rsid w:val="00363CCF"/>
    <w:rsid w:val="00363E45"/>
    <w:rsid w:val="00363E69"/>
    <w:rsid w:val="00363F9B"/>
    <w:rsid w:val="00364105"/>
    <w:rsid w:val="003641E3"/>
    <w:rsid w:val="0036426C"/>
    <w:rsid w:val="003643EE"/>
    <w:rsid w:val="00364559"/>
    <w:rsid w:val="0036481E"/>
    <w:rsid w:val="003649CD"/>
    <w:rsid w:val="00364A2A"/>
    <w:rsid w:val="00364BB3"/>
    <w:rsid w:val="00364C88"/>
    <w:rsid w:val="00364E3D"/>
    <w:rsid w:val="00364F14"/>
    <w:rsid w:val="00364FBE"/>
    <w:rsid w:val="00365048"/>
    <w:rsid w:val="0036508D"/>
    <w:rsid w:val="00365162"/>
    <w:rsid w:val="00365584"/>
    <w:rsid w:val="0036565B"/>
    <w:rsid w:val="0036569B"/>
    <w:rsid w:val="003659AD"/>
    <w:rsid w:val="003659DF"/>
    <w:rsid w:val="00365AB3"/>
    <w:rsid w:val="00365C3C"/>
    <w:rsid w:val="00365D20"/>
    <w:rsid w:val="00366083"/>
    <w:rsid w:val="003661EF"/>
    <w:rsid w:val="0036656F"/>
    <w:rsid w:val="00366A94"/>
    <w:rsid w:val="00366A9C"/>
    <w:rsid w:val="00366AD5"/>
    <w:rsid w:val="00366B94"/>
    <w:rsid w:val="00366C95"/>
    <w:rsid w:val="00366E19"/>
    <w:rsid w:val="0036706A"/>
    <w:rsid w:val="003670BC"/>
    <w:rsid w:val="00367189"/>
    <w:rsid w:val="0036720B"/>
    <w:rsid w:val="003674B1"/>
    <w:rsid w:val="00367504"/>
    <w:rsid w:val="00367740"/>
    <w:rsid w:val="003678CD"/>
    <w:rsid w:val="00367B20"/>
    <w:rsid w:val="00367BEB"/>
    <w:rsid w:val="00367C0D"/>
    <w:rsid w:val="00367D3F"/>
    <w:rsid w:val="0037034B"/>
    <w:rsid w:val="00370506"/>
    <w:rsid w:val="0037052C"/>
    <w:rsid w:val="0037082C"/>
    <w:rsid w:val="0037084D"/>
    <w:rsid w:val="00370B09"/>
    <w:rsid w:val="00370B27"/>
    <w:rsid w:val="00370D31"/>
    <w:rsid w:val="00370F21"/>
    <w:rsid w:val="00370FB8"/>
    <w:rsid w:val="0037107A"/>
    <w:rsid w:val="00371084"/>
    <w:rsid w:val="0037110D"/>
    <w:rsid w:val="003713F4"/>
    <w:rsid w:val="003714F8"/>
    <w:rsid w:val="00371620"/>
    <w:rsid w:val="003718C0"/>
    <w:rsid w:val="00371AC1"/>
    <w:rsid w:val="00371D1C"/>
    <w:rsid w:val="00371EF2"/>
    <w:rsid w:val="003720EF"/>
    <w:rsid w:val="00372113"/>
    <w:rsid w:val="00372190"/>
    <w:rsid w:val="003721E0"/>
    <w:rsid w:val="0037246D"/>
    <w:rsid w:val="0037267B"/>
    <w:rsid w:val="00372A4F"/>
    <w:rsid w:val="00372AE8"/>
    <w:rsid w:val="00372E6E"/>
    <w:rsid w:val="003731BF"/>
    <w:rsid w:val="003732CB"/>
    <w:rsid w:val="003732FD"/>
    <w:rsid w:val="00373547"/>
    <w:rsid w:val="00373720"/>
    <w:rsid w:val="00373D0F"/>
    <w:rsid w:val="00373E4D"/>
    <w:rsid w:val="00373FF6"/>
    <w:rsid w:val="0037408D"/>
    <w:rsid w:val="003745F8"/>
    <w:rsid w:val="0037479A"/>
    <w:rsid w:val="003748A8"/>
    <w:rsid w:val="0037491E"/>
    <w:rsid w:val="0037499B"/>
    <w:rsid w:val="00374A34"/>
    <w:rsid w:val="00374D09"/>
    <w:rsid w:val="00374D6A"/>
    <w:rsid w:val="00374DCD"/>
    <w:rsid w:val="00374F10"/>
    <w:rsid w:val="00374F2A"/>
    <w:rsid w:val="00374F40"/>
    <w:rsid w:val="00374F55"/>
    <w:rsid w:val="0037518C"/>
    <w:rsid w:val="003751C3"/>
    <w:rsid w:val="003752EF"/>
    <w:rsid w:val="00375576"/>
    <w:rsid w:val="0037568F"/>
    <w:rsid w:val="003756C7"/>
    <w:rsid w:val="003757EE"/>
    <w:rsid w:val="00375936"/>
    <w:rsid w:val="00375A47"/>
    <w:rsid w:val="00375C19"/>
    <w:rsid w:val="0037624B"/>
    <w:rsid w:val="003763DC"/>
    <w:rsid w:val="0037660F"/>
    <w:rsid w:val="00376694"/>
    <w:rsid w:val="00376717"/>
    <w:rsid w:val="003767FC"/>
    <w:rsid w:val="003768F9"/>
    <w:rsid w:val="00376942"/>
    <w:rsid w:val="0037696E"/>
    <w:rsid w:val="00376D1C"/>
    <w:rsid w:val="00376F3B"/>
    <w:rsid w:val="00377066"/>
    <w:rsid w:val="003770A7"/>
    <w:rsid w:val="003770F4"/>
    <w:rsid w:val="0037733B"/>
    <w:rsid w:val="00377525"/>
    <w:rsid w:val="003777C1"/>
    <w:rsid w:val="003777D6"/>
    <w:rsid w:val="0037794E"/>
    <w:rsid w:val="00377ACA"/>
    <w:rsid w:val="00377C47"/>
    <w:rsid w:val="00377C7D"/>
    <w:rsid w:val="00377D2A"/>
    <w:rsid w:val="00377DE0"/>
    <w:rsid w:val="00377DF2"/>
    <w:rsid w:val="00377F58"/>
    <w:rsid w:val="00380005"/>
    <w:rsid w:val="00380100"/>
    <w:rsid w:val="003801EA"/>
    <w:rsid w:val="00380311"/>
    <w:rsid w:val="00380452"/>
    <w:rsid w:val="0038047A"/>
    <w:rsid w:val="003806E4"/>
    <w:rsid w:val="00380815"/>
    <w:rsid w:val="00380838"/>
    <w:rsid w:val="00380BCD"/>
    <w:rsid w:val="00380CD5"/>
    <w:rsid w:val="00380D6D"/>
    <w:rsid w:val="00380EC2"/>
    <w:rsid w:val="00380FF3"/>
    <w:rsid w:val="003810B8"/>
    <w:rsid w:val="00381400"/>
    <w:rsid w:val="003815AC"/>
    <w:rsid w:val="003815BC"/>
    <w:rsid w:val="003815F7"/>
    <w:rsid w:val="0038171E"/>
    <w:rsid w:val="0038185E"/>
    <w:rsid w:val="00381880"/>
    <w:rsid w:val="003818AF"/>
    <w:rsid w:val="00381D1A"/>
    <w:rsid w:val="00381DF5"/>
    <w:rsid w:val="00381E82"/>
    <w:rsid w:val="00381F95"/>
    <w:rsid w:val="0038203B"/>
    <w:rsid w:val="0038251B"/>
    <w:rsid w:val="003826B3"/>
    <w:rsid w:val="003828FA"/>
    <w:rsid w:val="003829B5"/>
    <w:rsid w:val="00382A0C"/>
    <w:rsid w:val="00382C41"/>
    <w:rsid w:val="003831AA"/>
    <w:rsid w:val="00383442"/>
    <w:rsid w:val="0038353B"/>
    <w:rsid w:val="00383643"/>
    <w:rsid w:val="003837CE"/>
    <w:rsid w:val="00383826"/>
    <w:rsid w:val="00383A2D"/>
    <w:rsid w:val="00383B98"/>
    <w:rsid w:val="00383C21"/>
    <w:rsid w:val="00383C67"/>
    <w:rsid w:val="00383D96"/>
    <w:rsid w:val="00383FE6"/>
    <w:rsid w:val="003841B4"/>
    <w:rsid w:val="003842A3"/>
    <w:rsid w:val="00384867"/>
    <w:rsid w:val="00384906"/>
    <w:rsid w:val="00384974"/>
    <w:rsid w:val="00384B66"/>
    <w:rsid w:val="00384D4F"/>
    <w:rsid w:val="00385052"/>
    <w:rsid w:val="003852F2"/>
    <w:rsid w:val="0038540C"/>
    <w:rsid w:val="003854F1"/>
    <w:rsid w:val="0038558A"/>
    <w:rsid w:val="0038564B"/>
    <w:rsid w:val="00385657"/>
    <w:rsid w:val="00385723"/>
    <w:rsid w:val="0038578A"/>
    <w:rsid w:val="003857F4"/>
    <w:rsid w:val="00385847"/>
    <w:rsid w:val="003859F3"/>
    <w:rsid w:val="00385BF4"/>
    <w:rsid w:val="00385BF8"/>
    <w:rsid w:val="00385C29"/>
    <w:rsid w:val="00385FF0"/>
    <w:rsid w:val="003861FF"/>
    <w:rsid w:val="0038628B"/>
    <w:rsid w:val="00386494"/>
    <w:rsid w:val="003864A3"/>
    <w:rsid w:val="003865BB"/>
    <w:rsid w:val="00386770"/>
    <w:rsid w:val="00386CBE"/>
    <w:rsid w:val="00386EE2"/>
    <w:rsid w:val="0038704E"/>
    <w:rsid w:val="0038715A"/>
    <w:rsid w:val="0038725B"/>
    <w:rsid w:val="003876F9"/>
    <w:rsid w:val="003877F4"/>
    <w:rsid w:val="00387948"/>
    <w:rsid w:val="00387DBE"/>
    <w:rsid w:val="00387DDA"/>
    <w:rsid w:val="00387EF1"/>
    <w:rsid w:val="003901BD"/>
    <w:rsid w:val="003902D1"/>
    <w:rsid w:val="003903A9"/>
    <w:rsid w:val="003903D9"/>
    <w:rsid w:val="00390597"/>
    <w:rsid w:val="00390A60"/>
    <w:rsid w:val="00390B57"/>
    <w:rsid w:val="00390BFB"/>
    <w:rsid w:val="00390DC1"/>
    <w:rsid w:val="0039105B"/>
    <w:rsid w:val="0039118C"/>
    <w:rsid w:val="003912DF"/>
    <w:rsid w:val="0039143B"/>
    <w:rsid w:val="003914BC"/>
    <w:rsid w:val="003914DD"/>
    <w:rsid w:val="003917B1"/>
    <w:rsid w:val="003918B9"/>
    <w:rsid w:val="003918FF"/>
    <w:rsid w:val="003922A5"/>
    <w:rsid w:val="0039243E"/>
    <w:rsid w:val="003925A2"/>
    <w:rsid w:val="0039273E"/>
    <w:rsid w:val="00392756"/>
    <w:rsid w:val="00392938"/>
    <w:rsid w:val="00392C1E"/>
    <w:rsid w:val="00392CB0"/>
    <w:rsid w:val="00392EA5"/>
    <w:rsid w:val="00393097"/>
    <w:rsid w:val="003931E3"/>
    <w:rsid w:val="003931F5"/>
    <w:rsid w:val="003934EE"/>
    <w:rsid w:val="00393575"/>
    <w:rsid w:val="00393582"/>
    <w:rsid w:val="0039363A"/>
    <w:rsid w:val="003937BA"/>
    <w:rsid w:val="00393920"/>
    <w:rsid w:val="00393A7A"/>
    <w:rsid w:val="00393B39"/>
    <w:rsid w:val="00393D16"/>
    <w:rsid w:val="00393E19"/>
    <w:rsid w:val="00394149"/>
    <w:rsid w:val="00394169"/>
    <w:rsid w:val="0039425E"/>
    <w:rsid w:val="00394378"/>
    <w:rsid w:val="003943AC"/>
    <w:rsid w:val="003944A0"/>
    <w:rsid w:val="003944A6"/>
    <w:rsid w:val="003945D0"/>
    <w:rsid w:val="00394644"/>
    <w:rsid w:val="003946D0"/>
    <w:rsid w:val="003947DC"/>
    <w:rsid w:val="00394829"/>
    <w:rsid w:val="003948DE"/>
    <w:rsid w:val="00394A58"/>
    <w:rsid w:val="00394CAF"/>
    <w:rsid w:val="00394D59"/>
    <w:rsid w:val="00394DB8"/>
    <w:rsid w:val="0039504A"/>
    <w:rsid w:val="00395633"/>
    <w:rsid w:val="00395798"/>
    <w:rsid w:val="00395809"/>
    <w:rsid w:val="003958B7"/>
    <w:rsid w:val="0039591F"/>
    <w:rsid w:val="003959FA"/>
    <w:rsid w:val="00395A12"/>
    <w:rsid w:val="00395AA2"/>
    <w:rsid w:val="00395C42"/>
    <w:rsid w:val="00395E41"/>
    <w:rsid w:val="00395EFE"/>
    <w:rsid w:val="00395F36"/>
    <w:rsid w:val="00396180"/>
    <w:rsid w:val="00396197"/>
    <w:rsid w:val="00396418"/>
    <w:rsid w:val="003964E7"/>
    <w:rsid w:val="00396536"/>
    <w:rsid w:val="003968EC"/>
    <w:rsid w:val="00396924"/>
    <w:rsid w:val="00396A18"/>
    <w:rsid w:val="00396F05"/>
    <w:rsid w:val="00396FB3"/>
    <w:rsid w:val="00397218"/>
    <w:rsid w:val="003972D6"/>
    <w:rsid w:val="0039765C"/>
    <w:rsid w:val="00397718"/>
    <w:rsid w:val="003977DE"/>
    <w:rsid w:val="003979C4"/>
    <w:rsid w:val="00397A61"/>
    <w:rsid w:val="00397B16"/>
    <w:rsid w:val="00397B81"/>
    <w:rsid w:val="00397D7C"/>
    <w:rsid w:val="00397E04"/>
    <w:rsid w:val="00397E19"/>
    <w:rsid w:val="003A0045"/>
    <w:rsid w:val="003A005F"/>
    <w:rsid w:val="003A0108"/>
    <w:rsid w:val="003A010C"/>
    <w:rsid w:val="003A024C"/>
    <w:rsid w:val="003A0421"/>
    <w:rsid w:val="003A05C6"/>
    <w:rsid w:val="003A05FC"/>
    <w:rsid w:val="003A0D55"/>
    <w:rsid w:val="003A0F40"/>
    <w:rsid w:val="003A11F0"/>
    <w:rsid w:val="003A1825"/>
    <w:rsid w:val="003A1DBC"/>
    <w:rsid w:val="003A1E36"/>
    <w:rsid w:val="003A2171"/>
    <w:rsid w:val="003A23CA"/>
    <w:rsid w:val="003A2440"/>
    <w:rsid w:val="003A2489"/>
    <w:rsid w:val="003A26CB"/>
    <w:rsid w:val="003A2730"/>
    <w:rsid w:val="003A2A43"/>
    <w:rsid w:val="003A2C10"/>
    <w:rsid w:val="003A2D32"/>
    <w:rsid w:val="003A2D3C"/>
    <w:rsid w:val="003A2DE4"/>
    <w:rsid w:val="003A2F2F"/>
    <w:rsid w:val="003A31FE"/>
    <w:rsid w:val="003A3240"/>
    <w:rsid w:val="003A3275"/>
    <w:rsid w:val="003A344C"/>
    <w:rsid w:val="003A36FD"/>
    <w:rsid w:val="003A375F"/>
    <w:rsid w:val="003A37AF"/>
    <w:rsid w:val="003A39F7"/>
    <w:rsid w:val="003A3CC3"/>
    <w:rsid w:val="003A3D47"/>
    <w:rsid w:val="003A3DEE"/>
    <w:rsid w:val="003A3E7E"/>
    <w:rsid w:val="003A3F78"/>
    <w:rsid w:val="003A3FEF"/>
    <w:rsid w:val="003A419B"/>
    <w:rsid w:val="003A446D"/>
    <w:rsid w:val="003A47EB"/>
    <w:rsid w:val="003A4914"/>
    <w:rsid w:val="003A4917"/>
    <w:rsid w:val="003A4A3E"/>
    <w:rsid w:val="003A4B4D"/>
    <w:rsid w:val="003A4D8D"/>
    <w:rsid w:val="003A4EE9"/>
    <w:rsid w:val="003A5042"/>
    <w:rsid w:val="003A504B"/>
    <w:rsid w:val="003A51E2"/>
    <w:rsid w:val="003A51E5"/>
    <w:rsid w:val="003A51F4"/>
    <w:rsid w:val="003A536E"/>
    <w:rsid w:val="003A5386"/>
    <w:rsid w:val="003A5AF5"/>
    <w:rsid w:val="003A5C88"/>
    <w:rsid w:val="003A5D2F"/>
    <w:rsid w:val="003A5DD1"/>
    <w:rsid w:val="003A5DE8"/>
    <w:rsid w:val="003A5E94"/>
    <w:rsid w:val="003A5FDD"/>
    <w:rsid w:val="003A6012"/>
    <w:rsid w:val="003A61D7"/>
    <w:rsid w:val="003A625C"/>
    <w:rsid w:val="003A62A9"/>
    <w:rsid w:val="003A63A7"/>
    <w:rsid w:val="003A6506"/>
    <w:rsid w:val="003A660A"/>
    <w:rsid w:val="003A6663"/>
    <w:rsid w:val="003A6B04"/>
    <w:rsid w:val="003A6BFD"/>
    <w:rsid w:val="003A6C0B"/>
    <w:rsid w:val="003A6D78"/>
    <w:rsid w:val="003A728F"/>
    <w:rsid w:val="003A72B7"/>
    <w:rsid w:val="003A7316"/>
    <w:rsid w:val="003A734D"/>
    <w:rsid w:val="003A7372"/>
    <w:rsid w:val="003A742E"/>
    <w:rsid w:val="003A7705"/>
    <w:rsid w:val="003A7984"/>
    <w:rsid w:val="003A7AC7"/>
    <w:rsid w:val="003A7B3C"/>
    <w:rsid w:val="003A7CA2"/>
    <w:rsid w:val="003A7D2B"/>
    <w:rsid w:val="003A7EF3"/>
    <w:rsid w:val="003B00C1"/>
    <w:rsid w:val="003B036D"/>
    <w:rsid w:val="003B0395"/>
    <w:rsid w:val="003B08CF"/>
    <w:rsid w:val="003B08EA"/>
    <w:rsid w:val="003B0931"/>
    <w:rsid w:val="003B0AD2"/>
    <w:rsid w:val="003B0B64"/>
    <w:rsid w:val="003B0CD6"/>
    <w:rsid w:val="003B104C"/>
    <w:rsid w:val="003B10AC"/>
    <w:rsid w:val="003B11B7"/>
    <w:rsid w:val="003B130C"/>
    <w:rsid w:val="003B1343"/>
    <w:rsid w:val="003B13ED"/>
    <w:rsid w:val="003B1ADF"/>
    <w:rsid w:val="003B1CBD"/>
    <w:rsid w:val="003B1DBE"/>
    <w:rsid w:val="003B1DC2"/>
    <w:rsid w:val="003B1E96"/>
    <w:rsid w:val="003B1F4B"/>
    <w:rsid w:val="003B2075"/>
    <w:rsid w:val="003B2084"/>
    <w:rsid w:val="003B2192"/>
    <w:rsid w:val="003B2326"/>
    <w:rsid w:val="003B2347"/>
    <w:rsid w:val="003B238A"/>
    <w:rsid w:val="003B26C9"/>
    <w:rsid w:val="003B27FF"/>
    <w:rsid w:val="003B2801"/>
    <w:rsid w:val="003B2A7B"/>
    <w:rsid w:val="003B2BE5"/>
    <w:rsid w:val="003B2D70"/>
    <w:rsid w:val="003B2DCB"/>
    <w:rsid w:val="003B2DDD"/>
    <w:rsid w:val="003B2EF5"/>
    <w:rsid w:val="003B3E7D"/>
    <w:rsid w:val="003B3ED5"/>
    <w:rsid w:val="003B400E"/>
    <w:rsid w:val="003B4307"/>
    <w:rsid w:val="003B43C3"/>
    <w:rsid w:val="003B4693"/>
    <w:rsid w:val="003B4777"/>
    <w:rsid w:val="003B4A88"/>
    <w:rsid w:val="003B4C1C"/>
    <w:rsid w:val="003B4D2D"/>
    <w:rsid w:val="003B4DAA"/>
    <w:rsid w:val="003B4F2C"/>
    <w:rsid w:val="003B510D"/>
    <w:rsid w:val="003B5132"/>
    <w:rsid w:val="003B52BE"/>
    <w:rsid w:val="003B532D"/>
    <w:rsid w:val="003B5358"/>
    <w:rsid w:val="003B5708"/>
    <w:rsid w:val="003B573F"/>
    <w:rsid w:val="003B5936"/>
    <w:rsid w:val="003B5DAC"/>
    <w:rsid w:val="003B6004"/>
    <w:rsid w:val="003B6118"/>
    <w:rsid w:val="003B6134"/>
    <w:rsid w:val="003B6175"/>
    <w:rsid w:val="003B61CB"/>
    <w:rsid w:val="003B6388"/>
    <w:rsid w:val="003B6409"/>
    <w:rsid w:val="003B6413"/>
    <w:rsid w:val="003B655E"/>
    <w:rsid w:val="003B681A"/>
    <w:rsid w:val="003B6AD4"/>
    <w:rsid w:val="003B6B3B"/>
    <w:rsid w:val="003B6CB6"/>
    <w:rsid w:val="003B6D08"/>
    <w:rsid w:val="003B6D15"/>
    <w:rsid w:val="003B6D1B"/>
    <w:rsid w:val="003B6D29"/>
    <w:rsid w:val="003B6D2F"/>
    <w:rsid w:val="003B7342"/>
    <w:rsid w:val="003B74F9"/>
    <w:rsid w:val="003B7688"/>
    <w:rsid w:val="003B76E4"/>
    <w:rsid w:val="003B7A0E"/>
    <w:rsid w:val="003B7C6E"/>
    <w:rsid w:val="003B7EA2"/>
    <w:rsid w:val="003B7F2D"/>
    <w:rsid w:val="003B7FAA"/>
    <w:rsid w:val="003C018B"/>
    <w:rsid w:val="003C01BA"/>
    <w:rsid w:val="003C01EE"/>
    <w:rsid w:val="003C07A0"/>
    <w:rsid w:val="003C08D9"/>
    <w:rsid w:val="003C090F"/>
    <w:rsid w:val="003C0DBA"/>
    <w:rsid w:val="003C0F6D"/>
    <w:rsid w:val="003C1355"/>
    <w:rsid w:val="003C1C41"/>
    <w:rsid w:val="003C1D73"/>
    <w:rsid w:val="003C20EE"/>
    <w:rsid w:val="003C219E"/>
    <w:rsid w:val="003C22A9"/>
    <w:rsid w:val="003C28E9"/>
    <w:rsid w:val="003C2A51"/>
    <w:rsid w:val="003C2B65"/>
    <w:rsid w:val="003C2B86"/>
    <w:rsid w:val="003C2CA3"/>
    <w:rsid w:val="003C2D6A"/>
    <w:rsid w:val="003C2E16"/>
    <w:rsid w:val="003C2ECE"/>
    <w:rsid w:val="003C31D5"/>
    <w:rsid w:val="003C34DE"/>
    <w:rsid w:val="003C3799"/>
    <w:rsid w:val="003C385A"/>
    <w:rsid w:val="003C38C8"/>
    <w:rsid w:val="003C3D1D"/>
    <w:rsid w:val="003C4056"/>
    <w:rsid w:val="003C4072"/>
    <w:rsid w:val="003C42E3"/>
    <w:rsid w:val="003C455D"/>
    <w:rsid w:val="003C45BE"/>
    <w:rsid w:val="003C47B2"/>
    <w:rsid w:val="003C49AB"/>
    <w:rsid w:val="003C4CC3"/>
    <w:rsid w:val="003C4F7D"/>
    <w:rsid w:val="003C5001"/>
    <w:rsid w:val="003C5167"/>
    <w:rsid w:val="003C52F1"/>
    <w:rsid w:val="003C53BC"/>
    <w:rsid w:val="003C5788"/>
    <w:rsid w:val="003C5ADE"/>
    <w:rsid w:val="003C5BF5"/>
    <w:rsid w:val="003C5D31"/>
    <w:rsid w:val="003C5DF6"/>
    <w:rsid w:val="003C613F"/>
    <w:rsid w:val="003C61F0"/>
    <w:rsid w:val="003C66FF"/>
    <w:rsid w:val="003C6A27"/>
    <w:rsid w:val="003C6B59"/>
    <w:rsid w:val="003C6BC6"/>
    <w:rsid w:val="003C6E4C"/>
    <w:rsid w:val="003C7037"/>
    <w:rsid w:val="003C71C1"/>
    <w:rsid w:val="003C7235"/>
    <w:rsid w:val="003C7244"/>
    <w:rsid w:val="003C72EB"/>
    <w:rsid w:val="003C731A"/>
    <w:rsid w:val="003C738C"/>
    <w:rsid w:val="003C74F6"/>
    <w:rsid w:val="003C785A"/>
    <w:rsid w:val="003C7B5F"/>
    <w:rsid w:val="003C7F4C"/>
    <w:rsid w:val="003D0395"/>
    <w:rsid w:val="003D0432"/>
    <w:rsid w:val="003D0540"/>
    <w:rsid w:val="003D056B"/>
    <w:rsid w:val="003D05C6"/>
    <w:rsid w:val="003D0665"/>
    <w:rsid w:val="003D080B"/>
    <w:rsid w:val="003D0886"/>
    <w:rsid w:val="003D08C6"/>
    <w:rsid w:val="003D098B"/>
    <w:rsid w:val="003D0A5E"/>
    <w:rsid w:val="003D0A79"/>
    <w:rsid w:val="003D0C04"/>
    <w:rsid w:val="003D0CFF"/>
    <w:rsid w:val="003D0E38"/>
    <w:rsid w:val="003D0F15"/>
    <w:rsid w:val="003D0F24"/>
    <w:rsid w:val="003D105C"/>
    <w:rsid w:val="003D1132"/>
    <w:rsid w:val="003D119B"/>
    <w:rsid w:val="003D12FE"/>
    <w:rsid w:val="003D13D7"/>
    <w:rsid w:val="003D15DC"/>
    <w:rsid w:val="003D17D4"/>
    <w:rsid w:val="003D18F1"/>
    <w:rsid w:val="003D1A74"/>
    <w:rsid w:val="003D1D53"/>
    <w:rsid w:val="003D1E6C"/>
    <w:rsid w:val="003D1EE0"/>
    <w:rsid w:val="003D1F59"/>
    <w:rsid w:val="003D2248"/>
    <w:rsid w:val="003D2303"/>
    <w:rsid w:val="003D26D4"/>
    <w:rsid w:val="003D288F"/>
    <w:rsid w:val="003D2A6B"/>
    <w:rsid w:val="003D2CE4"/>
    <w:rsid w:val="003D2FC2"/>
    <w:rsid w:val="003D3074"/>
    <w:rsid w:val="003D35EC"/>
    <w:rsid w:val="003D382F"/>
    <w:rsid w:val="003D39A2"/>
    <w:rsid w:val="003D3B11"/>
    <w:rsid w:val="003D3B14"/>
    <w:rsid w:val="003D3C2B"/>
    <w:rsid w:val="003D3FAE"/>
    <w:rsid w:val="003D40FD"/>
    <w:rsid w:val="003D41CB"/>
    <w:rsid w:val="003D42A5"/>
    <w:rsid w:val="003D42F3"/>
    <w:rsid w:val="003D4310"/>
    <w:rsid w:val="003D46DB"/>
    <w:rsid w:val="003D4BB4"/>
    <w:rsid w:val="003D4C67"/>
    <w:rsid w:val="003D4E70"/>
    <w:rsid w:val="003D4E87"/>
    <w:rsid w:val="003D4FB1"/>
    <w:rsid w:val="003D4FC2"/>
    <w:rsid w:val="003D52AB"/>
    <w:rsid w:val="003D5316"/>
    <w:rsid w:val="003D56E8"/>
    <w:rsid w:val="003D5B08"/>
    <w:rsid w:val="003D5BFD"/>
    <w:rsid w:val="003D6279"/>
    <w:rsid w:val="003D63CB"/>
    <w:rsid w:val="003D6542"/>
    <w:rsid w:val="003D65E3"/>
    <w:rsid w:val="003D6642"/>
    <w:rsid w:val="003D6667"/>
    <w:rsid w:val="003D6880"/>
    <w:rsid w:val="003D6931"/>
    <w:rsid w:val="003D6AC3"/>
    <w:rsid w:val="003D6E02"/>
    <w:rsid w:val="003D7293"/>
    <w:rsid w:val="003D7347"/>
    <w:rsid w:val="003D74AE"/>
    <w:rsid w:val="003D76A9"/>
    <w:rsid w:val="003D7788"/>
    <w:rsid w:val="003D7A22"/>
    <w:rsid w:val="003D7B1E"/>
    <w:rsid w:val="003D7F35"/>
    <w:rsid w:val="003E0115"/>
    <w:rsid w:val="003E0153"/>
    <w:rsid w:val="003E01DF"/>
    <w:rsid w:val="003E022A"/>
    <w:rsid w:val="003E0391"/>
    <w:rsid w:val="003E0551"/>
    <w:rsid w:val="003E055B"/>
    <w:rsid w:val="003E0568"/>
    <w:rsid w:val="003E0783"/>
    <w:rsid w:val="003E08E5"/>
    <w:rsid w:val="003E11B3"/>
    <w:rsid w:val="003E1238"/>
    <w:rsid w:val="003E1243"/>
    <w:rsid w:val="003E1586"/>
    <w:rsid w:val="003E15D0"/>
    <w:rsid w:val="003E1655"/>
    <w:rsid w:val="003E1664"/>
    <w:rsid w:val="003E18AE"/>
    <w:rsid w:val="003E1B0B"/>
    <w:rsid w:val="003E1B0C"/>
    <w:rsid w:val="003E1B62"/>
    <w:rsid w:val="003E1CBD"/>
    <w:rsid w:val="003E1CC7"/>
    <w:rsid w:val="003E1D39"/>
    <w:rsid w:val="003E1FE7"/>
    <w:rsid w:val="003E219F"/>
    <w:rsid w:val="003E23D0"/>
    <w:rsid w:val="003E23F4"/>
    <w:rsid w:val="003E26E0"/>
    <w:rsid w:val="003E272D"/>
    <w:rsid w:val="003E27F6"/>
    <w:rsid w:val="003E2B02"/>
    <w:rsid w:val="003E2FC0"/>
    <w:rsid w:val="003E2FD6"/>
    <w:rsid w:val="003E30F5"/>
    <w:rsid w:val="003E3147"/>
    <w:rsid w:val="003E3264"/>
    <w:rsid w:val="003E3272"/>
    <w:rsid w:val="003E334B"/>
    <w:rsid w:val="003E3415"/>
    <w:rsid w:val="003E341D"/>
    <w:rsid w:val="003E3635"/>
    <w:rsid w:val="003E3742"/>
    <w:rsid w:val="003E3BA8"/>
    <w:rsid w:val="003E3C9A"/>
    <w:rsid w:val="003E3DD1"/>
    <w:rsid w:val="003E3EC5"/>
    <w:rsid w:val="003E3F18"/>
    <w:rsid w:val="003E3FF3"/>
    <w:rsid w:val="003E4071"/>
    <w:rsid w:val="003E47A7"/>
    <w:rsid w:val="003E4975"/>
    <w:rsid w:val="003E4A8F"/>
    <w:rsid w:val="003E4C30"/>
    <w:rsid w:val="003E4D7D"/>
    <w:rsid w:val="003E4DF8"/>
    <w:rsid w:val="003E5291"/>
    <w:rsid w:val="003E562A"/>
    <w:rsid w:val="003E566C"/>
    <w:rsid w:val="003E5745"/>
    <w:rsid w:val="003E5B2E"/>
    <w:rsid w:val="003E5D0A"/>
    <w:rsid w:val="003E612F"/>
    <w:rsid w:val="003E6202"/>
    <w:rsid w:val="003E623A"/>
    <w:rsid w:val="003E64A1"/>
    <w:rsid w:val="003E6728"/>
    <w:rsid w:val="003E682B"/>
    <w:rsid w:val="003E6AE7"/>
    <w:rsid w:val="003E6B68"/>
    <w:rsid w:val="003E6C15"/>
    <w:rsid w:val="003E6F49"/>
    <w:rsid w:val="003E70ED"/>
    <w:rsid w:val="003E71D0"/>
    <w:rsid w:val="003E7546"/>
    <w:rsid w:val="003E7590"/>
    <w:rsid w:val="003E7AD8"/>
    <w:rsid w:val="003E7BD2"/>
    <w:rsid w:val="003E7C28"/>
    <w:rsid w:val="003E7D69"/>
    <w:rsid w:val="003E7D76"/>
    <w:rsid w:val="003E7E18"/>
    <w:rsid w:val="003F00E2"/>
    <w:rsid w:val="003F028D"/>
    <w:rsid w:val="003F030A"/>
    <w:rsid w:val="003F0388"/>
    <w:rsid w:val="003F0461"/>
    <w:rsid w:val="003F047A"/>
    <w:rsid w:val="003F04BB"/>
    <w:rsid w:val="003F04CD"/>
    <w:rsid w:val="003F0512"/>
    <w:rsid w:val="003F0575"/>
    <w:rsid w:val="003F06E9"/>
    <w:rsid w:val="003F0C08"/>
    <w:rsid w:val="003F0C2B"/>
    <w:rsid w:val="003F0D45"/>
    <w:rsid w:val="003F0E45"/>
    <w:rsid w:val="003F103F"/>
    <w:rsid w:val="003F14A3"/>
    <w:rsid w:val="003F159F"/>
    <w:rsid w:val="003F15E8"/>
    <w:rsid w:val="003F195B"/>
    <w:rsid w:val="003F1A01"/>
    <w:rsid w:val="003F1BA8"/>
    <w:rsid w:val="003F2172"/>
    <w:rsid w:val="003F2211"/>
    <w:rsid w:val="003F22D6"/>
    <w:rsid w:val="003F231A"/>
    <w:rsid w:val="003F2321"/>
    <w:rsid w:val="003F23B4"/>
    <w:rsid w:val="003F2449"/>
    <w:rsid w:val="003F2468"/>
    <w:rsid w:val="003F24DF"/>
    <w:rsid w:val="003F24EA"/>
    <w:rsid w:val="003F25B6"/>
    <w:rsid w:val="003F25D5"/>
    <w:rsid w:val="003F26C9"/>
    <w:rsid w:val="003F2AC9"/>
    <w:rsid w:val="003F2BF8"/>
    <w:rsid w:val="003F2DA9"/>
    <w:rsid w:val="003F2EBA"/>
    <w:rsid w:val="003F36FA"/>
    <w:rsid w:val="003F3861"/>
    <w:rsid w:val="003F398D"/>
    <w:rsid w:val="003F3C74"/>
    <w:rsid w:val="003F3CC6"/>
    <w:rsid w:val="003F3FB9"/>
    <w:rsid w:val="003F4102"/>
    <w:rsid w:val="003F4199"/>
    <w:rsid w:val="003F42E3"/>
    <w:rsid w:val="003F4495"/>
    <w:rsid w:val="003F48EC"/>
    <w:rsid w:val="003F48FC"/>
    <w:rsid w:val="003F494D"/>
    <w:rsid w:val="003F4B6B"/>
    <w:rsid w:val="003F4D44"/>
    <w:rsid w:val="003F4FD2"/>
    <w:rsid w:val="003F536D"/>
    <w:rsid w:val="003F53A5"/>
    <w:rsid w:val="003F5500"/>
    <w:rsid w:val="003F55A9"/>
    <w:rsid w:val="003F5788"/>
    <w:rsid w:val="003F58E6"/>
    <w:rsid w:val="003F5900"/>
    <w:rsid w:val="003F5B0B"/>
    <w:rsid w:val="003F5BE5"/>
    <w:rsid w:val="003F5C8F"/>
    <w:rsid w:val="003F5CBD"/>
    <w:rsid w:val="003F5D8D"/>
    <w:rsid w:val="003F5EBE"/>
    <w:rsid w:val="003F5EC6"/>
    <w:rsid w:val="003F5F43"/>
    <w:rsid w:val="003F5F47"/>
    <w:rsid w:val="003F604D"/>
    <w:rsid w:val="003F60B9"/>
    <w:rsid w:val="003F60BC"/>
    <w:rsid w:val="003F612F"/>
    <w:rsid w:val="003F62AD"/>
    <w:rsid w:val="003F6397"/>
    <w:rsid w:val="003F650A"/>
    <w:rsid w:val="003F67DD"/>
    <w:rsid w:val="003F6823"/>
    <w:rsid w:val="003F684D"/>
    <w:rsid w:val="003F6A57"/>
    <w:rsid w:val="003F6C3F"/>
    <w:rsid w:val="003F714C"/>
    <w:rsid w:val="003F7505"/>
    <w:rsid w:val="003F75A0"/>
    <w:rsid w:val="003F761C"/>
    <w:rsid w:val="003F79A0"/>
    <w:rsid w:val="003F79D3"/>
    <w:rsid w:val="003F7B64"/>
    <w:rsid w:val="003F7C66"/>
    <w:rsid w:val="003F7DE4"/>
    <w:rsid w:val="003F7E60"/>
    <w:rsid w:val="003F7E8E"/>
    <w:rsid w:val="003F7E98"/>
    <w:rsid w:val="003F7EC6"/>
    <w:rsid w:val="003F7EDD"/>
    <w:rsid w:val="003F7FF0"/>
    <w:rsid w:val="00400107"/>
    <w:rsid w:val="0040017D"/>
    <w:rsid w:val="004001AF"/>
    <w:rsid w:val="00400284"/>
    <w:rsid w:val="00400386"/>
    <w:rsid w:val="00400610"/>
    <w:rsid w:val="0040064F"/>
    <w:rsid w:val="0040080D"/>
    <w:rsid w:val="00400870"/>
    <w:rsid w:val="00400C05"/>
    <w:rsid w:val="00400DC8"/>
    <w:rsid w:val="00401076"/>
    <w:rsid w:val="004012AA"/>
    <w:rsid w:val="00401508"/>
    <w:rsid w:val="004016F2"/>
    <w:rsid w:val="00401993"/>
    <w:rsid w:val="00401A2C"/>
    <w:rsid w:val="00401ADD"/>
    <w:rsid w:val="00401D87"/>
    <w:rsid w:val="00401D8B"/>
    <w:rsid w:val="00401FB1"/>
    <w:rsid w:val="0040216C"/>
    <w:rsid w:val="004022B7"/>
    <w:rsid w:val="0040235A"/>
    <w:rsid w:val="004024C5"/>
    <w:rsid w:val="004028D7"/>
    <w:rsid w:val="00402907"/>
    <w:rsid w:val="00402A55"/>
    <w:rsid w:val="00402C47"/>
    <w:rsid w:val="00402CA4"/>
    <w:rsid w:val="00402F2D"/>
    <w:rsid w:val="00402F8F"/>
    <w:rsid w:val="00403311"/>
    <w:rsid w:val="00403330"/>
    <w:rsid w:val="004034A3"/>
    <w:rsid w:val="004034D3"/>
    <w:rsid w:val="00403620"/>
    <w:rsid w:val="00403721"/>
    <w:rsid w:val="00403A69"/>
    <w:rsid w:val="00403A98"/>
    <w:rsid w:val="00403AC0"/>
    <w:rsid w:val="00403B5B"/>
    <w:rsid w:val="00403B62"/>
    <w:rsid w:val="00403BCD"/>
    <w:rsid w:val="00403CC7"/>
    <w:rsid w:val="00403D9D"/>
    <w:rsid w:val="00403E8F"/>
    <w:rsid w:val="00403EE4"/>
    <w:rsid w:val="00403F5D"/>
    <w:rsid w:val="00403FD0"/>
    <w:rsid w:val="00404762"/>
    <w:rsid w:val="0040497B"/>
    <w:rsid w:val="0040499C"/>
    <w:rsid w:val="00404D66"/>
    <w:rsid w:val="00404D73"/>
    <w:rsid w:val="00404E64"/>
    <w:rsid w:val="00404F56"/>
    <w:rsid w:val="00405033"/>
    <w:rsid w:val="004052E1"/>
    <w:rsid w:val="0040546D"/>
    <w:rsid w:val="004054EE"/>
    <w:rsid w:val="00405600"/>
    <w:rsid w:val="004056B7"/>
    <w:rsid w:val="00405C3D"/>
    <w:rsid w:val="00405D11"/>
    <w:rsid w:val="00405F89"/>
    <w:rsid w:val="00406388"/>
    <w:rsid w:val="0040649A"/>
    <w:rsid w:val="004065DC"/>
    <w:rsid w:val="0040661B"/>
    <w:rsid w:val="0040666C"/>
    <w:rsid w:val="004067B3"/>
    <w:rsid w:val="0040694F"/>
    <w:rsid w:val="00406DE6"/>
    <w:rsid w:val="00406F0E"/>
    <w:rsid w:val="0040720C"/>
    <w:rsid w:val="0040726B"/>
    <w:rsid w:val="004073F4"/>
    <w:rsid w:val="0040760A"/>
    <w:rsid w:val="0040774B"/>
    <w:rsid w:val="0040779B"/>
    <w:rsid w:val="00407A16"/>
    <w:rsid w:val="00407B87"/>
    <w:rsid w:val="00407C21"/>
    <w:rsid w:val="0041023D"/>
    <w:rsid w:val="0041038B"/>
    <w:rsid w:val="004106AC"/>
    <w:rsid w:val="0041076C"/>
    <w:rsid w:val="0041099E"/>
    <w:rsid w:val="00410A7F"/>
    <w:rsid w:val="00410BF7"/>
    <w:rsid w:val="00410F05"/>
    <w:rsid w:val="00411316"/>
    <w:rsid w:val="0041165E"/>
    <w:rsid w:val="004116E8"/>
    <w:rsid w:val="0041174B"/>
    <w:rsid w:val="004118EA"/>
    <w:rsid w:val="00411B83"/>
    <w:rsid w:val="00411C0F"/>
    <w:rsid w:val="00411CAB"/>
    <w:rsid w:val="00411E2C"/>
    <w:rsid w:val="00411EF4"/>
    <w:rsid w:val="004121DB"/>
    <w:rsid w:val="004123DD"/>
    <w:rsid w:val="004123FC"/>
    <w:rsid w:val="0041241F"/>
    <w:rsid w:val="00412543"/>
    <w:rsid w:val="004125FF"/>
    <w:rsid w:val="004128FD"/>
    <w:rsid w:val="00412949"/>
    <w:rsid w:val="00412B16"/>
    <w:rsid w:val="00412BEA"/>
    <w:rsid w:val="00412EB2"/>
    <w:rsid w:val="00412F07"/>
    <w:rsid w:val="0041301E"/>
    <w:rsid w:val="004135E0"/>
    <w:rsid w:val="00413830"/>
    <w:rsid w:val="00413979"/>
    <w:rsid w:val="00413AF1"/>
    <w:rsid w:val="00413EA6"/>
    <w:rsid w:val="00414248"/>
    <w:rsid w:val="00414744"/>
    <w:rsid w:val="004148EB"/>
    <w:rsid w:val="004149CD"/>
    <w:rsid w:val="00414AD4"/>
    <w:rsid w:val="00414B30"/>
    <w:rsid w:val="00414F23"/>
    <w:rsid w:val="00414FB6"/>
    <w:rsid w:val="004151E9"/>
    <w:rsid w:val="004153BF"/>
    <w:rsid w:val="00415409"/>
    <w:rsid w:val="00415454"/>
    <w:rsid w:val="00415522"/>
    <w:rsid w:val="004155E6"/>
    <w:rsid w:val="00415844"/>
    <w:rsid w:val="00415919"/>
    <w:rsid w:val="00415A29"/>
    <w:rsid w:val="00415A6B"/>
    <w:rsid w:val="00415ACB"/>
    <w:rsid w:val="00415E47"/>
    <w:rsid w:val="00415F5F"/>
    <w:rsid w:val="00415F63"/>
    <w:rsid w:val="00416072"/>
    <w:rsid w:val="004160F6"/>
    <w:rsid w:val="0041614F"/>
    <w:rsid w:val="00416386"/>
    <w:rsid w:val="0041671E"/>
    <w:rsid w:val="00416861"/>
    <w:rsid w:val="00416888"/>
    <w:rsid w:val="004168A2"/>
    <w:rsid w:val="0041692C"/>
    <w:rsid w:val="00416CDA"/>
    <w:rsid w:val="00416D04"/>
    <w:rsid w:val="00416DA1"/>
    <w:rsid w:val="00416DB5"/>
    <w:rsid w:val="00416DC1"/>
    <w:rsid w:val="00416E8D"/>
    <w:rsid w:val="00416FCB"/>
    <w:rsid w:val="00416FEA"/>
    <w:rsid w:val="00417117"/>
    <w:rsid w:val="0041742D"/>
    <w:rsid w:val="004175F2"/>
    <w:rsid w:val="00417687"/>
    <w:rsid w:val="00417DAD"/>
    <w:rsid w:val="00417EAE"/>
    <w:rsid w:val="00417F5B"/>
    <w:rsid w:val="0042006E"/>
    <w:rsid w:val="004203A6"/>
    <w:rsid w:val="00420489"/>
    <w:rsid w:val="004205C8"/>
    <w:rsid w:val="004206DB"/>
    <w:rsid w:val="0042077F"/>
    <w:rsid w:val="00420A9B"/>
    <w:rsid w:val="00420CB4"/>
    <w:rsid w:val="00420DEF"/>
    <w:rsid w:val="00420E20"/>
    <w:rsid w:val="004210A1"/>
    <w:rsid w:val="004212ED"/>
    <w:rsid w:val="0042167A"/>
    <w:rsid w:val="0042173E"/>
    <w:rsid w:val="00421788"/>
    <w:rsid w:val="004220F3"/>
    <w:rsid w:val="00422121"/>
    <w:rsid w:val="00422125"/>
    <w:rsid w:val="004224A5"/>
    <w:rsid w:val="00422840"/>
    <w:rsid w:val="00422846"/>
    <w:rsid w:val="004228B4"/>
    <w:rsid w:val="004228B5"/>
    <w:rsid w:val="00422950"/>
    <w:rsid w:val="004229F7"/>
    <w:rsid w:val="00422C2C"/>
    <w:rsid w:val="00422C61"/>
    <w:rsid w:val="00422CF1"/>
    <w:rsid w:val="00422D7D"/>
    <w:rsid w:val="00422EAC"/>
    <w:rsid w:val="00422F58"/>
    <w:rsid w:val="00422FA9"/>
    <w:rsid w:val="00423026"/>
    <w:rsid w:val="0042316A"/>
    <w:rsid w:val="0042337C"/>
    <w:rsid w:val="00423645"/>
    <w:rsid w:val="0042367D"/>
    <w:rsid w:val="004237FA"/>
    <w:rsid w:val="00423861"/>
    <w:rsid w:val="00423906"/>
    <w:rsid w:val="00423998"/>
    <w:rsid w:val="00423C05"/>
    <w:rsid w:val="00423DBB"/>
    <w:rsid w:val="00423E9A"/>
    <w:rsid w:val="00424003"/>
    <w:rsid w:val="004242DB"/>
    <w:rsid w:val="00424825"/>
    <w:rsid w:val="004249B7"/>
    <w:rsid w:val="00424BB2"/>
    <w:rsid w:val="00424CD2"/>
    <w:rsid w:val="0042512F"/>
    <w:rsid w:val="00425265"/>
    <w:rsid w:val="00425508"/>
    <w:rsid w:val="00425540"/>
    <w:rsid w:val="0042573E"/>
    <w:rsid w:val="0042573F"/>
    <w:rsid w:val="004257F2"/>
    <w:rsid w:val="00425912"/>
    <w:rsid w:val="004259FF"/>
    <w:rsid w:val="00425AC2"/>
    <w:rsid w:val="00425BED"/>
    <w:rsid w:val="00425C0D"/>
    <w:rsid w:val="00425E3C"/>
    <w:rsid w:val="00426430"/>
    <w:rsid w:val="00426648"/>
    <w:rsid w:val="004266A4"/>
    <w:rsid w:val="0042695A"/>
    <w:rsid w:val="00426E18"/>
    <w:rsid w:val="00427069"/>
    <w:rsid w:val="0042710F"/>
    <w:rsid w:val="00427292"/>
    <w:rsid w:val="004272DB"/>
    <w:rsid w:val="004272F4"/>
    <w:rsid w:val="004273CD"/>
    <w:rsid w:val="00427410"/>
    <w:rsid w:val="00427482"/>
    <w:rsid w:val="0042772A"/>
    <w:rsid w:val="00427810"/>
    <w:rsid w:val="00427874"/>
    <w:rsid w:val="00427964"/>
    <w:rsid w:val="00427AA5"/>
    <w:rsid w:val="00427ADD"/>
    <w:rsid w:val="00427B2C"/>
    <w:rsid w:val="00427BDA"/>
    <w:rsid w:val="00427BEC"/>
    <w:rsid w:val="00427C6D"/>
    <w:rsid w:val="00427D06"/>
    <w:rsid w:val="00427FA3"/>
    <w:rsid w:val="0043014E"/>
    <w:rsid w:val="00430162"/>
    <w:rsid w:val="004301C6"/>
    <w:rsid w:val="0043026E"/>
    <w:rsid w:val="004306B5"/>
    <w:rsid w:val="00430B26"/>
    <w:rsid w:val="00430B2C"/>
    <w:rsid w:val="00430CB3"/>
    <w:rsid w:val="00430E00"/>
    <w:rsid w:val="00430F27"/>
    <w:rsid w:val="00431039"/>
    <w:rsid w:val="004310CB"/>
    <w:rsid w:val="00431359"/>
    <w:rsid w:val="004313AA"/>
    <w:rsid w:val="0043173C"/>
    <w:rsid w:val="00431BE1"/>
    <w:rsid w:val="00431CD3"/>
    <w:rsid w:val="00431D7A"/>
    <w:rsid w:val="00431EAC"/>
    <w:rsid w:val="00431ED1"/>
    <w:rsid w:val="00432091"/>
    <w:rsid w:val="00432138"/>
    <w:rsid w:val="00432184"/>
    <w:rsid w:val="00432702"/>
    <w:rsid w:val="0043298A"/>
    <w:rsid w:val="00432A9D"/>
    <w:rsid w:val="00432C42"/>
    <w:rsid w:val="00432D6B"/>
    <w:rsid w:val="00432DE0"/>
    <w:rsid w:val="00432EAF"/>
    <w:rsid w:val="00432EE5"/>
    <w:rsid w:val="00432F28"/>
    <w:rsid w:val="00432FF6"/>
    <w:rsid w:val="0043355D"/>
    <w:rsid w:val="004335F1"/>
    <w:rsid w:val="0043370F"/>
    <w:rsid w:val="00433A36"/>
    <w:rsid w:val="00433AF0"/>
    <w:rsid w:val="00433DA5"/>
    <w:rsid w:val="00433DA8"/>
    <w:rsid w:val="00433FA2"/>
    <w:rsid w:val="00433FCB"/>
    <w:rsid w:val="00434363"/>
    <w:rsid w:val="00434555"/>
    <w:rsid w:val="0043456B"/>
    <w:rsid w:val="00434A50"/>
    <w:rsid w:val="00434C72"/>
    <w:rsid w:val="00434D08"/>
    <w:rsid w:val="00434E01"/>
    <w:rsid w:val="00434E88"/>
    <w:rsid w:val="0043535E"/>
    <w:rsid w:val="0043553F"/>
    <w:rsid w:val="0043554B"/>
    <w:rsid w:val="0043564C"/>
    <w:rsid w:val="0043566B"/>
    <w:rsid w:val="00435933"/>
    <w:rsid w:val="00435A14"/>
    <w:rsid w:val="00435AB1"/>
    <w:rsid w:val="00435B2C"/>
    <w:rsid w:val="00435B37"/>
    <w:rsid w:val="00435F54"/>
    <w:rsid w:val="00435F7D"/>
    <w:rsid w:val="004361F3"/>
    <w:rsid w:val="004362A9"/>
    <w:rsid w:val="00436343"/>
    <w:rsid w:val="004363CC"/>
    <w:rsid w:val="004366DD"/>
    <w:rsid w:val="00436722"/>
    <w:rsid w:val="0043679D"/>
    <w:rsid w:val="0043687D"/>
    <w:rsid w:val="00436F17"/>
    <w:rsid w:val="00437095"/>
    <w:rsid w:val="00437103"/>
    <w:rsid w:val="0043759F"/>
    <w:rsid w:val="004375A5"/>
    <w:rsid w:val="00437702"/>
    <w:rsid w:val="00437929"/>
    <w:rsid w:val="00437C83"/>
    <w:rsid w:val="00437CF0"/>
    <w:rsid w:val="00437E3D"/>
    <w:rsid w:val="00437F88"/>
    <w:rsid w:val="00440180"/>
    <w:rsid w:val="0044019D"/>
    <w:rsid w:val="00440210"/>
    <w:rsid w:val="004402F6"/>
    <w:rsid w:val="00440589"/>
    <w:rsid w:val="004405FE"/>
    <w:rsid w:val="00440640"/>
    <w:rsid w:val="004406D5"/>
    <w:rsid w:val="0044072A"/>
    <w:rsid w:val="0044076C"/>
    <w:rsid w:val="0044086D"/>
    <w:rsid w:val="0044091E"/>
    <w:rsid w:val="00440B35"/>
    <w:rsid w:val="00440D01"/>
    <w:rsid w:val="00440DC5"/>
    <w:rsid w:val="00440EB4"/>
    <w:rsid w:val="00440FB3"/>
    <w:rsid w:val="00441091"/>
    <w:rsid w:val="0044111C"/>
    <w:rsid w:val="004411A2"/>
    <w:rsid w:val="004412E7"/>
    <w:rsid w:val="00441438"/>
    <w:rsid w:val="0044160B"/>
    <w:rsid w:val="00441978"/>
    <w:rsid w:val="00441E06"/>
    <w:rsid w:val="00441E0A"/>
    <w:rsid w:val="00441F2B"/>
    <w:rsid w:val="00441FD8"/>
    <w:rsid w:val="00442132"/>
    <w:rsid w:val="0044222D"/>
    <w:rsid w:val="00442241"/>
    <w:rsid w:val="0044227D"/>
    <w:rsid w:val="00442435"/>
    <w:rsid w:val="00442528"/>
    <w:rsid w:val="00442567"/>
    <w:rsid w:val="00442623"/>
    <w:rsid w:val="00442647"/>
    <w:rsid w:val="004428A2"/>
    <w:rsid w:val="00442A74"/>
    <w:rsid w:val="00442E1E"/>
    <w:rsid w:val="00442E72"/>
    <w:rsid w:val="00442E80"/>
    <w:rsid w:val="00442F50"/>
    <w:rsid w:val="004432CC"/>
    <w:rsid w:val="004433F4"/>
    <w:rsid w:val="00443562"/>
    <w:rsid w:val="0044362D"/>
    <w:rsid w:val="0044398A"/>
    <w:rsid w:val="004439C1"/>
    <w:rsid w:val="00443AB9"/>
    <w:rsid w:val="00443EAC"/>
    <w:rsid w:val="00443F46"/>
    <w:rsid w:val="00444099"/>
    <w:rsid w:val="004442E7"/>
    <w:rsid w:val="004446A9"/>
    <w:rsid w:val="00444798"/>
    <w:rsid w:val="0044487F"/>
    <w:rsid w:val="004449FC"/>
    <w:rsid w:val="00444A14"/>
    <w:rsid w:val="00444B4B"/>
    <w:rsid w:val="00445071"/>
    <w:rsid w:val="00445257"/>
    <w:rsid w:val="00445411"/>
    <w:rsid w:val="004454BF"/>
    <w:rsid w:val="00445A2C"/>
    <w:rsid w:val="00445DE1"/>
    <w:rsid w:val="00445ED3"/>
    <w:rsid w:val="00446007"/>
    <w:rsid w:val="004461BB"/>
    <w:rsid w:val="004461CE"/>
    <w:rsid w:val="00446293"/>
    <w:rsid w:val="0044629C"/>
    <w:rsid w:val="00446370"/>
    <w:rsid w:val="004463DA"/>
    <w:rsid w:val="004467A7"/>
    <w:rsid w:val="004467BE"/>
    <w:rsid w:val="004467C5"/>
    <w:rsid w:val="00446AA2"/>
    <w:rsid w:val="00446B25"/>
    <w:rsid w:val="00446B51"/>
    <w:rsid w:val="00446E0A"/>
    <w:rsid w:val="00446E20"/>
    <w:rsid w:val="00446E7E"/>
    <w:rsid w:val="00446FF6"/>
    <w:rsid w:val="00447108"/>
    <w:rsid w:val="0044712D"/>
    <w:rsid w:val="00447428"/>
    <w:rsid w:val="0044773E"/>
    <w:rsid w:val="0044791B"/>
    <w:rsid w:val="00447B4C"/>
    <w:rsid w:val="00447B80"/>
    <w:rsid w:val="00447BC9"/>
    <w:rsid w:val="00447C6C"/>
    <w:rsid w:val="00450071"/>
    <w:rsid w:val="0045008E"/>
    <w:rsid w:val="00450211"/>
    <w:rsid w:val="004502A6"/>
    <w:rsid w:val="004505EF"/>
    <w:rsid w:val="00450694"/>
    <w:rsid w:val="004508A8"/>
    <w:rsid w:val="00450A2B"/>
    <w:rsid w:val="00450BF0"/>
    <w:rsid w:val="00450D58"/>
    <w:rsid w:val="00450D86"/>
    <w:rsid w:val="00450FB9"/>
    <w:rsid w:val="00451029"/>
    <w:rsid w:val="004512B7"/>
    <w:rsid w:val="00451392"/>
    <w:rsid w:val="00451609"/>
    <w:rsid w:val="00451806"/>
    <w:rsid w:val="0045181D"/>
    <w:rsid w:val="00451902"/>
    <w:rsid w:val="00451A1F"/>
    <w:rsid w:val="00451AA9"/>
    <w:rsid w:val="00451AAB"/>
    <w:rsid w:val="00451E24"/>
    <w:rsid w:val="00451E27"/>
    <w:rsid w:val="00452035"/>
    <w:rsid w:val="00452209"/>
    <w:rsid w:val="00452364"/>
    <w:rsid w:val="004523C1"/>
    <w:rsid w:val="004525C8"/>
    <w:rsid w:val="004525FA"/>
    <w:rsid w:val="004529FE"/>
    <w:rsid w:val="00452A43"/>
    <w:rsid w:val="00452B69"/>
    <w:rsid w:val="00452E1B"/>
    <w:rsid w:val="00452EDC"/>
    <w:rsid w:val="004530D7"/>
    <w:rsid w:val="004530FA"/>
    <w:rsid w:val="004531D0"/>
    <w:rsid w:val="004532F7"/>
    <w:rsid w:val="004534D2"/>
    <w:rsid w:val="00453665"/>
    <w:rsid w:val="004536BB"/>
    <w:rsid w:val="00453751"/>
    <w:rsid w:val="00453758"/>
    <w:rsid w:val="00453894"/>
    <w:rsid w:val="00453953"/>
    <w:rsid w:val="00453959"/>
    <w:rsid w:val="00453B4E"/>
    <w:rsid w:val="00453C1B"/>
    <w:rsid w:val="00453D05"/>
    <w:rsid w:val="00453D61"/>
    <w:rsid w:val="00453F66"/>
    <w:rsid w:val="00454391"/>
    <w:rsid w:val="00454664"/>
    <w:rsid w:val="004547AD"/>
    <w:rsid w:val="004547BE"/>
    <w:rsid w:val="0045492C"/>
    <w:rsid w:val="00454A24"/>
    <w:rsid w:val="00454BF3"/>
    <w:rsid w:val="00454DDB"/>
    <w:rsid w:val="00454E04"/>
    <w:rsid w:val="00454EA3"/>
    <w:rsid w:val="00455051"/>
    <w:rsid w:val="004550A1"/>
    <w:rsid w:val="0045540A"/>
    <w:rsid w:val="00455887"/>
    <w:rsid w:val="004558CD"/>
    <w:rsid w:val="0045599B"/>
    <w:rsid w:val="00455A7F"/>
    <w:rsid w:val="00455AAF"/>
    <w:rsid w:val="00455AB1"/>
    <w:rsid w:val="00455AF3"/>
    <w:rsid w:val="004561BD"/>
    <w:rsid w:val="004563AB"/>
    <w:rsid w:val="004564DE"/>
    <w:rsid w:val="0045658C"/>
    <w:rsid w:val="004565B8"/>
    <w:rsid w:val="0045664E"/>
    <w:rsid w:val="0045677F"/>
    <w:rsid w:val="00456D09"/>
    <w:rsid w:val="00456D68"/>
    <w:rsid w:val="00457032"/>
    <w:rsid w:val="004571DA"/>
    <w:rsid w:val="00457223"/>
    <w:rsid w:val="004572B5"/>
    <w:rsid w:val="004573B9"/>
    <w:rsid w:val="00457577"/>
    <w:rsid w:val="00457816"/>
    <w:rsid w:val="00457BA4"/>
    <w:rsid w:val="00457C9B"/>
    <w:rsid w:val="00457E91"/>
    <w:rsid w:val="00457EE8"/>
    <w:rsid w:val="00457F5B"/>
    <w:rsid w:val="00457F5D"/>
    <w:rsid w:val="00460112"/>
    <w:rsid w:val="00460389"/>
    <w:rsid w:val="0046049A"/>
    <w:rsid w:val="004604C8"/>
    <w:rsid w:val="00460658"/>
    <w:rsid w:val="00460920"/>
    <w:rsid w:val="00460A7B"/>
    <w:rsid w:val="00460AF6"/>
    <w:rsid w:val="00460D7E"/>
    <w:rsid w:val="00460DE8"/>
    <w:rsid w:val="00460E24"/>
    <w:rsid w:val="00461180"/>
    <w:rsid w:val="004611E3"/>
    <w:rsid w:val="0046133E"/>
    <w:rsid w:val="004613C9"/>
    <w:rsid w:val="00461510"/>
    <w:rsid w:val="00461512"/>
    <w:rsid w:val="004615BF"/>
    <w:rsid w:val="0046165A"/>
    <w:rsid w:val="00461B97"/>
    <w:rsid w:val="00461D30"/>
    <w:rsid w:val="00461E09"/>
    <w:rsid w:val="00461E36"/>
    <w:rsid w:val="00461E44"/>
    <w:rsid w:val="00461EB8"/>
    <w:rsid w:val="004620C1"/>
    <w:rsid w:val="0046213A"/>
    <w:rsid w:val="00462211"/>
    <w:rsid w:val="00462292"/>
    <w:rsid w:val="004624DB"/>
    <w:rsid w:val="00462517"/>
    <w:rsid w:val="004625AA"/>
    <w:rsid w:val="004625D9"/>
    <w:rsid w:val="004625E1"/>
    <w:rsid w:val="0046261C"/>
    <w:rsid w:val="00462ABD"/>
    <w:rsid w:val="00462BB8"/>
    <w:rsid w:val="00462C1F"/>
    <w:rsid w:val="00462E1F"/>
    <w:rsid w:val="00463125"/>
    <w:rsid w:val="004631BD"/>
    <w:rsid w:val="004635C3"/>
    <w:rsid w:val="004635EA"/>
    <w:rsid w:val="004637D0"/>
    <w:rsid w:val="00463827"/>
    <w:rsid w:val="00463851"/>
    <w:rsid w:val="00463F48"/>
    <w:rsid w:val="00463F90"/>
    <w:rsid w:val="004644F2"/>
    <w:rsid w:val="00464654"/>
    <w:rsid w:val="004647EE"/>
    <w:rsid w:val="00464BE0"/>
    <w:rsid w:val="00464C52"/>
    <w:rsid w:val="00464CC4"/>
    <w:rsid w:val="00464DCF"/>
    <w:rsid w:val="00464FC5"/>
    <w:rsid w:val="0046507C"/>
    <w:rsid w:val="00465288"/>
    <w:rsid w:val="004652C2"/>
    <w:rsid w:val="004652DC"/>
    <w:rsid w:val="00465350"/>
    <w:rsid w:val="004653A3"/>
    <w:rsid w:val="00465400"/>
    <w:rsid w:val="00465527"/>
    <w:rsid w:val="00465529"/>
    <w:rsid w:val="0046573B"/>
    <w:rsid w:val="0046591B"/>
    <w:rsid w:val="00465976"/>
    <w:rsid w:val="00465A0A"/>
    <w:rsid w:val="00465C2C"/>
    <w:rsid w:val="00466034"/>
    <w:rsid w:val="004660E5"/>
    <w:rsid w:val="00466203"/>
    <w:rsid w:val="00466239"/>
    <w:rsid w:val="004663FF"/>
    <w:rsid w:val="00466428"/>
    <w:rsid w:val="0046665A"/>
    <w:rsid w:val="004669A0"/>
    <w:rsid w:val="00466AFE"/>
    <w:rsid w:val="00466D9B"/>
    <w:rsid w:val="00466DC1"/>
    <w:rsid w:val="00466DCB"/>
    <w:rsid w:val="00466DFB"/>
    <w:rsid w:val="00466EAA"/>
    <w:rsid w:val="00466F07"/>
    <w:rsid w:val="00466FFE"/>
    <w:rsid w:val="004670D8"/>
    <w:rsid w:val="00467167"/>
    <w:rsid w:val="00467268"/>
    <w:rsid w:val="004675D3"/>
    <w:rsid w:val="00467A6F"/>
    <w:rsid w:val="00467B1E"/>
    <w:rsid w:val="00467B55"/>
    <w:rsid w:val="00467E15"/>
    <w:rsid w:val="00470094"/>
    <w:rsid w:val="0047011C"/>
    <w:rsid w:val="00470175"/>
    <w:rsid w:val="00470288"/>
    <w:rsid w:val="004706F5"/>
    <w:rsid w:val="00470787"/>
    <w:rsid w:val="00470994"/>
    <w:rsid w:val="00470A17"/>
    <w:rsid w:val="00470B66"/>
    <w:rsid w:val="00470B92"/>
    <w:rsid w:val="00470BF1"/>
    <w:rsid w:val="00470C48"/>
    <w:rsid w:val="00470FCA"/>
    <w:rsid w:val="004712C8"/>
    <w:rsid w:val="00471426"/>
    <w:rsid w:val="00471541"/>
    <w:rsid w:val="0047182A"/>
    <w:rsid w:val="00471972"/>
    <w:rsid w:val="00471974"/>
    <w:rsid w:val="00471987"/>
    <w:rsid w:val="00471DF8"/>
    <w:rsid w:val="00471E93"/>
    <w:rsid w:val="00471ECB"/>
    <w:rsid w:val="004721AF"/>
    <w:rsid w:val="00472498"/>
    <w:rsid w:val="004727B0"/>
    <w:rsid w:val="004727D2"/>
    <w:rsid w:val="00472830"/>
    <w:rsid w:val="00472A36"/>
    <w:rsid w:val="00472A6A"/>
    <w:rsid w:val="00472D45"/>
    <w:rsid w:val="00472DA9"/>
    <w:rsid w:val="00472F38"/>
    <w:rsid w:val="00472F48"/>
    <w:rsid w:val="00472F7F"/>
    <w:rsid w:val="00472FE3"/>
    <w:rsid w:val="00473120"/>
    <w:rsid w:val="004732B6"/>
    <w:rsid w:val="00473325"/>
    <w:rsid w:val="004734D7"/>
    <w:rsid w:val="00473554"/>
    <w:rsid w:val="004736C5"/>
    <w:rsid w:val="0047388E"/>
    <w:rsid w:val="004739D4"/>
    <w:rsid w:val="00473FF9"/>
    <w:rsid w:val="00474072"/>
    <w:rsid w:val="004740C9"/>
    <w:rsid w:val="0047414D"/>
    <w:rsid w:val="004747B9"/>
    <w:rsid w:val="0047491E"/>
    <w:rsid w:val="00474A52"/>
    <w:rsid w:val="00474B9E"/>
    <w:rsid w:val="00474C57"/>
    <w:rsid w:val="00474C9B"/>
    <w:rsid w:val="00474D0D"/>
    <w:rsid w:val="00474F64"/>
    <w:rsid w:val="00475037"/>
    <w:rsid w:val="00475242"/>
    <w:rsid w:val="0047537C"/>
    <w:rsid w:val="00475BD5"/>
    <w:rsid w:val="00475DB4"/>
    <w:rsid w:val="00475F42"/>
    <w:rsid w:val="00475F4D"/>
    <w:rsid w:val="00475F55"/>
    <w:rsid w:val="0047610C"/>
    <w:rsid w:val="00476128"/>
    <w:rsid w:val="00476142"/>
    <w:rsid w:val="0047614F"/>
    <w:rsid w:val="004761AA"/>
    <w:rsid w:val="00476206"/>
    <w:rsid w:val="0047639B"/>
    <w:rsid w:val="0047649B"/>
    <w:rsid w:val="004764CC"/>
    <w:rsid w:val="004766B5"/>
    <w:rsid w:val="0047696A"/>
    <w:rsid w:val="00476D6A"/>
    <w:rsid w:val="00476D9D"/>
    <w:rsid w:val="00477277"/>
    <w:rsid w:val="00477564"/>
    <w:rsid w:val="0047764F"/>
    <w:rsid w:val="004776DD"/>
    <w:rsid w:val="0047770F"/>
    <w:rsid w:val="004778CB"/>
    <w:rsid w:val="00477A8B"/>
    <w:rsid w:val="00477C1A"/>
    <w:rsid w:val="00477E61"/>
    <w:rsid w:val="0048005B"/>
    <w:rsid w:val="0048012E"/>
    <w:rsid w:val="004803C5"/>
    <w:rsid w:val="0048042F"/>
    <w:rsid w:val="004805D3"/>
    <w:rsid w:val="00480673"/>
    <w:rsid w:val="00480872"/>
    <w:rsid w:val="00480B79"/>
    <w:rsid w:val="00480B84"/>
    <w:rsid w:val="00480CEE"/>
    <w:rsid w:val="00480CF0"/>
    <w:rsid w:val="00480D85"/>
    <w:rsid w:val="00480F43"/>
    <w:rsid w:val="0048117E"/>
    <w:rsid w:val="004812F5"/>
    <w:rsid w:val="00481489"/>
    <w:rsid w:val="004815B6"/>
    <w:rsid w:val="00481779"/>
    <w:rsid w:val="00481A01"/>
    <w:rsid w:val="00481C3A"/>
    <w:rsid w:val="00481DAB"/>
    <w:rsid w:val="00482019"/>
    <w:rsid w:val="004822AC"/>
    <w:rsid w:val="0048248A"/>
    <w:rsid w:val="00482904"/>
    <w:rsid w:val="0048290F"/>
    <w:rsid w:val="004829F2"/>
    <w:rsid w:val="00482AD5"/>
    <w:rsid w:val="00482B6C"/>
    <w:rsid w:val="00482D08"/>
    <w:rsid w:val="00482D54"/>
    <w:rsid w:val="00483047"/>
    <w:rsid w:val="00483122"/>
    <w:rsid w:val="0048321C"/>
    <w:rsid w:val="0048342D"/>
    <w:rsid w:val="0048344F"/>
    <w:rsid w:val="00483735"/>
    <w:rsid w:val="0048412D"/>
    <w:rsid w:val="00484292"/>
    <w:rsid w:val="00484314"/>
    <w:rsid w:val="004846D7"/>
    <w:rsid w:val="004847B7"/>
    <w:rsid w:val="004847F5"/>
    <w:rsid w:val="004848A3"/>
    <w:rsid w:val="00484B0C"/>
    <w:rsid w:val="00484D8A"/>
    <w:rsid w:val="0048509B"/>
    <w:rsid w:val="00485215"/>
    <w:rsid w:val="004856FE"/>
    <w:rsid w:val="00485786"/>
    <w:rsid w:val="004858CC"/>
    <w:rsid w:val="00485B55"/>
    <w:rsid w:val="00485C90"/>
    <w:rsid w:val="00485CDF"/>
    <w:rsid w:val="00485E54"/>
    <w:rsid w:val="00485F10"/>
    <w:rsid w:val="00485FEB"/>
    <w:rsid w:val="00486160"/>
    <w:rsid w:val="00486299"/>
    <w:rsid w:val="0048648D"/>
    <w:rsid w:val="004864EC"/>
    <w:rsid w:val="004868A8"/>
    <w:rsid w:val="004868DC"/>
    <w:rsid w:val="004869C7"/>
    <w:rsid w:val="004869E7"/>
    <w:rsid w:val="00486A1F"/>
    <w:rsid w:val="00486F35"/>
    <w:rsid w:val="00487088"/>
    <w:rsid w:val="0048735A"/>
    <w:rsid w:val="00487812"/>
    <w:rsid w:val="00487F4F"/>
    <w:rsid w:val="00487F50"/>
    <w:rsid w:val="0049000A"/>
    <w:rsid w:val="0049006A"/>
    <w:rsid w:val="00490098"/>
    <w:rsid w:val="004904EB"/>
    <w:rsid w:val="00490768"/>
    <w:rsid w:val="00490AA7"/>
    <w:rsid w:val="00490AB8"/>
    <w:rsid w:val="00490CAE"/>
    <w:rsid w:val="00490ECB"/>
    <w:rsid w:val="004910FA"/>
    <w:rsid w:val="0049114B"/>
    <w:rsid w:val="00491203"/>
    <w:rsid w:val="0049123D"/>
    <w:rsid w:val="004913BE"/>
    <w:rsid w:val="00491411"/>
    <w:rsid w:val="0049160D"/>
    <w:rsid w:val="004917A4"/>
    <w:rsid w:val="004917C1"/>
    <w:rsid w:val="004918A0"/>
    <w:rsid w:val="00492032"/>
    <w:rsid w:val="00492245"/>
    <w:rsid w:val="004922EB"/>
    <w:rsid w:val="004923C4"/>
    <w:rsid w:val="004923EB"/>
    <w:rsid w:val="0049240C"/>
    <w:rsid w:val="00492473"/>
    <w:rsid w:val="00492A66"/>
    <w:rsid w:val="00492B10"/>
    <w:rsid w:val="00492BB7"/>
    <w:rsid w:val="00492BE8"/>
    <w:rsid w:val="00492C36"/>
    <w:rsid w:val="00492C57"/>
    <w:rsid w:val="00492DE6"/>
    <w:rsid w:val="00492EC8"/>
    <w:rsid w:val="004931DB"/>
    <w:rsid w:val="0049326D"/>
    <w:rsid w:val="00493388"/>
    <w:rsid w:val="004933E1"/>
    <w:rsid w:val="0049358B"/>
    <w:rsid w:val="004936BF"/>
    <w:rsid w:val="004936E2"/>
    <w:rsid w:val="00493B08"/>
    <w:rsid w:val="00493B4D"/>
    <w:rsid w:val="00493C1F"/>
    <w:rsid w:val="00493C91"/>
    <w:rsid w:val="00493CE5"/>
    <w:rsid w:val="00493E03"/>
    <w:rsid w:val="00493F8D"/>
    <w:rsid w:val="00494177"/>
    <w:rsid w:val="0049429A"/>
    <w:rsid w:val="00494307"/>
    <w:rsid w:val="00494342"/>
    <w:rsid w:val="0049437B"/>
    <w:rsid w:val="004944D8"/>
    <w:rsid w:val="004945C9"/>
    <w:rsid w:val="00494743"/>
    <w:rsid w:val="0049488B"/>
    <w:rsid w:val="00494C5E"/>
    <w:rsid w:val="00494D45"/>
    <w:rsid w:val="00494DE1"/>
    <w:rsid w:val="00495063"/>
    <w:rsid w:val="004950CA"/>
    <w:rsid w:val="004951D3"/>
    <w:rsid w:val="004956F1"/>
    <w:rsid w:val="004958B7"/>
    <w:rsid w:val="0049590D"/>
    <w:rsid w:val="0049599A"/>
    <w:rsid w:val="00495A71"/>
    <w:rsid w:val="00495BD8"/>
    <w:rsid w:val="00495DDA"/>
    <w:rsid w:val="00495E15"/>
    <w:rsid w:val="00495FCF"/>
    <w:rsid w:val="0049606E"/>
    <w:rsid w:val="004962A3"/>
    <w:rsid w:val="004965F1"/>
    <w:rsid w:val="004967AE"/>
    <w:rsid w:val="00496A4E"/>
    <w:rsid w:val="00496B00"/>
    <w:rsid w:val="00496BD8"/>
    <w:rsid w:val="00496C68"/>
    <w:rsid w:val="00496DDC"/>
    <w:rsid w:val="00497070"/>
    <w:rsid w:val="00497082"/>
    <w:rsid w:val="0049716A"/>
    <w:rsid w:val="004971B4"/>
    <w:rsid w:val="004971E6"/>
    <w:rsid w:val="004972C0"/>
    <w:rsid w:val="0049736B"/>
    <w:rsid w:val="004974EF"/>
    <w:rsid w:val="0049765F"/>
    <w:rsid w:val="004976BD"/>
    <w:rsid w:val="00497724"/>
    <w:rsid w:val="004979CC"/>
    <w:rsid w:val="00497AD8"/>
    <w:rsid w:val="00497C92"/>
    <w:rsid w:val="00497D55"/>
    <w:rsid w:val="00497E50"/>
    <w:rsid w:val="00497F20"/>
    <w:rsid w:val="00497FD9"/>
    <w:rsid w:val="004A0134"/>
    <w:rsid w:val="004A050E"/>
    <w:rsid w:val="004A084E"/>
    <w:rsid w:val="004A0888"/>
    <w:rsid w:val="004A0958"/>
    <w:rsid w:val="004A09BA"/>
    <w:rsid w:val="004A0BE5"/>
    <w:rsid w:val="004A0C0B"/>
    <w:rsid w:val="004A0C8E"/>
    <w:rsid w:val="004A0CF3"/>
    <w:rsid w:val="004A0F04"/>
    <w:rsid w:val="004A138E"/>
    <w:rsid w:val="004A1480"/>
    <w:rsid w:val="004A17F6"/>
    <w:rsid w:val="004A19A7"/>
    <w:rsid w:val="004A1D4F"/>
    <w:rsid w:val="004A20D5"/>
    <w:rsid w:val="004A23C7"/>
    <w:rsid w:val="004A23D5"/>
    <w:rsid w:val="004A2520"/>
    <w:rsid w:val="004A2672"/>
    <w:rsid w:val="004A2728"/>
    <w:rsid w:val="004A2A52"/>
    <w:rsid w:val="004A2F2A"/>
    <w:rsid w:val="004A3866"/>
    <w:rsid w:val="004A3A46"/>
    <w:rsid w:val="004A3D3F"/>
    <w:rsid w:val="004A4184"/>
    <w:rsid w:val="004A452C"/>
    <w:rsid w:val="004A47B8"/>
    <w:rsid w:val="004A4864"/>
    <w:rsid w:val="004A489C"/>
    <w:rsid w:val="004A4B95"/>
    <w:rsid w:val="004A4DC4"/>
    <w:rsid w:val="004A4EE5"/>
    <w:rsid w:val="004A4F3C"/>
    <w:rsid w:val="004A4FB1"/>
    <w:rsid w:val="004A5008"/>
    <w:rsid w:val="004A5083"/>
    <w:rsid w:val="004A51E7"/>
    <w:rsid w:val="004A52D4"/>
    <w:rsid w:val="004A531E"/>
    <w:rsid w:val="004A53A3"/>
    <w:rsid w:val="004A5490"/>
    <w:rsid w:val="004A556D"/>
    <w:rsid w:val="004A58EC"/>
    <w:rsid w:val="004A5EC5"/>
    <w:rsid w:val="004A5F06"/>
    <w:rsid w:val="004A604B"/>
    <w:rsid w:val="004A61D2"/>
    <w:rsid w:val="004A6211"/>
    <w:rsid w:val="004A6405"/>
    <w:rsid w:val="004A64C2"/>
    <w:rsid w:val="004A65BA"/>
    <w:rsid w:val="004A667C"/>
    <w:rsid w:val="004A6765"/>
    <w:rsid w:val="004A68AA"/>
    <w:rsid w:val="004A68C6"/>
    <w:rsid w:val="004A6943"/>
    <w:rsid w:val="004A6BA2"/>
    <w:rsid w:val="004A6C0E"/>
    <w:rsid w:val="004A6F4C"/>
    <w:rsid w:val="004A70B4"/>
    <w:rsid w:val="004A71ED"/>
    <w:rsid w:val="004A7818"/>
    <w:rsid w:val="004A7A8D"/>
    <w:rsid w:val="004A7C5E"/>
    <w:rsid w:val="004A7EE3"/>
    <w:rsid w:val="004A7EE5"/>
    <w:rsid w:val="004B0236"/>
    <w:rsid w:val="004B02D5"/>
    <w:rsid w:val="004B0410"/>
    <w:rsid w:val="004B04F2"/>
    <w:rsid w:val="004B0A2F"/>
    <w:rsid w:val="004B0AC0"/>
    <w:rsid w:val="004B0B29"/>
    <w:rsid w:val="004B0B9D"/>
    <w:rsid w:val="004B10DF"/>
    <w:rsid w:val="004B1194"/>
    <w:rsid w:val="004B155F"/>
    <w:rsid w:val="004B1562"/>
    <w:rsid w:val="004B16C4"/>
    <w:rsid w:val="004B1883"/>
    <w:rsid w:val="004B1A1B"/>
    <w:rsid w:val="004B1A28"/>
    <w:rsid w:val="004B1B11"/>
    <w:rsid w:val="004B20B9"/>
    <w:rsid w:val="004B21EB"/>
    <w:rsid w:val="004B2365"/>
    <w:rsid w:val="004B27E1"/>
    <w:rsid w:val="004B2972"/>
    <w:rsid w:val="004B2A28"/>
    <w:rsid w:val="004B2A75"/>
    <w:rsid w:val="004B2AF5"/>
    <w:rsid w:val="004B2B66"/>
    <w:rsid w:val="004B2BDC"/>
    <w:rsid w:val="004B2BF5"/>
    <w:rsid w:val="004B2C3C"/>
    <w:rsid w:val="004B2E8D"/>
    <w:rsid w:val="004B3401"/>
    <w:rsid w:val="004B3770"/>
    <w:rsid w:val="004B383E"/>
    <w:rsid w:val="004B3999"/>
    <w:rsid w:val="004B3A9C"/>
    <w:rsid w:val="004B3B88"/>
    <w:rsid w:val="004B3BF1"/>
    <w:rsid w:val="004B3C50"/>
    <w:rsid w:val="004B3DA1"/>
    <w:rsid w:val="004B3E1A"/>
    <w:rsid w:val="004B3F36"/>
    <w:rsid w:val="004B4009"/>
    <w:rsid w:val="004B420C"/>
    <w:rsid w:val="004B425D"/>
    <w:rsid w:val="004B455E"/>
    <w:rsid w:val="004B479A"/>
    <w:rsid w:val="004B4938"/>
    <w:rsid w:val="004B49DA"/>
    <w:rsid w:val="004B4A03"/>
    <w:rsid w:val="004B4E5D"/>
    <w:rsid w:val="004B4ECD"/>
    <w:rsid w:val="004B54CE"/>
    <w:rsid w:val="004B5580"/>
    <w:rsid w:val="004B5692"/>
    <w:rsid w:val="004B586A"/>
    <w:rsid w:val="004B5A53"/>
    <w:rsid w:val="004B5CC4"/>
    <w:rsid w:val="004B5FBD"/>
    <w:rsid w:val="004B644E"/>
    <w:rsid w:val="004B65D8"/>
    <w:rsid w:val="004B6719"/>
    <w:rsid w:val="004B6B89"/>
    <w:rsid w:val="004B6F0C"/>
    <w:rsid w:val="004B6F2D"/>
    <w:rsid w:val="004B7192"/>
    <w:rsid w:val="004B720B"/>
    <w:rsid w:val="004B7396"/>
    <w:rsid w:val="004B7419"/>
    <w:rsid w:val="004B746E"/>
    <w:rsid w:val="004B74D2"/>
    <w:rsid w:val="004B7764"/>
    <w:rsid w:val="004B790F"/>
    <w:rsid w:val="004B7D2E"/>
    <w:rsid w:val="004B7D7D"/>
    <w:rsid w:val="004B7F87"/>
    <w:rsid w:val="004C0009"/>
    <w:rsid w:val="004C0141"/>
    <w:rsid w:val="004C05BC"/>
    <w:rsid w:val="004C06DD"/>
    <w:rsid w:val="004C0716"/>
    <w:rsid w:val="004C0797"/>
    <w:rsid w:val="004C083F"/>
    <w:rsid w:val="004C0B66"/>
    <w:rsid w:val="004C0BDD"/>
    <w:rsid w:val="004C0CBD"/>
    <w:rsid w:val="004C1673"/>
    <w:rsid w:val="004C1926"/>
    <w:rsid w:val="004C1A39"/>
    <w:rsid w:val="004C1AA0"/>
    <w:rsid w:val="004C1ACD"/>
    <w:rsid w:val="004C1B74"/>
    <w:rsid w:val="004C1BF5"/>
    <w:rsid w:val="004C1C19"/>
    <w:rsid w:val="004C1E41"/>
    <w:rsid w:val="004C1E99"/>
    <w:rsid w:val="004C1FC9"/>
    <w:rsid w:val="004C2032"/>
    <w:rsid w:val="004C2087"/>
    <w:rsid w:val="004C20A4"/>
    <w:rsid w:val="004C20A7"/>
    <w:rsid w:val="004C2420"/>
    <w:rsid w:val="004C2591"/>
    <w:rsid w:val="004C267A"/>
    <w:rsid w:val="004C28F5"/>
    <w:rsid w:val="004C2A5F"/>
    <w:rsid w:val="004C2B8B"/>
    <w:rsid w:val="004C2E35"/>
    <w:rsid w:val="004C2E65"/>
    <w:rsid w:val="004C2F58"/>
    <w:rsid w:val="004C3106"/>
    <w:rsid w:val="004C31E7"/>
    <w:rsid w:val="004C33FE"/>
    <w:rsid w:val="004C3605"/>
    <w:rsid w:val="004C3609"/>
    <w:rsid w:val="004C36C9"/>
    <w:rsid w:val="004C37E4"/>
    <w:rsid w:val="004C38F4"/>
    <w:rsid w:val="004C3CF2"/>
    <w:rsid w:val="004C3DD7"/>
    <w:rsid w:val="004C3FDC"/>
    <w:rsid w:val="004C44AF"/>
    <w:rsid w:val="004C45C3"/>
    <w:rsid w:val="004C4686"/>
    <w:rsid w:val="004C479E"/>
    <w:rsid w:val="004C47F1"/>
    <w:rsid w:val="004C49C8"/>
    <w:rsid w:val="004C4C73"/>
    <w:rsid w:val="004C4C84"/>
    <w:rsid w:val="004C4F6A"/>
    <w:rsid w:val="004C5204"/>
    <w:rsid w:val="004C5333"/>
    <w:rsid w:val="004C544D"/>
    <w:rsid w:val="004C5532"/>
    <w:rsid w:val="004C55F7"/>
    <w:rsid w:val="004C5654"/>
    <w:rsid w:val="004C569A"/>
    <w:rsid w:val="004C5704"/>
    <w:rsid w:val="004C58C8"/>
    <w:rsid w:val="004C591A"/>
    <w:rsid w:val="004C599C"/>
    <w:rsid w:val="004C5B6F"/>
    <w:rsid w:val="004C5BD0"/>
    <w:rsid w:val="004C5CF2"/>
    <w:rsid w:val="004C5EB2"/>
    <w:rsid w:val="004C5EE5"/>
    <w:rsid w:val="004C604B"/>
    <w:rsid w:val="004C617F"/>
    <w:rsid w:val="004C61B6"/>
    <w:rsid w:val="004C625A"/>
    <w:rsid w:val="004C64AC"/>
    <w:rsid w:val="004C667A"/>
    <w:rsid w:val="004C6A78"/>
    <w:rsid w:val="004C6A84"/>
    <w:rsid w:val="004C6ACE"/>
    <w:rsid w:val="004C6C47"/>
    <w:rsid w:val="004C6CDC"/>
    <w:rsid w:val="004C6ED1"/>
    <w:rsid w:val="004C6EF6"/>
    <w:rsid w:val="004C6F53"/>
    <w:rsid w:val="004C7024"/>
    <w:rsid w:val="004C70C9"/>
    <w:rsid w:val="004C71F9"/>
    <w:rsid w:val="004C7954"/>
    <w:rsid w:val="004C796C"/>
    <w:rsid w:val="004C79B4"/>
    <w:rsid w:val="004C7B1C"/>
    <w:rsid w:val="004C7B37"/>
    <w:rsid w:val="004C7BC1"/>
    <w:rsid w:val="004C7E7E"/>
    <w:rsid w:val="004D0412"/>
    <w:rsid w:val="004D099A"/>
    <w:rsid w:val="004D0B22"/>
    <w:rsid w:val="004D0B65"/>
    <w:rsid w:val="004D0DA8"/>
    <w:rsid w:val="004D0DF8"/>
    <w:rsid w:val="004D0F3B"/>
    <w:rsid w:val="004D103F"/>
    <w:rsid w:val="004D1253"/>
    <w:rsid w:val="004D16B2"/>
    <w:rsid w:val="004D1913"/>
    <w:rsid w:val="004D1CBE"/>
    <w:rsid w:val="004D1D00"/>
    <w:rsid w:val="004D1E1F"/>
    <w:rsid w:val="004D1E72"/>
    <w:rsid w:val="004D1EBA"/>
    <w:rsid w:val="004D1F1E"/>
    <w:rsid w:val="004D2112"/>
    <w:rsid w:val="004D2387"/>
    <w:rsid w:val="004D2634"/>
    <w:rsid w:val="004D279B"/>
    <w:rsid w:val="004D283D"/>
    <w:rsid w:val="004D2AC7"/>
    <w:rsid w:val="004D2B90"/>
    <w:rsid w:val="004D2BF9"/>
    <w:rsid w:val="004D2ECF"/>
    <w:rsid w:val="004D2F53"/>
    <w:rsid w:val="004D2F57"/>
    <w:rsid w:val="004D3055"/>
    <w:rsid w:val="004D34AB"/>
    <w:rsid w:val="004D3529"/>
    <w:rsid w:val="004D3812"/>
    <w:rsid w:val="004D398B"/>
    <w:rsid w:val="004D3D45"/>
    <w:rsid w:val="004D3E1B"/>
    <w:rsid w:val="004D3F15"/>
    <w:rsid w:val="004D3FAD"/>
    <w:rsid w:val="004D3FF2"/>
    <w:rsid w:val="004D413B"/>
    <w:rsid w:val="004D432D"/>
    <w:rsid w:val="004D43D3"/>
    <w:rsid w:val="004D443E"/>
    <w:rsid w:val="004D44AD"/>
    <w:rsid w:val="004D4662"/>
    <w:rsid w:val="004D472A"/>
    <w:rsid w:val="004D4A1F"/>
    <w:rsid w:val="004D4DBE"/>
    <w:rsid w:val="004D50B9"/>
    <w:rsid w:val="004D53B3"/>
    <w:rsid w:val="004D5429"/>
    <w:rsid w:val="004D56D6"/>
    <w:rsid w:val="004D577F"/>
    <w:rsid w:val="004D591B"/>
    <w:rsid w:val="004D5C3D"/>
    <w:rsid w:val="004D5CE9"/>
    <w:rsid w:val="004D5CF3"/>
    <w:rsid w:val="004D5DFB"/>
    <w:rsid w:val="004D5E39"/>
    <w:rsid w:val="004D5EE3"/>
    <w:rsid w:val="004D5F09"/>
    <w:rsid w:val="004D6092"/>
    <w:rsid w:val="004D629D"/>
    <w:rsid w:val="004D6537"/>
    <w:rsid w:val="004D66E8"/>
    <w:rsid w:val="004D6A73"/>
    <w:rsid w:val="004D6C8C"/>
    <w:rsid w:val="004D6CDC"/>
    <w:rsid w:val="004D6DBB"/>
    <w:rsid w:val="004D705E"/>
    <w:rsid w:val="004D70A7"/>
    <w:rsid w:val="004D7469"/>
    <w:rsid w:val="004D7480"/>
    <w:rsid w:val="004D752D"/>
    <w:rsid w:val="004D75FE"/>
    <w:rsid w:val="004D76B4"/>
    <w:rsid w:val="004D7870"/>
    <w:rsid w:val="004D7B51"/>
    <w:rsid w:val="004D7BCB"/>
    <w:rsid w:val="004D7C24"/>
    <w:rsid w:val="004D7D7A"/>
    <w:rsid w:val="004D7EF6"/>
    <w:rsid w:val="004D7F11"/>
    <w:rsid w:val="004E0090"/>
    <w:rsid w:val="004E00E6"/>
    <w:rsid w:val="004E040F"/>
    <w:rsid w:val="004E059A"/>
    <w:rsid w:val="004E06C8"/>
    <w:rsid w:val="004E0890"/>
    <w:rsid w:val="004E09A2"/>
    <w:rsid w:val="004E0CBF"/>
    <w:rsid w:val="004E0D75"/>
    <w:rsid w:val="004E0EC2"/>
    <w:rsid w:val="004E0F2B"/>
    <w:rsid w:val="004E1074"/>
    <w:rsid w:val="004E1155"/>
    <w:rsid w:val="004E1272"/>
    <w:rsid w:val="004E15C6"/>
    <w:rsid w:val="004E1892"/>
    <w:rsid w:val="004E1A75"/>
    <w:rsid w:val="004E1D3B"/>
    <w:rsid w:val="004E1FEF"/>
    <w:rsid w:val="004E204B"/>
    <w:rsid w:val="004E2334"/>
    <w:rsid w:val="004E2609"/>
    <w:rsid w:val="004E292F"/>
    <w:rsid w:val="004E2A23"/>
    <w:rsid w:val="004E2A4B"/>
    <w:rsid w:val="004E2A67"/>
    <w:rsid w:val="004E2B8B"/>
    <w:rsid w:val="004E2F94"/>
    <w:rsid w:val="004E3024"/>
    <w:rsid w:val="004E30D4"/>
    <w:rsid w:val="004E31F8"/>
    <w:rsid w:val="004E34E9"/>
    <w:rsid w:val="004E36C2"/>
    <w:rsid w:val="004E3728"/>
    <w:rsid w:val="004E390F"/>
    <w:rsid w:val="004E39A6"/>
    <w:rsid w:val="004E39CE"/>
    <w:rsid w:val="004E39EB"/>
    <w:rsid w:val="004E3B22"/>
    <w:rsid w:val="004E3BC8"/>
    <w:rsid w:val="004E3D8B"/>
    <w:rsid w:val="004E3DB8"/>
    <w:rsid w:val="004E3E2B"/>
    <w:rsid w:val="004E3F59"/>
    <w:rsid w:val="004E3FDA"/>
    <w:rsid w:val="004E40B6"/>
    <w:rsid w:val="004E411D"/>
    <w:rsid w:val="004E41E6"/>
    <w:rsid w:val="004E460E"/>
    <w:rsid w:val="004E4622"/>
    <w:rsid w:val="004E471A"/>
    <w:rsid w:val="004E4865"/>
    <w:rsid w:val="004E4A5E"/>
    <w:rsid w:val="004E4B81"/>
    <w:rsid w:val="004E4FA2"/>
    <w:rsid w:val="004E5041"/>
    <w:rsid w:val="004E50EA"/>
    <w:rsid w:val="004E512B"/>
    <w:rsid w:val="004E52A7"/>
    <w:rsid w:val="004E52E8"/>
    <w:rsid w:val="004E59D2"/>
    <w:rsid w:val="004E5A47"/>
    <w:rsid w:val="004E5C5F"/>
    <w:rsid w:val="004E5DEA"/>
    <w:rsid w:val="004E6136"/>
    <w:rsid w:val="004E61D1"/>
    <w:rsid w:val="004E633D"/>
    <w:rsid w:val="004E63BB"/>
    <w:rsid w:val="004E67B1"/>
    <w:rsid w:val="004E6B86"/>
    <w:rsid w:val="004E6BD6"/>
    <w:rsid w:val="004E6C97"/>
    <w:rsid w:val="004E702B"/>
    <w:rsid w:val="004E7184"/>
    <w:rsid w:val="004E71A0"/>
    <w:rsid w:val="004E728A"/>
    <w:rsid w:val="004E7911"/>
    <w:rsid w:val="004E79DF"/>
    <w:rsid w:val="004E7EA6"/>
    <w:rsid w:val="004F00E0"/>
    <w:rsid w:val="004F0188"/>
    <w:rsid w:val="004F027F"/>
    <w:rsid w:val="004F03C2"/>
    <w:rsid w:val="004F0500"/>
    <w:rsid w:val="004F052A"/>
    <w:rsid w:val="004F0743"/>
    <w:rsid w:val="004F0A8B"/>
    <w:rsid w:val="004F0C89"/>
    <w:rsid w:val="004F0D7B"/>
    <w:rsid w:val="004F0FFE"/>
    <w:rsid w:val="004F1031"/>
    <w:rsid w:val="004F1160"/>
    <w:rsid w:val="004F1193"/>
    <w:rsid w:val="004F14E2"/>
    <w:rsid w:val="004F1599"/>
    <w:rsid w:val="004F175C"/>
    <w:rsid w:val="004F18ED"/>
    <w:rsid w:val="004F1937"/>
    <w:rsid w:val="004F1A02"/>
    <w:rsid w:val="004F1AB1"/>
    <w:rsid w:val="004F1B74"/>
    <w:rsid w:val="004F1E12"/>
    <w:rsid w:val="004F1E9A"/>
    <w:rsid w:val="004F1FDD"/>
    <w:rsid w:val="004F261F"/>
    <w:rsid w:val="004F262D"/>
    <w:rsid w:val="004F26C0"/>
    <w:rsid w:val="004F2C39"/>
    <w:rsid w:val="004F2C4A"/>
    <w:rsid w:val="004F2F19"/>
    <w:rsid w:val="004F314C"/>
    <w:rsid w:val="004F3463"/>
    <w:rsid w:val="004F3979"/>
    <w:rsid w:val="004F3A30"/>
    <w:rsid w:val="004F3BBD"/>
    <w:rsid w:val="004F3E2B"/>
    <w:rsid w:val="004F407E"/>
    <w:rsid w:val="004F4089"/>
    <w:rsid w:val="004F4176"/>
    <w:rsid w:val="004F4250"/>
    <w:rsid w:val="004F42E4"/>
    <w:rsid w:val="004F44A0"/>
    <w:rsid w:val="004F4580"/>
    <w:rsid w:val="004F470F"/>
    <w:rsid w:val="004F47F6"/>
    <w:rsid w:val="004F48A7"/>
    <w:rsid w:val="004F4AED"/>
    <w:rsid w:val="004F4B3C"/>
    <w:rsid w:val="004F4C7B"/>
    <w:rsid w:val="004F51DA"/>
    <w:rsid w:val="004F5640"/>
    <w:rsid w:val="004F5881"/>
    <w:rsid w:val="004F58FF"/>
    <w:rsid w:val="004F597F"/>
    <w:rsid w:val="004F5C5A"/>
    <w:rsid w:val="004F5DDF"/>
    <w:rsid w:val="004F5E3B"/>
    <w:rsid w:val="004F6011"/>
    <w:rsid w:val="004F6051"/>
    <w:rsid w:val="004F61C3"/>
    <w:rsid w:val="004F6661"/>
    <w:rsid w:val="004F676E"/>
    <w:rsid w:val="004F6A54"/>
    <w:rsid w:val="004F6AD6"/>
    <w:rsid w:val="004F6B20"/>
    <w:rsid w:val="004F6B6C"/>
    <w:rsid w:val="004F6F30"/>
    <w:rsid w:val="004F6F5A"/>
    <w:rsid w:val="004F7088"/>
    <w:rsid w:val="004F7137"/>
    <w:rsid w:val="004F725A"/>
    <w:rsid w:val="004F73BF"/>
    <w:rsid w:val="004F741E"/>
    <w:rsid w:val="004F7865"/>
    <w:rsid w:val="004F791B"/>
    <w:rsid w:val="004F7A2E"/>
    <w:rsid w:val="004F7AAF"/>
    <w:rsid w:val="004F7CEA"/>
    <w:rsid w:val="004F7EA1"/>
    <w:rsid w:val="00500087"/>
    <w:rsid w:val="0050011F"/>
    <w:rsid w:val="0050014C"/>
    <w:rsid w:val="0050019B"/>
    <w:rsid w:val="0050020B"/>
    <w:rsid w:val="00500276"/>
    <w:rsid w:val="00500671"/>
    <w:rsid w:val="00500714"/>
    <w:rsid w:val="00500A81"/>
    <w:rsid w:val="00500C11"/>
    <w:rsid w:val="00500DC9"/>
    <w:rsid w:val="00500E0E"/>
    <w:rsid w:val="00500E4D"/>
    <w:rsid w:val="00500F5B"/>
    <w:rsid w:val="00500FC8"/>
    <w:rsid w:val="0050105F"/>
    <w:rsid w:val="00501247"/>
    <w:rsid w:val="005015FE"/>
    <w:rsid w:val="005016BB"/>
    <w:rsid w:val="00501711"/>
    <w:rsid w:val="00501B30"/>
    <w:rsid w:val="00501B5B"/>
    <w:rsid w:val="0050218F"/>
    <w:rsid w:val="00502438"/>
    <w:rsid w:val="0050282A"/>
    <w:rsid w:val="005029B0"/>
    <w:rsid w:val="005029D6"/>
    <w:rsid w:val="00502B8A"/>
    <w:rsid w:val="00502CA7"/>
    <w:rsid w:val="00502E01"/>
    <w:rsid w:val="00502E26"/>
    <w:rsid w:val="005030A4"/>
    <w:rsid w:val="00503154"/>
    <w:rsid w:val="0050316B"/>
    <w:rsid w:val="005031AE"/>
    <w:rsid w:val="00503237"/>
    <w:rsid w:val="0050326D"/>
    <w:rsid w:val="00503616"/>
    <w:rsid w:val="00503640"/>
    <w:rsid w:val="005037DC"/>
    <w:rsid w:val="0050385C"/>
    <w:rsid w:val="00503974"/>
    <w:rsid w:val="00504270"/>
    <w:rsid w:val="005042D2"/>
    <w:rsid w:val="0050435F"/>
    <w:rsid w:val="00504498"/>
    <w:rsid w:val="00504556"/>
    <w:rsid w:val="005045C7"/>
    <w:rsid w:val="00504638"/>
    <w:rsid w:val="00504680"/>
    <w:rsid w:val="005047C7"/>
    <w:rsid w:val="00504BB1"/>
    <w:rsid w:val="00504BB2"/>
    <w:rsid w:val="00504C24"/>
    <w:rsid w:val="00504DD4"/>
    <w:rsid w:val="00505061"/>
    <w:rsid w:val="005051A0"/>
    <w:rsid w:val="005052CC"/>
    <w:rsid w:val="00505369"/>
    <w:rsid w:val="00505383"/>
    <w:rsid w:val="00505394"/>
    <w:rsid w:val="005055B1"/>
    <w:rsid w:val="005056E2"/>
    <w:rsid w:val="0050596D"/>
    <w:rsid w:val="00505BDE"/>
    <w:rsid w:val="00505E40"/>
    <w:rsid w:val="00505E81"/>
    <w:rsid w:val="00505FA3"/>
    <w:rsid w:val="00506186"/>
    <w:rsid w:val="005063D0"/>
    <w:rsid w:val="005064DB"/>
    <w:rsid w:val="005068E7"/>
    <w:rsid w:val="00506926"/>
    <w:rsid w:val="00506ABA"/>
    <w:rsid w:val="00506ADE"/>
    <w:rsid w:val="00506BF8"/>
    <w:rsid w:val="00506C8D"/>
    <w:rsid w:val="00506DC3"/>
    <w:rsid w:val="00506FD7"/>
    <w:rsid w:val="005072CE"/>
    <w:rsid w:val="0050758C"/>
    <w:rsid w:val="0050759D"/>
    <w:rsid w:val="00507658"/>
    <w:rsid w:val="005077C2"/>
    <w:rsid w:val="005077E6"/>
    <w:rsid w:val="005078D8"/>
    <w:rsid w:val="00507989"/>
    <w:rsid w:val="00507B11"/>
    <w:rsid w:val="00507D44"/>
    <w:rsid w:val="00507EC6"/>
    <w:rsid w:val="00507EFF"/>
    <w:rsid w:val="00510129"/>
    <w:rsid w:val="00510186"/>
    <w:rsid w:val="00510243"/>
    <w:rsid w:val="005108BA"/>
    <w:rsid w:val="00510A12"/>
    <w:rsid w:val="00510A4B"/>
    <w:rsid w:val="00510AA2"/>
    <w:rsid w:val="00510AD9"/>
    <w:rsid w:val="00510AE1"/>
    <w:rsid w:val="00510D77"/>
    <w:rsid w:val="00510DB0"/>
    <w:rsid w:val="00510E30"/>
    <w:rsid w:val="005111ED"/>
    <w:rsid w:val="00511204"/>
    <w:rsid w:val="0051134B"/>
    <w:rsid w:val="005113E7"/>
    <w:rsid w:val="00511AE8"/>
    <w:rsid w:val="005120E4"/>
    <w:rsid w:val="00512550"/>
    <w:rsid w:val="0051262E"/>
    <w:rsid w:val="00512657"/>
    <w:rsid w:val="005129AB"/>
    <w:rsid w:val="00512D69"/>
    <w:rsid w:val="00512D94"/>
    <w:rsid w:val="00512E87"/>
    <w:rsid w:val="00513021"/>
    <w:rsid w:val="00513141"/>
    <w:rsid w:val="00513417"/>
    <w:rsid w:val="0051377D"/>
    <w:rsid w:val="0051394F"/>
    <w:rsid w:val="00513A36"/>
    <w:rsid w:val="00513B91"/>
    <w:rsid w:val="00513BDD"/>
    <w:rsid w:val="00513D15"/>
    <w:rsid w:val="00513DD7"/>
    <w:rsid w:val="00513E1B"/>
    <w:rsid w:val="00513E1C"/>
    <w:rsid w:val="0051439E"/>
    <w:rsid w:val="005143C3"/>
    <w:rsid w:val="005145F1"/>
    <w:rsid w:val="0051483C"/>
    <w:rsid w:val="0051496A"/>
    <w:rsid w:val="00514986"/>
    <w:rsid w:val="005149E9"/>
    <w:rsid w:val="00514A9C"/>
    <w:rsid w:val="00514B14"/>
    <w:rsid w:val="00514DFB"/>
    <w:rsid w:val="005151FF"/>
    <w:rsid w:val="005155EB"/>
    <w:rsid w:val="00515834"/>
    <w:rsid w:val="0051588C"/>
    <w:rsid w:val="005159B0"/>
    <w:rsid w:val="00515A5E"/>
    <w:rsid w:val="00515B61"/>
    <w:rsid w:val="00515CAF"/>
    <w:rsid w:val="00515EC1"/>
    <w:rsid w:val="0051602E"/>
    <w:rsid w:val="005160E3"/>
    <w:rsid w:val="0051620F"/>
    <w:rsid w:val="005164A2"/>
    <w:rsid w:val="005164D0"/>
    <w:rsid w:val="005165BF"/>
    <w:rsid w:val="0051660C"/>
    <w:rsid w:val="00516610"/>
    <w:rsid w:val="00516687"/>
    <w:rsid w:val="005166D3"/>
    <w:rsid w:val="00516914"/>
    <w:rsid w:val="00516A8B"/>
    <w:rsid w:val="00516BE3"/>
    <w:rsid w:val="00516CD0"/>
    <w:rsid w:val="00516D21"/>
    <w:rsid w:val="00516DA8"/>
    <w:rsid w:val="00516E62"/>
    <w:rsid w:val="00516E79"/>
    <w:rsid w:val="00516EC6"/>
    <w:rsid w:val="005172E4"/>
    <w:rsid w:val="00517343"/>
    <w:rsid w:val="0051737E"/>
    <w:rsid w:val="0051758D"/>
    <w:rsid w:val="0051759A"/>
    <w:rsid w:val="00517676"/>
    <w:rsid w:val="005176FC"/>
    <w:rsid w:val="005178E8"/>
    <w:rsid w:val="00517C3F"/>
    <w:rsid w:val="00517D40"/>
    <w:rsid w:val="00517E7A"/>
    <w:rsid w:val="00520134"/>
    <w:rsid w:val="005202D1"/>
    <w:rsid w:val="00520319"/>
    <w:rsid w:val="00520442"/>
    <w:rsid w:val="00520549"/>
    <w:rsid w:val="0052059C"/>
    <w:rsid w:val="0052064E"/>
    <w:rsid w:val="005206C7"/>
    <w:rsid w:val="00520B33"/>
    <w:rsid w:val="00520E01"/>
    <w:rsid w:val="00520ED0"/>
    <w:rsid w:val="00520FE3"/>
    <w:rsid w:val="005210D9"/>
    <w:rsid w:val="005212B6"/>
    <w:rsid w:val="005212E2"/>
    <w:rsid w:val="005213CA"/>
    <w:rsid w:val="00521464"/>
    <w:rsid w:val="005214B1"/>
    <w:rsid w:val="0052183D"/>
    <w:rsid w:val="00521A73"/>
    <w:rsid w:val="00521ABD"/>
    <w:rsid w:val="00521BDE"/>
    <w:rsid w:val="00521C5C"/>
    <w:rsid w:val="00521CAC"/>
    <w:rsid w:val="00522308"/>
    <w:rsid w:val="00522343"/>
    <w:rsid w:val="0052245E"/>
    <w:rsid w:val="005224EC"/>
    <w:rsid w:val="005226D7"/>
    <w:rsid w:val="00522A94"/>
    <w:rsid w:val="00522B93"/>
    <w:rsid w:val="00522D5E"/>
    <w:rsid w:val="00522E0A"/>
    <w:rsid w:val="00522FC9"/>
    <w:rsid w:val="00523045"/>
    <w:rsid w:val="00523209"/>
    <w:rsid w:val="00523238"/>
    <w:rsid w:val="00523459"/>
    <w:rsid w:val="00523468"/>
    <w:rsid w:val="0052346B"/>
    <w:rsid w:val="00523A39"/>
    <w:rsid w:val="00523A4D"/>
    <w:rsid w:val="00523C02"/>
    <w:rsid w:val="00523D49"/>
    <w:rsid w:val="0052406E"/>
    <w:rsid w:val="0052437D"/>
    <w:rsid w:val="0052437F"/>
    <w:rsid w:val="005245EF"/>
    <w:rsid w:val="005247C9"/>
    <w:rsid w:val="00524AC6"/>
    <w:rsid w:val="00524C3F"/>
    <w:rsid w:val="00524C61"/>
    <w:rsid w:val="0052520D"/>
    <w:rsid w:val="0052521A"/>
    <w:rsid w:val="0052557A"/>
    <w:rsid w:val="005255CB"/>
    <w:rsid w:val="005256FB"/>
    <w:rsid w:val="0052592E"/>
    <w:rsid w:val="00525B69"/>
    <w:rsid w:val="00525C3D"/>
    <w:rsid w:val="00525D2D"/>
    <w:rsid w:val="00525F25"/>
    <w:rsid w:val="0052606B"/>
    <w:rsid w:val="0052609F"/>
    <w:rsid w:val="00526103"/>
    <w:rsid w:val="0052623C"/>
    <w:rsid w:val="0052628C"/>
    <w:rsid w:val="00526360"/>
    <w:rsid w:val="00526788"/>
    <w:rsid w:val="00526CE8"/>
    <w:rsid w:val="00526E19"/>
    <w:rsid w:val="00526FB5"/>
    <w:rsid w:val="0052710F"/>
    <w:rsid w:val="0052723B"/>
    <w:rsid w:val="0052733D"/>
    <w:rsid w:val="00527409"/>
    <w:rsid w:val="005274E1"/>
    <w:rsid w:val="005275BD"/>
    <w:rsid w:val="005277DF"/>
    <w:rsid w:val="005278C7"/>
    <w:rsid w:val="00527B11"/>
    <w:rsid w:val="00527C34"/>
    <w:rsid w:val="00527CE4"/>
    <w:rsid w:val="00527D12"/>
    <w:rsid w:val="00527F54"/>
    <w:rsid w:val="00527F9E"/>
    <w:rsid w:val="0053000C"/>
    <w:rsid w:val="005300BC"/>
    <w:rsid w:val="00530193"/>
    <w:rsid w:val="0053021A"/>
    <w:rsid w:val="00530299"/>
    <w:rsid w:val="0053033A"/>
    <w:rsid w:val="00530427"/>
    <w:rsid w:val="005306F4"/>
    <w:rsid w:val="0053073A"/>
    <w:rsid w:val="005308D9"/>
    <w:rsid w:val="00530C06"/>
    <w:rsid w:val="00530E0B"/>
    <w:rsid w:val="00530EF4"/>
    <w:rsid w:val="005310F3"/>
    <w:rsid w:val="0053123C"/>
    <w:rsid w:val="005314FC"/>
    <w:rsid w:val="0053163F"/>
    <w:rsid w:val="00531A68"/>
    <w:rsid w:val="00531AAE"/>
    <w:rsid w:val="00531B46"/>
    <w:rsid w:val="00531CB1"/>
    <w:rsid w:val="00531DE9"/>
    <w:rsid w:val="00531F52"/>
    <w:rsid w:val="0053232C"/>
    <w:rsid w:val="00532473"/>
    <w:rsid w:val="005326AD"/>
    <w:rsid w:val="005326D6"/>
    <w:rsid w:val="005327E6"/>
    <w:rsid w:val="005329E2"/>
    <w:rsid w:val="00532A36"/>
    <w:rsid w:val="00532BC8"/>
    <w:rsid w:val="00532D1A"/>
    <w:rsid w:val="005330DD"/>
    <w:rsid w:val="00533210"/>
    <w:rsid w:val="005332BA"/>
    <w:rsid w:val="005332FF"/>
    <w:rsid w:val="0053342E"/>
    <w:rsid w:val="0053350A"/>
    <w:rsid w:val="00533542"/>
    <w:rsid w:val="005337A4"/>
    <w:rsid w:val="005337A9"/>
    <w:rsid w:val="005337BA"/>
    <w:rsid w:val="00533D4E"/>
    <w:rsid w:val="00533DB5"/>
    <w:rsid w:val="00533F5D"/>
    <w:rsid w:val="00533F69"/>
    <w:rsid w:val="00533FA1"/>
    <w:rsid w:val="00534130"/>
    <w:rsid w:val="0053431C"/>
    <w:rsid w:val="005344EA"/>
    <w:rsid w:val="00535032"/>
    <w:rsid w:val="005352DC"/>
    <w:rsid w:val="005353E6"/>
    <w:rsid w:val="00535436"/>
    <w:rsid w:val="00535444"/>
    <w:rsid w:val="00535A0C"/>
    <w:rsid w:val="00535A4F"/>
    <w:rsid w:val="00535A7E"/>
    <w:rsid w:val="00535AFA"/>
    <w:rsid w:val="00536147"/>
    <w:rsid w:val="00536177"/>
    <w:rsid w:val="005362F6"/>
    <w:rsid w:val="005363C8"/>
    <w:rsid w:val="0053647A"/>
    <w:rsid w:val="00536A25"/>
    <w:rsid w:val="00536E68"/>
    <w:rsid w:val="00536E88"/>
    <w:rsid w:val="00536F7D"/>
    <w:rsid w:val="00537012"/>
    <w:rsid w:val="00537043"/>
    <w:rsid w:val="00537073"/>
    <w:rsid w:val="00537296"/>
    <w:rsid w:val="00537366"/>
    <w:rsid w:val="00537690"/>
    <w:rsid w:val="00537964"/>
    <w:rsid w:val="00537A8C"/>
    <w:rsid w:val="00537C69"/>
    <w:rsid w:val="00537C7F"/>
    <w:rsid w:val="00537D33"/>
    <w:rsid w:val="00537E06"/>
    <w:rsid w:val="00537E53"/>
    <w:rsid w:val="00537E93"/>
    <w:rsid w:val="00540388"/>
    <w:rsid w:val="0054039F"/>
    <w:rsid w:val="005405B5"/>
    <w:rsid w:val="00540804"/>
    <w:rsid w:val="005408F2"/>
    <w:rsid w:val="00540A02"/>
    <w:rsid w:val="00540A1D"/>
    <w:rsid w:val="00540A9F"/>
    <w:rsid w:val="00540D69"/>
    <w:rsid w:val="00540D7C"/>
    <w:rsid w:val="00540EA0"/>
    <w:rsid w:val="005412F3"/>
    <w:rsid w:val="00541601"/>
    <w:rsid w:val="0054167F"/>
    <w:rsid w:val="0054192A"/>
    <w:rsid w:val="00541AFF"/>
    <w:rsid w:val="00541B30"/>
    <w:rsid w:val="00541C46"/>
    <w:rsid w:val="00541C5C"/>
    <w:rsid w:val="00541F54"/>
    <w:rsid w:val="00542325"/>
    <w:rsid w:val="0054241A"/>
    <w:rsid w:val="005424E9"/>
    <w:rsid w:val="00542802"/>
    <w:rsid w:val="00542D6C"/>
    <w:rsid w:val="00543269"/>
    <w:rsid w:val="00543394"/>
    <w:rsid w:val="0054353E"/>
    <w:rsid w:val="005438EF"/>
    <w:rsid w:val="00543AA8"/>
    <w:rsid w:val="00543DE1"/>
    <w:rsid w:val="00543E44"/>
    <w:rsid w:val="00543E52"/>
    <w:rsid w:val="0054402A"/>
    <w:rsid w:val="00544297"/>
    <w:rsid w:val="00544306"/>
    <w:rsid w:val="0054473F"/>
    <w:rsid w:val="00544794"/>
    <w:rsid w:val="005447C2"/>
    <w:rsid w:val="00544836"/>
    <w:rsid w:val="00544DED"/>
    <w:rsid w:val="00544E6A"/>
    <w:rsid w:val="0054509B"/>
    <w:rsid w:val="0054514F"/>
    <w:rsid w:val="00545215"/>
    <w:rsid w:val="005454F9"/>
    <w:rsid w:val="0054551D"/>
    <w:rsid w:val="00545837"/>
    <w:rsid w:val="00545A60"/>
    <w:rsid w:val="00545A9F"/>
    <w:rsid w:val="00545B9E"/>
    <w:rsid w:val="00545C13"/>
    <w:rsid w:val="00545CFD"/>
    <w:rsid w:val="00545F7A"/>
    <w:rsid w:val="0054637B"/>
    <w:rsid w:val="00546385"/>
    <w:rsid w:val="005463CA"/>
    <w:rsid w:val="0054641C"/>
    <w:rsid w:val="00546514"/>
    <w:rsid w:val="00546536"/>
    <w:rsid w:val="00546778"/>
    <w:rsid w:val="00546B85"/>
    <w:rsid w:val="00546BDE"/>
    <w:rsid w:val="00546CCF"/>
    <w:rsid w:val="00546E41"/>
    <w:rsid w:val="00547245"/>
    <w:rsid w:val="00547246"/>
    <w:rsid w:val="005473EB"/>
    <w:rsid w:val="0054750A"/>
    <w:rsid w:val="0054762F"/>
    <w:rsid w:val="00547777"/>
    <w:rsid w:val="00547A6E"/>
    <w:rsid w:val="00547BD8"/>
    <w:rsid w:val="00547BEF"/>
    <w:rsid w:val="00547CBA"/>
    <w:rsid w:val="00547F94"/>
    <w:rsid w:val="0055008D"/>
    <w:rsid w:val="00550310"/>
    <w:rsid w:val="00550397"/>
    <w:rsid w:val="005507D5"/>
    <w:rsid w:val="00550922"/>
    <w:rsid w:val="00550A23"/>
    <w:rsid w:val="00550A50"/>
    <w:rsid w:val="00550A71"/>
    <w:rsid w:val="00550C9F"/>
    <w:rsid w:val="00550EE7"/>
    <w:rsid w:val="00550F51"/>
    <w:rsid w:val="00550FDF"/>
    <w:rsid w:val="00550FF4"/>
    <w:rsid w:val="00551109"/>
    <w:rsid w:val="0055151B"/>
    <w:rsid w:val="005516EC"/>
    <w:rsid w:val="005517BA"/>
    <w:rsid w:val="0055184E"/>
    <w:rsid w:val="005518EC"/>
    <w:rsid w:val="00551A4B"/>
    <w:rsid w:val="00551A62"/>
    <w:rsid w:val="00551C88"/>
    <w:rsid w:val="00551FF9"/>
    <w:rsid w:val="00552084"/>
    <w:rsid w:val="005520EB"/>
    <w:rsid w:val="00552373"/>
    <w:rsid w:val="005524CB"/>
    <w:rsid w:val="005525C2"/>
    <w:rsid w:val="005526F8"/>
    <w:rsid w:val="00552746"/>
    <w:rsid w:val="0055293E"/>
    <w:rsid w:val="0055298D"/>
    <w:rsid w:val="005529B0"/>
    <w:rsid w:val="00552CC0"/>
    <w:rsid w:val="00552D60"/>
    <w:rsid w:val="00553034"/>
    <w:rsid w:val="00553048"/>
    <w:rsid w:val="00553085"/>
    <w:rsid w:val="005530A1"/>
    <w:rsid w:val="0055327B"/>
    <w:rsid w:val="005532E8"/>
    <w:rsid w:val="005532EB"/>
    <w:rsid w:val="00553330"/>
    <w:rsid w:val="00553332"/>
    <w:rsid w:val="0055349D"/>
    <w:rsid w:val="00553513"/>
    <w:rsid w:val="00553592"/>
    <w:rsid w:val="00553988"/>
    <w:rsid w:val="00553A30"/>
    <w:rsid w:val="00553A7E"/>
    <w:rsid w:val="00553DEC"/>
    <w:rsid w:val="005541AC"/>
    <w:rsid w:val="005541B9"/>
    <w:rsid w:val="00554276"/>
    <w:rsid w:val="00554570"/>
    <w:rsid w:val="0055457B"/>
    <w:rsid w:val="0055463A"/>
    <w:rsid w:val="005546AC"/>
    <w:rsid w:val="005546F7"/>
    <w:rsid w:val="00554B97"/>
    <w:rsid w:val="00554CC2"/>
    <w:rsid w:val="00554EAD"/>
    <w:rsid w:val="00555007"/>
    <w:rsid w:val="00555277"/>
    <w:rsid w:val="0055562C"/>
    <w:rsid w:val="00555666"/>
    <w:rsid w:val="0055581B"/>
    <w:rsid w:val="00555951"/>
    <w:rsid w:val="00555BF5"/>
    <w:rsid w:val="00555DBB"/>
    <w:rsid w:val="00555F0D"/>
    <w:rsid w:val="00556012"/>
    <w:rsid w:val="00556077"/>
    <w:rsid w:val="005561AB"/>
    <w:rsid w:val="0055646F"/>
    <w:rsid w:val="005566F4"/>
    <w:rsid w:val="005568DB"/>
    <w:rsid w:val="00556984"/>
    <w:rsid w:val="00556ED4"/>
    <w:rsid w:val="00556F62"/>
    <w:rsid w:val="00557115"/>
    <w:rsid w:val="0055760A"/>
    <w:rsid w:val="0055780F"/>
    <w:rsid w:val="00557953"/>
    <w:rsid w:val="005601E4"/>
    <w:rsid w:val="005603A0"/>
    <w:rsid w:val="005605EA"/>
    <w:rsid w:val="005606A6"/>
    <w:rsid w:val="005606C4"/>
    <w:rsid w:val="005607D3"/>
    <w:rsid w:val="00560877"/>
    <w:rsid w:val="005608BA"/>
    <w:rsid w:val="00560E8D"/>
    <w:rsid w:val="00560F22"/>
    <w:rsid w:val="00560F88"/>
    <w:rsid w:val="005611B6"/>
    <w:rsid w:val="00561D1E"/>
    <w:rsid w:val="00561E56"/>
    <w:rsid w:val="00561F41"/>
    <w:rsid w:val="0056217B"/>
    <w:rsid w:val="0056231E"/>
    <w:rsid w:val="0056246D"/>
    <w:rsid w:val="005624E8"/>
    <w:rsid w:val="00562825"/>
    <w:rsid w:val="00562933"/>
    <w:rsid w:val="00562A89"/>
    <w:rsid w:val="00562A8D"/>
    <w:rsid w:val="00562B47"/>
    <w:rsid w:val="00562C82"/>
    <w:rsid w:val="00562CCD"/>
    <w:rsid w:val="00562F03"/>
    <w:rsid w:val="0056327D"/>
    <w:rsid w:val="0056327F"/>
    <w:rsid w:val="0056331D"/>
    <w:rsid w:val="005633B0"/>
    <w:rsid w:val="005633B9"/>
    <w:rsid w:val="00563409"/>
    <w:rsid w:val="005635BF"/>
    <w:rsid w:val="00563670"/>
    <w:rsid w:val="0056377F"/>
    <w:rsid w:val="00563C0B"/>
    <w:rsid w:val="00563D60"/>
    <w:rsid w:val="00563FC2"/>
    <w:rsid w:val="005640E0"/>
    <w:rsid w:val="005642C5"/>
    <w:rsid w:val="005642D0"/>
    <w:rsid w:val="005644EF"/>
    <w:rsid w:val="00564879"/>
    <w:rsid w:val="00564AA2"/>
    <w:rsid w:val="00564B48"/>
    <w:rsid w:val="00564B6D"/>
    <w:rsid w:val="00564DAC"/>
    <w:rsid w:val="00564F47"/>
    <w:rsid w:val="00565206"/>
    <w:rsid w:val="005654F7"/>
    <w:rsid w:val="0056550A"/>
    <w:rsid w:val="0056555B"/>
    <w:rsid w:val="005655FD"/>
    <w:rsid w:val="0056569F"/>
    <w:rsid w:val="005657CB"/>
    <w:rsid w:val="005658F6"/>
    <w:rsid w:val="00565CC6"/>
    <w:rsid w:val="00565E3B"/>
    <w:rsid w:val="0056630E"/>
    <w:rsid w:val="0056637F"/>
    <w:rsid w:val="00566385"/>
    <w:rsid w:val="00566405"/>
    <w:rsid w:val="005667AA"/>
    <w:rsid w:val="00566A5A"/>
    <w:rsid w:val="00566AFF"/>
    <w:rsid w:val="00566D21"/>
    <w:rsid w:val="00566E49"/>
    <w:rsid w:val="0056707F"/>
    <w:rsid w:val="0056715F"/>
    <w:rsid w:val="00567219"/>
    <w:rsid w:val="005673A4"/>
    <w:rsid w:val="005674E8"/>
    <w:rsid w:val="0056751F"/>
    <w:rsid w:val="005675A5"/>
    <w:rsid w:val="005677DB"/>
    <w:rsid w:val="005678D1"/>
    <w:rsid w:val="00567CD4"/>
    <w:rsid w:val="00567ED0"/>
    <w:rsid w:val="00567EFE"/>
    <w:rsid w:val="0057010B"/>
    <w:rsid w:val="005702A2"/>
    <w:rsid w:val="00570405"/>
    <w:rsid w:val="00570652"/>
    <w:rsid w:val="00570662"/>
    <w:rsid w:val="005707E8"/>
    <w:rsid w:val="005708E5"/>
    <w:rsid w:val="00570B61"/>
    <w:rsid w:val="00570BA0"/>
    <w:rsid w:val="00570D70"/>
    <w:rsid w:val="00570F04"/>
    <w:rsid w:val="00570F38"/>
    <w:rsid w:val="00570F51"/>
    <w:rsid w:val="00570F8E"/>
    <w:rsid w:val="00571192"/>
    <w:rsid w:val="0057158E"/>
    <w:rsid w:val="0057169B"/>
    <w:rsid w:val="00571D53"/>
    <w:rsid w:val="00571F7E"/>
    <w:rsid w:val="00572136"/>
    <w:rsid w:val="005722BF"/>
    <w:rsid w:val="0057236A"/>
    <w:rsid w:val="00572384"/>
    <w:rsid w:val="005725C7"/>
    <w:rsid w:val="005726D4"/>
    <w:rsid w:val="00572823"/>
    <w:rsid w:val="00572A90"/>
    <w:rsid w:val="00572C65"/>
    <w:rsid w:val="00572ED4"/>
    <w:rsid w:val="00572FCA"/>
    <w:rsid w:val="00573013"/>
    <w:rsid w:val="005730C9"/>
    <w:rsid w:val="005730F8"/>
    <w:rsid w:val="0057318C"/>
    <w:rsid w:val="005732DE"/>
    <w:rsid w:val="0057334F"/>
    <w:rsid w:val="00573412"/>
    <w:rsid w:val="00573548"/>
    <w:rsid w:val="0057366A"/>
    <w:rsid w:val="005737A5"/>
    <w:rsid w:val="00573804"/>
    <w:rsid w:val="00573A56"/>
    <w:rsid w:val="00573B5A"/>
    <w:rsid w:val="00573ECB"/>
    <w:rsid w:val="0057409E"/>
    <w:rsid w:val="00574104"/>
    <w:rsid w:val="005741D2"/>
    <w:rsid w:val="0057441C"/>
    <w:rsid w:val="005745A8"/>
    <w:rsid w:val="0057473E"/>
    <w:rsid w:val="00574745"/>
    <w:rsid w:val="00574C44"/>
    <w:rsid w:val="00574F25"/>
    <w:rsid w:val="005750C5"/>
    <w:rsid w:val="005751CA"/>
    <w:rsid w:val="005754DD"/>
    <w:rsid w:val="005755D5"/>
    <w:rsid w:val="005755DC"/>
    <w:rsid w:val="00575744"/>
    <w:rsid w:val="0057575E"/>
    <w:rsid w:val="0057580B"/>
    <w:rsid w:val="00575B24"/>
    <w:rsid w:val="00575C45"/>
    <w:rsid w:val="00575CE0"/>
    <w:rsid w:val="00575D07"/>
    <w:rsid w:val="00575D68"/>
    <w:rsid w:val="00575DDE"/>
    <w:rsid w:val="00575E47"/>
    <w:rsid w:val="00575E6B"/>
    <w:rsid w:val="00576261"/>
    <w:rsid w:val="00576312"/>
    <w:rsid w:val="0057657D"/>
    <w:rsid w:val="0057669E"/>
    <w:rsid w:val="0057674A"/>
    <w:rsid w:val="005767BC"/>
    <w:rsid w:val="00576852"/>
    <w:rsid w:val="00576A59"/>
    <w:rsid w:val="00576BC8"/>
    <w:rsid w:val="00576CE6"/>
    <w:rsid w:val="00576DB2"/>
    <w:rsid w:val="00576ECC"/>
    <w:rsid w:val="00577125"/>
    <w:rsid w:val="0057726C"/>
    <w:rsid w:val="00577474"/>
    <w:rsid w:val="00577556"/>
    <w:rsid w:val="0057763C"/>
    <w:rsid w:val="00577738"/>
    <w:rsid w:val="005777E2"/>
    <w:rsid w:val="005778F4"/>
    <w:rsid w:val="00577AE1"/>
    <w:rsid w:val="00577BEB"/>
    <w:rsid w:val="00577D84"/>
    <w:rsid w:val="00577E01"/>
    <w:rsid w:val="00577F66"/>
    <w:rsid w:val="00577FD4"/>
    <w:rsid w:val="005801B5"/>
    <w:rsid w:val="005803F3"/>
    <w:rsid w:val="00580471"/>
    <w:rsid w:val="0058049F"/>
    <w:rsid w:val="005804BE"/>
    <w:rsid w:val="0058061F"/>
    <w:rsid w:val="00580834"/>
    <w:rsid w:val="0058098C"/>
    <w:rsid w:val="00580B77"/>
    <w:rsid w:val="00580BBD"/>
    <w:rsid w:val="00580CE3"/>
    <w:rsid w:val="00580DB9"/>
    <w:rsid w:val="005811F3"/>
    <w:rsid w:val="005812E4"/>
    <w:rsid w:val="0058166F"/>
    <w:rsid w:val="00581A82"/>
    <w:rsid w:val="00581BD1"/>
    <w:rsid w:val="00581BDB"/>
    <w:rsid w:val="00581E1D"/>
    <w:rsid w:val="00581F64"/>
    <w:rsid w:val="00582018"/>
    <w:rsid w:val="005825A6"/>
    <w:rsid w:val="00582860"/>
    <w:rsid w:val="00582A35"/>
    <w:rsid w:val="00582BE8"/>
    <w:rsid w:val="00582CAF"/>
    <w:rsid w:val="00582D3C"/>
    <w:rsid w:val="00582D65"/>
    <w:rsid w:val="00583050"/>
    <w:rsid w:val="0058325E"/>
    <w:rsid w:val="0058329E"/>
    <w:rsid w:val="00583373"/>
    <w:rsid w:val="00583537"/>
    <w:rsid w:val="00583657"/>
    <w:rsid w:val="0058369B"/>
    <w:rsid w:val="0058371C"/>
    <w:rsid w:val="00583BF2"/>
    <w:rsid w:val="00583DC9"/>
    <w:rsid w:val="0058408B"/>
    <w:rsid w:val="00584148"/>
    <w:rsid w:val="005842DB"/>
    <w:rsid w:val="00584426"/>
    <w:rsid w:val="005844A3"/>
    <w:rsid w:val="005844E9"/>
    <w:rsid w:val="00584546"/>
    <w:rsid w:val="005846B6"/>
    <w:rsid w:val="005846CE"/>
    <w:rsid w:val="005847A3"/>
    <w:rsid w:val="005847D5"/>
    <w:rsid w:val="005847D7"/>
    <w:rsid w:val="005848D4"/>
    <w:rsid w:val="00584957"/>
    <w:rsid w:val="00584A19"/>
    <w:rsid w:val="00584B90"/>
    <w:rsid w:val="00584C45"/>
    <w:rsid w:val="00584C89"/>
    <w:rsid w:val="00584E3F"/>
    <w:rsid w:val="005850B0"/>
    <w:rsid w:val="0058515A"/>
    <w:rsid w:val="005854E1"/>
    <w:rsid w:val="005859E8"/>
    <w:rsid w:val="00585ACE"/>
    <w:rsid w:val="00585C3C"/>
    <w:rsid w:val="00585C60"/>
    <w:rsid w:val="00585D2E"/>
    <w:rsid w:val="005862AC"/>
    <w:rsid w:val="0058659B"/>
    <w:rsid w:val="00586646"/>
    <w:rsid w:val="005866D2"/>
    <w:rsid w:val="0058681F"/>
    <w:rsid w:val="0058683D"/>
    <w:rsid w:val="00586BED"/>
    <w:rsid w:val="00587204"/>
    <w:rsid w:val="00587268"/>
    <w:rsid w:val="00587377"/>
    <w:rsid w:val="00587750"/>
    <w:rsid w:val="005877DF"/>
    <w:rsid w:val="0058786E"/>
    <w:rsid w:val="0058791E"/>
    <w:rsid w:val="00587AFB"/>
    <w:rsid w:val="00587DDB"/>
    <w:rsid w:val="00590137"/>
    <w:rsid w:val="0059024B"/>
    <w:rsid w:val="0059028A"/>
    <w:rsid w:val="00590350"/>
    <w:rsid w:val="00590398"/>
    <w:rsid w:val="005903CB"/>
    <w:rsid w:val="00590541"/>
    <w:rsid w:val="00590574"/>
    <w:rsid w:val="005907F1"/>
    <w:rsid w:val="00590844"/>
    <w:rsid w:val="00590879"/>
    <w:rsid w:val="00590A10"/>
    <w:rsid w:val="00590B94"/>
    <w:rsid w:val="00590B96"/>
    <w:rsid w:val="00590C13"/>
    <w:rsid w:val="00590E7A"/>
    <w:rsid w:val="00590F60"/>
    <w:rsid w:val="00591143"/>
    <w:rsid w:val="005912BF"/>
    <w:rsid w:val="00591418"/>
    <w:rsid w:val="005915F8"/>
    <w:rsid w:val="00591705"/>
    <w:rsid w:val="00591D19"/>
    <w:rsid w:val="00591E57"/>
    <w:rsid w:val="0059209B"/>
    <w:rsid w:val="00592116"/>
    <w:rsid w:val="0059220C"/>
    <w:rsid w:val="00592469"/>
    <w:rsid w:val="0059247F"/>
    <w:rsid w:val="005925CA"/>
    <w:rsid w:val="005925FC"/>
    <w:rsid w:val="005927BC"/>
    <w:rsid w:val="005927C2"/>
    <w:rsid w:val="005929D4"/>
    <w:rsid w:val="00592BF0"/>
    <w:rsid w:val="00592C4F"/>
    <w:rsid w:val="00592D11"/>
    <w:rsid w:val="00592F4E"/>
    <w:rsid w:val="005930F0"/>
    <w:rsid w:val="005932E4"/>
    <w:rsid w:val="00593339"/>
    <w:rsid w:val="005933EC"/>
    <w:rsid w:val="005933ED"/>
    <w:rsid w:val="0059343C"/>
    <w:rsid w:val="00593474"/>
    <w:rsid w:val="005935AB"/>
    <w:rsid w:val="005935F0"/>
    <w:rsid w:val="0059365C"/>
    <w:rsid w:val="00593A67"/>
    <w:rsid w:val="00593BDF"/>
    <w:rsid w:val="00593BF3"/>
    <w:rsid w:val="00594177"/>
    <w:rsid w:val="0059448C"/>
    <w:rsid w:val="0059471F"/>
    <w:rsid w:val="005948A3"/>
    <w:rsid w:val="00594A1D"/>
    <w:rsid w:val="00594C17"/>
    <w:rsid w:val="00594DC8"/>
    <w:rsid w:val="00595195"/>
    <w:rsid w:val="00595244"/>
    <w:rsid w:val="00595401"/>
    <w:rsid w:val="00595406"/>
    <w:rsid w:val="00595463"/>
    <w:rsid w:val="0059588B"/>
    <w:rsid w:val="005958E4"/>
    <w:rsid w:val="0059593A"/>
    <w:rsid w:val="0059597D"/>
    <w:rsid w:val="00595A0A"/>
    <w:rsid w:val="00595A4E"/>
    <w:rsid w:val="00595B82"/>
    <w:rsid w:val="00595D23"/>
    <w:rsid w:val="00595D52"/>
    <w:rsid w:val="00595E31"/>
    <w:rsid w:val="0059600B"/>
    <w:rsid w:val="005960DA"/>
    <w:rsid w:val="0059655E"/>
    <w:rsid w:val="005965D9"/>
    <w:rsid w:val="00596765"/>
    <w:rsid w:val="0059676C"/>
    <w:rsid w:val="005967D6"/>
    <w:rsid w:val="005968D0"/>
    <w:rsid w:val="00596A66"/>
    <w:rsid w:val="00596CDA"/>
    <w:rsid w:val="00596EC9"/>
    <w:rsid w:val="00596F27"/>
    <w:rsid w:val="00596FE8"/>
    <w:rsid w:val="0059701B"/>
    <w:rsid w:val="005972C7"/>
    <w:rsid w:val="005973EA"/>
    <w:rsid w:val="005975CF"/>
    <w:rsid w:val="00597AEC"/>
    <w:rsid w:val="00597BE5"/>
    <w:rsid w:val="00597CE1"/>
    <w:rsid w:val="00597F90"/>
    <w:rsid w:val="00597FBD"/>
    <w:rsid w:val="005A01E9"/>
    <w:rsid w:val="005A01EF"/>
    <w:rsid w:val="005A0205"/>
    <w:rsid w:val="005A0414"/>
    <w:rsid w:val="005A0419"/>
    <w:rsid w:val="005A0562"/>
    <w:rsid w:val="005A080F"/>
    <w:rsid w:val="005A08E0"/>
    <w:rsid w:val="005A0B95"/>
    <w:rsid w:val="005A0CFD"/>
    <w:rsid w:val="005A0EB3"/>
    <w:rsid w:val="005A0FBE"/>
    <w:rsid w:val="005A1031"/>
    <w:rsid w:val="005A1077"/>
    <w:rsid w:val="005A1181"/>
    <w:rsid w:val="005A15EF"/>
    <w:rsid w:val="005A15F1"/>
    <w:rsid w:val="005A16CB"/>
    <w:rsid w:val="005A1785"/>
    <w:rsid w:val="005A1A5A"/>
    <w:rsid w:val="005A1F37"/>
    <w:rsid w:val="005A2051"/>
    <w:rsid w:val="005A20B3"/>
    <w:rsid w:val="005A22AF"/>
    <w:rsid w:val="005A2353"/>
    <w:rsid w:val="005A23C5"/>
    <w:rsid w:val="005A2792"/>
    <w:rsid w:val="005A2985"/>
    <w:rsid w:val="005A29CE"/>
    <w:rsid w:val="005A2B01"/>
    <w:rsid w:val="005A2CC3"/>
    <w:rsid w:val="005A2D2F"/>
    <w:rsid w:val="005A2E7C"/>
    <w:rsid w:val="005A2E82"/>
    <w:rsid w:val="005A2F08"/>
    <w:rsid w:val="005A2FD9"/>
    <w:rsid w:val="005A314E"/>
    <w:rsid w:val="005A36C6"/>
    <w:rsid w:val="005A3742"/>
    <w:rsid w:val="005A3DA6"/>
    <w:rsid w:val="005A3DC5"/>
    <w:rsid w:val="005A3DFE"/>
    <w:rsid w:val="005A3F11"/>
    <w:rsid w:val="005A40E5"/>
    <w:rsid w:val="005A41A9"/>
    <w:rsid w:val="005A4372"/>
    <w:rsid w:val="005A447B"/>
    <w:rsid w:val="005A47C4"/>
    <w:rsid w:val="005A4A8B"/>
    <w:rsid w:val="005A4AC2"/>
    <w:rsid w:val="005A4AD1"/>
    <w:rsid w:val="005A4D81"/>
    <w:rsid w:val="005A50CB"/>
    <w:rsid w:val="005A51BE"/>
    <w:rsid w:val="005A537D"/>
    <w:rsid w:val="005A5421"/>
    <w:rsid w:val="005A5675"/>
    <w:rsid w:val="005A586F"/>
    <w:rsid w:val="005A5980"/>
    <w:rsid w:val="005A6293"/>
    <w:rsid w:val="005A62E6"/>
    <w:rsid w:val="005A6408"/>
    <w:rsid w:val="005A6578"/>
    <w:rsid w:val="005A6623"/>
    <w:rsid w:val="005A6690"/>
    <w:rsid w:val="005A6764"/>
    <w:rsid w:val="005A6804"/>
    <w:rsid w:val="005A6805"/>
    <w:rsid w:val="005A6888"/>
    <w:rsid w:val="005A690E"/>
    <w:rsid w:val="005A6BF4"/>
    <w:rsid w:val="005A726E"/>
    <w:rsid w:val="005A7277"/>
    <w:rsid w:val="005A735A"/>
    <w:rsid w:val="005A75BF"/>
    <w:rsid w:val="005A75CF"/>
    <w:rsid w:val="005A76C0"/>
    <w:rsid w:val="005A77E7"/>
    <w:rsid w:val="005A794B"/>
    <w:rsid w:val="005A79BF"/>
    <w:rsid w:val="005A7C41"/>
    <w:rsid w:val="005A7D0B"/>
    <w:rsid w:val="005A7EB8"/>
    <w:rsid w:val="005A7F29"/>
    <w:rsid w:val="005B028C"/>
    <w:rsid w:val="005B063F"/>
    <w:rsid w:val="005B085C"/>
    <w:rsid w:val="005B0A2B"/>
    <w:rsid w:val="005B0D02"/>
    <w:rsid w:val="005B0DB0"/>
    <w:rsid w:val="005B0F88"/>
    <w:rsid w:val="005B0F95"/>
    <w:rsid w:val="005B1043"/>
    <w:rsid w:val="005B1110"/>
    <w:rsid w:val="005B1633"/>
    <w:rsid w:val="005B16B0"/>
    <w:rsid w:val="005B16BE"/>
    <w:rsid w:val="005B1948"/>
    <w:rsid w:val="005B19AF"/>
    <w:rsid w:val="005B1A63"/>
    <w:rsid w:val="005B1C6D"/>
    <w:rsid w:val="005B1ED4"/>
    <w:rsid w:val="005B1F01"/>
    <w:rsid w:val="005B1F70"/>
    <w:rsid w:val="005B20DF"/>
    <w:rsid w:val="005B2213"/>
    <w:rsid w:val="005B2285"/>
    <w:rsid w:val="005B2590"/>
    <w:rsid w:val="005B2719"/>
    <w:rsid w:val="005B289F"/>
    <w:rsid w:val="005B2957"/>
    <w:rsid w:val="005B2AB1"/>
    <w:rsid w:val="005B2B66"/>
    <w:rsid w:val="005B2B6B"/>
    <w:rsid w:val="005B2BB0"/>
    <w:rsid w:val="005B2C8C"/>
    <w:rsid w:val="005B2C93"/>
    <w:rsid w:val="005B2D3B"/>
    <w:rsid w:val="005B2E65"/>
    <w:rsid w:val="005B2E82"/>
    <w:rsid w:val="005B2F3D"/>
    <w:rsid w:val="005B2F4E"/>
    <w:rsid w:val="005B2F7D"/>
    <w:rsid w:val="005B2FDC"/>
    <w:rsid w:val="005B3068"/>
    <w:rsid w:val="005B3158"/>
    <w:rsid w:val="005B32BB"/>
    <w:rsid w:val="005B33A1"/>
    <w:rsid w:val="005B33B5"/>
    <w:rsid w:val="005B3427"/>
    <w:rsid w:val="005B3459"/>
    <w:rsid w:val="005B34C4"/>
    <w:rsid w:val="005B3656"/>
    <w:rsid w:val="005B36C0"/>
    <w:rsid w:val="005B376B"/>
    <w:rsid w:val="005B3779"/>
    <w:rsid w:val="005B388F"/>
    <w:rsid w:val="005B38FD"/>
    <w:rsid w:val="005B39EB"/>
    <w:rsid w:val="005B3A15"/>
    <w:rsid w:val="005B3B41"/>
    <w:rsid w:val="005B3DCB"/>
    <w:rsid w:val="005B3E6E"/>
    <w:rsid w:val="005B413C"/>
    <w:rsid w:val="005B4154"/>
    <w:rsid w:val="005B4328"/>
    <w:rsid w:val="005B4491"/>
    <w:rsid w:val="005B4533"/>
    <w:rsid w:val="005B49F5"/>
    <w:rsid w:val="005B4AA7"/>
    <w:rsid w:val="005B4F6B"/>
    <w:rsid w:val="005B4FA0"/>
    <w:rsid w:val="005B4FA4"/>
    <w:rsid w:val="005B5010"/>
    <w:rsid w:val="005B505D"/>
    <w:rsid w:val="005B5096"/>
    <w:rsid w:val="005B55E7"/>
    <w:rsid w:val="005B5664"/>
    <w:rsid w:val="005B5947"/>
    <w:rsid w:val="005B59A5"/>
    <w:rsid w:val="005B59F3"/>
    <w:rsid w:val="005B5A02"/>
    <w:rsid w:val="005B5A4E"/>
    <w:rsid w:val="005B5C87"/>
    <w:rsid w:val="005B605B"/>
    <w:rsid w:val="005B6194"/>
    <w:rsid w:val="005B61EA"/>
    <w:rsid w:val="005B6262"/>
    <w:rsid w:val="005B6392"/>
    <w:rsid w:val="005B663C"/>
    <w:rsid w:val="005B675B"/>
    <w:rsid w:val="005B6794"/>
    <w:rsid w:val="005B6880"/>
    <w:rsid w:val="005B6BA4"/>
    <w:rsid w:val="005B6C5C"/>
    <w:rsid w:val="005B6C8B"/>
    <w:rsid w:val="005B6E65"/>
    <w:rsid w:val="005B6EAE"/>
    <w:rsid w:val="005B6ECC"/>
    <w:rsid w:val="005B6F08"/>
    <w:rsid w:val="005B6F17"/>
    <w:rsid w:val="005B72BD"/>
    <w:rsid w:val="005B732D"/>
    <w:rsid w:val="005B7491"/>
    <w:rsid w:val="005B7AE8"/>
    <w:rsid w:val="005B7DA0"/>
    <w:rsid w:val="005B7E00"/>
    <w:rsid w:val="005B7FB4"/>
    <w:rsid w:val="005C014C"/>
    <w:rsid w:val="005C0C29"/>
    <w:rsid w:val="005C0D6F"/>
    <w:rsid w:val="005C16C0"/>
    <w:rsid w:val="005C180C"/>
    <w:rsid w:val="005C1856"/>
    <w:rsid w:val="005C19F5"/>
    <w:rsid w:val="005C1C16"/>
    <w:rsid w:val="005C1C4B"/>
    <w:rsid w:val="005C1DF7"/>
    <w:rsid w:val="005C1E2D"/>
    <w:rsid w:val="005C1E74"/>
    <w:rsid w:val="005C2061"/>
    <w:rsid w:val="005C228A"/>
    <w:rsid w:val="005C2458"/>
    <w:rsid w:val="005C258B"/>
    <w:rsid w:val="005C25F5"/>
    <w:rsid w:val="005C2620"/>
    <w:rsid w:val="005C269C"/>
    <w:rsid w:val="005C277A"/>
    <w:rsid w:val="005C284F"/>
    <w:rsid w:val="005C28D9"/>
    <w:rsid w:val="005C2A93"/>
    <w:rsid w:val="005C2AD8"/>
    <w:rsid w:val="005C2BFE"/>
    <w:rsid w:val="005C2CAA"/>
    <w:rsid w:val="005C2E33"/>
    <w:rsid w:val="005C2F7A"/>
    <w:rsid w:val="005C2FD6"/>
    <w:rsid w:val="005C31AC"/>
    <w:rsid w:val="005C3337"/>
    <w:rsid w:val="005C34A7"/>
    <w:rsid w:val="005C34EC"/>
    <w:rsid w:val="005C362D"/>
    <w:rsid w:val="005C3900"/>
    <w:rsid w:val="005C3B05"/>
    <w:rsid w:val="005C3B66"/>
    <w:rsid w:val="005C3B6B"/>
    <w:rsid w:val="005C3E29"/>
    <w:rsid w:val="005C3E3C"/>
    <w:rsid w:val="005C3EB0"/>
    <w:rsid w:val="005C3F17"/>
    <w:rsid w:val="005C3F94"/>
    <w:rsid w:val="005C405C"/>
    <w:rsid w:val="005C40EE"/>
    <w:rsid w:val="005C413C"/>
    <w:rsid w:val="005C4392"/>
    <w:rsid w:val="005C44E2"/>
    <w:rsid w:val="005C4674"/>
    <w:rsid w:val="005C4789"/>
    <w:rsid w:val="005C4828"/>
    <w:rsid w:val="005C49C8"/>
    <w:rsid w:val="005C4A43"/>
    <w:rsid w:val="005C4A4A"/>
    <w:rsid w:val="005C4AE7"/>
    <w:rsid w:val="005C4BF1"/>
    <w:rsid w:val="005C4E74"/>
    <w:rsid w:val="005C538F"/>
    <w:rsid w:val="005C54FC"/>
    <w:rsid w:val="005C551A"/>
    <w:rsid w:val="005C565D"/>
    <w:rsid w:val="005C5A2C"/>
    <w:rsid w:val="005C5B8B"/>
    <w:rsid w:val="005C5C51"/>
    <w:rsid w:val="005C5D49"/>
    <w:rsid w:val="005C5E5C"/>
    <w:rsid w:val="005C5F23"/>
    <w:rsid w:val="005C6153"/>
    <w:rsid w:val="005C619E"/>
    <w:rsid w:val="005C6377"/>
    <w:rsid w:val="005C63FC"/>
    <w:rsid w:val="005C6B45"/>
    <w:rsid w:val="005C6E11"/>
    <w:rsid w:val="005C6E6B"/>
    <w:rsid w:val="005C6F09"/>
    <w:rsid w:val="005C710B"/>
    <w:rsid w:val="005C736B"/>
    <w:rsid w:val="005C74AC"/>
    <w:rsid w:val="005C75CD"/>
    <w:rsid w:val="005C775D"/>
    <w:rsid w:val="005C776E"/>
    <w:rsid w:val="005C794B"/>
    <w:rsid w:val="005C79BB"/>
    <w:rsid w:val="005C7A4B"/>
    <w:rsid w:val="005C7CCB"/>
    <w:rsid w:val="005D01CE"/>
    <w:rsid w:val="005D026A"/>
    <w:rsid w:val="005D040D"/>
    <w:rsid w:val="005D06C7"/>
    <w:rsid w:val="005D079A"/>
    <w:rsid w:val="005D07E6"/>
    <w:rsid w:val="005D0B3B"/>
    <w:rsid w:val="005D0B45"/>
    <w:rsid w:val="005D0D5B"/>
    <w:rsid w:val="005D0F58"/>
    <w:rsid w:val="005D127D"/>
    <w:rsid w:val="005D13E0"/>
    <w:rsid w:val="005D13E8"/>
    <w:rsid w:val="005D14CE"/>
    <w:rsid w:val="005D163C"/>
    <w:rsid w:val="005D18B7"/>
    <w:rsid w:val="005D19EF"/>
    <w:rsid w:val="005D1AA1"/>
    <w:rsid w:val="005D1AB3"/>
    <w:rsid w:val="005D1AF0"/>
    <w:rsid w:val="005D1D95"/>
    <w:rsid w:val="005D1DCC"/>
    <w:rsid w:val="005D1E7A"/>
    <w:rsid w:val="005D1E93"/>
    <w:rsid w:val="005D1EE8"/>
    <w:rsid w:val="005D223B"/>
    <w:rsid w:val="005D263E"/>
    <w:rsid w:val="005D2683"/>
    <w:rsid w:val="005D283B"/>
    <w:rsid w:val="005D285B"/>
    <w:rsid w:val="005D29E3"/>
    <w:rsid w:val="005D2A13"/>
    <w:rsid w:val="005D2AED"/>
    <w:rsid w:val="005D2AF8"/>
    <w:rsid w:val="005D2B7E"/>
    <w:rsid w:val="005D2BFB"/>
    <w:rsid w:val="005D2C04"/>
    <w:rsid w:val="005D2C4A"/>
    <w:rsid w:val="005D2CC2"/>
    <w:rsid w:val="005D2D24"/>
    <w:rsid w:val="005D2F39"/>
    <w:rsid w:val="005D3369"/>
    <w:rsid w:val="005D3426"/>
    <w:rsid w:val="005D34F2"/>
    <w:rsid w:val="005D359B"/>
    <w:rsid w:val="005D3768"/>
    <w:rsid w:val="005D3A89"/>
    <w:rsid w:val="005D3A9E"/>
    <w:rsid w:val="005D3ACA"/>
    <w:rsid w:val="005D3FBF"/>
    <w:rsid w:val="005D4271"/>
    <w:rsid w:val="005D430D"/>
    <w:rsid w:val="005D4762"/>
    <w:rsid w:val="005D4814"/>
    <w:rsid w:val="005D483A"/>
    <w:rsid w:val="005D4BFF"/>
    <w:rsid w:val="005D5149"/>
    <w:rsid w:val="005D52EB"/>
    <w:rsid w:val="005D5689"/>
    <w:rsid w:val="005D5804"/>
    <w:rsid w:val="005D5BFE"/>
    <w:rsid w:val="005D5D3B"/>
    <w:rsid w:val="005D5E23"/>
    <w:rsid w:val="005D5E56"/>
    <w:rsid w:val="005D5F1A"/>
    <w:rsid w:val="005D60D0"/>
    <w:rsid w:val="005D62EF"/>
    <w:rsid w:val="005D65C4"/>
    <w:rsid w:val="005D6C27"/>
    <w:rsid w:val="005D6C87"/>
    <w:rsid w:val="005D6DA6"/>
    <w:rsid w:val="005D6DAC"/>
    <w:rsid w:val="005D6E1E"/>
    <w:rsid w:val="005D6E76"/>
    <w:rsid w:val="005D703A"/>
    <w:rsid w:val="005D743D"/>
    <w:rsid w:val="005D757D"/>
    <w:rsid w:val="005D7658"/>
    <w:rsid w:val="005D770B"/>
    <w:rsid w:val="005D7B32"/>
    <w:rsid w:val="005E00BB"/>
    <w:rsid w:val="005E020C"/>
    <w:rsid w:val="005E0A29"/>
    <w:rsid w:val="005E0A2C"/>
    <w:rsid w:val="005E0AE7"/>
    <w:rsid w:val="005E0D52"/>
    <w:rsid w:val="005E0E96"/>
    <w:rsid w:val="005E0FD8"/>
    <w:rsid w:val="005E1160"/>
    <w:rsid w:val="005E148F"/>
    <w:rsid w:val="005E14E5"/>
    <w:rsid w:val="005E1646"/>
    <w:rsid w:val="005E16B7"/>
    <w:rsid w:val="005E182C"/>
    <w:rsid w:val="005E1B8C"/>
    <w:rsid w:val="005E1BCB"/>
    <w:rsid w:val="005E1C9F"/>
    <w:rsid w:val="005E1FA0"/>
    <w:rsid w:val="005E223E"/>
    <w:rsid w:val="005E23A8"/>
    <w:rsid w:val="005E26D8"/>
    <w:rsid w:val="005E2707"/>
    <w:rsid w:val="005E2813"/>
    <w:rsid w:val="005E2A80"/>
    <w:rsid w:val="005E2C87"/>
    <w:rsid w:val="005E2D11"/>
    <w:rsid w:val="005E2EF2"/>
    <w:rsid w:val="005E3144"/>
    <w:rsid w:val="005E31AF"/>
    <w:rsid w:val="005E3702"/>
    <w:rsid w:val="005E398D"/>
    <w:rsid w:val="005E3AB9"/>
    <w:rsid w:val="005E3BBF"/>
    <w:rsid w:val="005E3C1C"/>
    <w:rsid w:val="005E3FF6"/>
    <w:rsid w:val="005E41A4"/>
    <w:rsid w:val="005E42E3"/>
    <w:rsid w:val="005E4650"/>
    <w:rsid w:val="005E466D"/>
    <w:rsid w:val="005E471F"/>
    <w:rsid w:val="005E47B4"/>
    <w:rsid w:val="005E4885"/>
    <w:rsid w:val="005E4B14"/>
    <w:rsid w:val="005E4E5F"/>
    <w:rsid w:val="005E51FC"/>
    <w:rsid w:val="005E5383"/>
    <w:rsid w:val="005E53C1"/>
    <w:rsid w:val="005E57BE"/>
    <w:rsid w:val="005E593A"/>
    <w:rsid w:val="005E5E81"/>
    <w:rsid w:val="005E6212"/>
    <w:rsid w:val="005E64D5"/>
    <w:rsid w:val="005E64DF"/>
    <w:rsid w:val="005E66B5"/>
    <w:rsid w:val="005E67C2"/>
    <w:rsid w:val="005E6AE9"/>
    <w:rsid w:val="005E6AF5"/>
    <w:rsid w:val="005E6CB6"/>
    <w:rsid w:val="005E6CF2"/>
    <w:rsid w:val="005E6F0B"/>
    <w:rsid w:val="005E70A4"/>
    <w:rsid w:val="005E71C2"/>
    <w:rsid w:val="005E72DF"/>
    <w:rsid w:val="005E74C5"/>
    <w:rsid w:val="005E7890"/>
    <w:rsid w:val="005E7C5B"/>
    <w:rsid w:val="005E7CE6"/>
    <w:rsid w:val="005F007E"/>
    <w:rsid w:val="005F05D4"/>
    <w:rsid w:val="005F05D5"/>
    <w:rsid w:val="005F07F7"/>
    <w:rsid w:val="005F0B72"/>
    <w:rsid w:val="005F0D62"/>
    <w:rsid w:val="005F1077"/>
    <w:rsid w:val="005F10AC"/>
    <w:rsid w:val="005F12D6"/>
    <w:rsid w:val="005F1414"/>
    <w:rsid w:val="005F15F5"/>
    <w:rsid w:val="005F1670"/>
    <w:rsid w:val="005F1737"/>
    <w:rsid w:val="005F1970"/>
    <w:rsid w:val="005F1B34"/>
    <w:rsid w:val="005F2355"/>
    <w:rsid w:val="005F2560"/>
    <w:rsid w:val="005F272E"/>
    <w:rsid w:val="005F2768"/>
    <w:rsid w:val="005F27D9"/>
    <w:rsid w:val="005F29B4"/>
    <w:rsid w:val="005F29F4"/>
    <w:rsid w:val="005F2BA5"/>
    <w:rsid w:val="005F2C06"/>
    <w:rsid w:val="005F2C58"/>
    <w:rsid w:val="005F2F5D"/>
    <w:rsid w:val="005F33DB"/>
    <w:rsid w:val="005F3435"/>
    <w:rsid w:val="005F357C"/>
    <w:rsid w:val="005F3612"/>
    <w:rsid w:val="005F3790"/>
    <w:rsid w:val="005F383C"/>
    <w:rsid w:val="005F3BF5"/>
    <w:rsid w:val="005F3CE6"/>
    <w:rsid w:val="005F3D34"/>
    <w:rsid w:val="005F40FE"/>
    <w:rsid w:val="005F41D3"/>
    <w:rsid w:val="005F43DB"/>
    <w:rsid w:val="005F488E"/>
    <w:rsid w:val="005F4AB3"/>
    <w:rsid w:val="005F4B3A"/>
    <w:rsid w:val="005F4B94"/>
    <w:rsid w:val="005F4C40"/>
    <w:rsid w:val="005F4D0E"/>
    <w:rsid w:val="005F4D13"/>
    <w:rsid w:val="005F4F16"/>
    <w:rsid w:val="005F4F4E"/>
    <w:rsid w:val="005F50F3"/>
    <w:rsid w:val="005F51B7"/>
    <w:rsid w:val="005F537D"/>
    <w:rsid w:val="005F5391"/>
    <w:rsid w:val="005F5484"/>
    <w:rsid w:val="005F5747"/>
    <w:rsid w:val="005F595F"/>
    <w:rsid w:val="005F5DEE"/>
    <w:rsid w:val="005F5EC2"/>
    <w:rsid w:val="005F6083"/>
    <w:rsid w:val="005F60E4"/>
    <w:rsid w:val="005F60F1"/>
    <w:rsid w:val="005F623F"/>
    <w:rsid w:val="005F6335"/>
    <w:rsid w:val="005F63DA"/>
    <w:rsid w:val="005F650B"/>
    <w:rsid w:val="005F66AF"/>
    <w:rsid w:val="005F68D9"/>
    <w:rsid w:val="005F6AD9"/>
    <w:rsid w:val="005F6D3D"/>
    <w:rsid w:val="005F75E9"/>
    <w:rsid w:val="005F7605"/>
    <w:rsid w:val="005F766F"/>
    <w:rsid w:val="005F7BF7"/>
    <w:rsid w:val="005F7C86"/>
    <w:rsid w:val="005F7CE6"/>
    <w:rsid w:val="005F7D23"/>
    <w:rsid w:val="005F7E20"/>
    <w:rsid w:val="005F7F3D"/>
    <w:rsid w:val="0060028C"/>
    <w:rsid w:val="0060030E"/>
    <w:rsid w:val="0060041E"/>
    <w:rsid w:val="00600547"/>
    <w:rsid w:val="00600720"/>
    <w:rsid w:val="0060089A"/>
    <w:rsid w:val="0060095F"/>
    <w:rsid w:val="006009A5"/>
    <w:rsid w:val="00600A01"/>
    <w:rsid w:val="00601091"/>
    <w:rsid w:val="0060128A"/>
    <w:rsid w:val="00601439"/>
    <w:rsid w:val="0060154A"/>
    <w:rsid w:val="0060187D"/>
    <w:rsid w:val="0060196D"/>
    <w:rsid w:val="00601B74"/>
    <w:rsid w:val="006020E7"/>
    <w:rsid w:val="006020FE"/>
    <w:rsid w:val="006021FF"/>
    <w:rsid w:val="006023C5"/>
    <w:rsid w:val="0060241E"/>
    <w:rsid w:val="00602473"/>
    <w:rsid w:val="006025EB"/>
    <w:rsid w:val="00602639"/>
    <w:rsid w:val="00602CF8"/>
    <w:rsid w:val="00602D01"/>
    <w:rsid w:val="00602DB1"/>
    <w:rsid w:val="00602F29"/>
    <w:rsid w:val="00602F65"/>
    <w:rsid w:val="006030CA"/>
    <w:rsid w:val="00603232"/>
    <w:rsid w:val="0060323D"/>
    <w:rsid w:val="00603350"/>
    <w:rsid w:val="006034CF"/>
    <w:rsid w:val="006034EB"/>
    <w:rsid w:val="00603625"/>
    <w:rsid w:val="00603693"/>
    <w:rsid w:val="00603814"/>
    <w:rsid w:val="00603872"/>
    <w:rsid w:val="0060393F"/>
    <w:rsid w:val="00603B1E"/>
    <w:rsid w:val="006046C5"/>
    <w:rsid w:val="006047A4"/>
    <w:rsid w:val="00604844"/>
    <w:rsid w:val="006048BD"/>
    <w:rsid w:val="006049AA"/>
    <w:rsid w:val="00604B7A"/>
    <w:rsid w:val="00604D23"/>
    <w:rsid w:val="00604DA6"/>
    <w:rsid w:val="00604EA8"/>
    <w:rsid w:val="00604F08"/>
    <w:rsid w:val="0060516F"/>
    <w:rsid w:val="00605189"/>
    <w:rsid w:val="0060560F"/>
    <w:rsid w:val="00605631"/>
    <w:rsid w:val="00605687"/>
    <w:rsid w:val="00605972"/>
    <w:rsid w:val="00605AD1"/>
    <w:rsid w:val="00605AD2"/>
    <w:rsid w:val="00605B74"/>
    <w:rsid w:val="00605E39"/>
    <w:rsid w:val="00605F7E"/>
    <w:rsid w:val="00605FAB"/>
    <w:rsid w:val="006062BD"/>
    <w:rsid w:val="00606405"/>
    <w:rsid w:val="006066D0"/>
    <w:rsid w:val="00606871"/>
    <w:rsid w:val="00606946"/>
    <w:rsid w:val="00606BD8"/>
    <w:rsid w:val="00606C08"/>
    <w:rsid w:val="00606C1D"/>
    <w:rsid w:val="00606E3F"/>
    <w:rsid w:val="00606E84"/>
    <w:rsid w:val="00606EA4"/>
    <w:rsid w:val="006070D5"/>
    <w:rsid w:val="00607155"/>
    <w:rsid w:val="00607186"/>
    <w:rsid w:val="006071AB"/>
    <w:rsid w:val="006071E3"/>
    <w:rsid w:val="00607217"/>
    <w:rsid w:val="0060722C"/>
    <w:rsid w:val="00607422"/>
    <w:rsid w:val="0060776B"/>
    <w:rsid w:val="00607960"/>
    <w:rsid w:val="00607C45"/>
    <w:rsid w:val="00607C99"/>
    <w:rsid w:val="00607D79"/>
    <w:rsid w:val="00607E7F"/>
    <w:rsid w:val="00610213"/>
    <w:rsid w:val="0061026A"/>
    <w:rsid w:val="006102BE"/>
    <w:rsid w:val="0061032D"/>
    <w:rsid w:val="006105B2"/>
    <w:rsid w:val="006105FB"/>
    <w:rsid w:val="00610902"/>
    <w:rsid w:val="00610976"/>
    <w:rsid w:val="006109B9"/>
    <w:rsid w:val="00611137"/>
    <w:rsid w:val="00611183"/>
    <w:rsid w:val="006112B8"/>
    <w:rsid w:val="006112D3"/>
    <w:rsid w:val="006112E3"/>
    <w:rsid w:val="006114D3"/>
    <w:rsid w:val="006116A2"/>
    <w:rsid w:val="0061187E"/>
    <w:rsid w:val="00611971"/>
    <w:rsid w:val="006119C1"/>
    <w:rsid w:val="00611A15"/>
    <w:rsid w:val="00611E1F"/>
    <w:rsid w:val="00612092"/>
    <w:rsid w:val="006122D5"/>
    <w:rsid w:val="0061231A"/>
    <w:rsid w:val="0061237D"/>
    <w:rsid w:val="00612631"/>
    <w:rsid w:val="006128CA"/>
    <w:rsid w:val="006129EC"/>
    <w:rsid w:val="00612A4E"/>
    <w:rsid w:val="00612DCD"/>
    <w:rsid w:val="00612E9C"/>
    <w:rsid w:val="00612FDD"/>
    <w:rsid w:val="0061305B"/>
    <w:rsid w:val="0061321A"/>
    <w:rsid w:val="006132DA"/>
    <w:rsid w:val="006133D8"/>
    <w:rsid w:val="006137BA"/>
    <w:rsid w:val="00613860"/>
    <w:rsid w:val="006139F9"/>
    <w:rsid w:val="00613BA5"/>
    <w:rsid w:val="00613D81"/>
    <w:rsid w:val="00613E0D"/>
    <w:rsid w:val="0061412F"/>
    <w:rsid w:val="00614812"/>
    <w:rsid w:val="00614825"/>
    <w:rsid w:val="00614A8B"/>
    <w:rsid w:val="00614D69"/>
    <w:rsid w:val="00614EDB"/>
    <w:rsid w:val="006150DE"/>
    <w:rsid w:val="006155C7"/>
    <w:rsid w:val="0061570E"/>
    <w:rsid w:val="00615969"/>
    <w:rsid w:val="00615AC2"/>
    <w:rsid w:val="00615C84"/>
    <w:rsid w:val="00615D1B"/>
    <w:rsid w:val="00615E7A"/>
    <w:rsid w:val="006160B3"/>
    <w:rsid w:val="006160CA"/>
    <w:rsid w:val="006160CD"/>
    <w:rsid w:val="006161BA"/>
    <w:rsid w:val="006162F7"/>
    <w:rsid w:val="00616601"/>
    <w:rsid w:val="00616750"/>
    <w:rsid w:val="00616940"/>
    <w:rsid w:val="0061698F"/>
    <w:rsid w:val="00616B19"/>
    <w:rsid w:val="00616D5A"/>
    <w:rsid w:val="00616E31"/>
    <w:rsid w:val="0061707C"/>
    <w:rsid w:val="0061708D"/>
    <w:rsid w:val="00617223"/>
    <w:rsid w:val="0061739E"/>
    <w:rsid w:val="006174E0"/>
    <w:rsid w:val="00617526"/>
    <w:rsid w:val="0061758E"/>
    <w:rsid w:val="006176A6"/>
    <w:rsid w:val="006176E4"/>
    <w:rsid w:val="00617763"/>
    <w:rsid w:val="006177E7"/>
    <w:rsid w:val="006178ED"/>
    <w:rsid w:val="00617B8C"/>
    <w:rsid w:val="00617E6E"/>
    <w:rsid w:val="00620067"/>
    <w:rsid w:val="0062014E"/>
    <w:rsid w:val="006203D5"/>
    <w:rsid w:val="0062070C"/>
    <w:rsid w:val="006207B1"/>
    <w:rsid w:val="00620994"/>
    <w:rsid w:val="00620A27"/>
    <w:rsid w:val="00620D51"/>
    <w:rsid w:val="00621139"/>
    <w:rsid w:val="006211BB"/>
    <w:rsid w:val="006213E4"/>
    <w:rsid w:val="00621421"/>
    <w:rsid w:val="00621576"/>
    <w:rsid w:val="006215B5"/>
    <w:rsid w:val="00621889"/>
    <w:rsid w:val="006218F7"/>
    <w:rsid w:val="00621B52"/>
    <w:rsid w:val="00621C28"/>
    <w:rsid w:val="00621CE9"/>
    <w:rsid w:val="00621E55"/>
    <w:rsid w:val="00621F16"/>
    <w:rsid w:val="00622078"/>
    <w:rsid w:val="0062220D"/>
    <w:rsid w:val="006222D6"/>
    <w:rsid w:val="006224E0"/>
    <w:rsid w:val="006225EA"/>
    <w:rsid w:val="00622640"/>
    <w:rsid w:val="006229E0"/>
    <w:rsid w:val="00622A6F"/>
    <w:rsid w:val="00622DDD"/>
    <w:rsid w:val="00622FE6"/>
    <w:rsid w:val="00623010"/>
    <w:rsid w:val="00623126"/>
    <w:rsid w:val="0062317C"/>
    <w:rsid w:val="006231DC"/>
    <w:rsid w:val="006232AA"/>
    <w:rsid w:val="006232CA"/>
    <w:rsid w:val="0062357D"/>
    <w:rsid w:val="006237AD"/>
    <w:rsid w:val="00623B54"/>
    <w:rsid w:val="00623C02"/>
    <w:rsid w:val="00624007"/>
    <w:rsid w:val="00624026"/>
    <w:rsid w:val="006242A7"/>
    <w:rsid w:val="006242B5"/>
    <w:rsid w:val="00624851"/>
    <w:rsid w:val="0062491F"/>
    <w:rsid w:val="0062496A"/>
    <w:rsid w:val="006249D0"/>
    <w:rsid w:val="006249E5"/>
    <w:rsid w:val="00624ADC"/>
    <w:rsid w:val="00624B6C"/>
    <w:rsid w:val="00624BF5"/>
    <w:rsid w:val="00624F3E"/>
    <w:rsid w:val="00624FF6"/>
    <w:rsid w:val="00625116"/>
    <w:rsid w:val="0062518F"/>
    <w:rsid w:val="0062524C"/>
    <w:rsid w:val="0062538A"/>
    <w:rsid w:val="00625680"/>
    <w:rsid w:val="00625895"/>
    <w:rsid w:val="00625A79"/>
    <w:rsid w:val="00625A81"/>
    <w:rsid w:val="00625B03"/>
    <w:rsid w:val="00625C27"/>
    <w:rsid w:val="00625CEF"/>
    <w:rsid w:val="00625F37"/>
    <w:rsid w:val="00626040"/>
    <w:rsid w:val="00626234"/>
    <w:rsid w:val="006264B5"/>
    <w:rsid w:val="00626616"/>
    <w:rsid w:val="006266FD"/>
    <w:rsid w:val="006268E7"/>
    <w:rsid w:val="00626AA0"/>
    <w:rsid w:val="00626DA7"/>
    <w:rsid w:val="00626FD3"/>
    <w:rsid w:val="006270AE"/>
    <w:rsid w:val="0062745B"/>
    <w:rsid w:val="00627536"/>
    <w:rsid w:val="0062759F"/>
    <w:rsid w:val="006276DC"/>
    <w:rsid w:val="00627845"/>
    <w:rsid w:val="00627A4C"/>
    <w:rsid w:val="00627A6A"/>
    <w:rsid w:val="00627AB5"/>
    <w:rsid w:val="00627E13"/>
    <w:rsid w:val="00630115"/>
    <w:rsid w:val="0063044F"/>
    <w:rsid w:val="0063062C"/>
    <w:rsid w:val="006306DD"/>
    <w:rsid w:val="00630C7C"/>
    <w:rsid w:val="00630E5F"/>
    <w:rsid w:val="00630F52"/>
    <w:rsid w:val="00631020"/>
    <w:rsid w:val="0063103A"/>
    <w:rsid w:val="0063132B"/>
    <w:rsid w:val="006313B1"/>
    <w:rsid w:val="0063141E"/>
    <w:rsid w:val="00631560"/>
    <w:rsid w:val="006315B0"/>
    <w:rsid w:val="00631612"/>
    <w:rsid w:val="006316B5"/>
    <w:rsid w:val="006317C9"/>
    <w:rsid w:val="006318BC"/>
    <w:rsid w:val="00631907"/>
    <w:rsid w:val="00631C21"/>
    <w:rsid w:val="00631F89"/>
    <w:rsid w:val="00632061"/>
    <w:rsid w:val="0063225F"/>
    <w:rsid w:val="0063229A"/>
    <w:rsid w:val="006324C9"/>
    <w:rsid w:val="00632865"/>
    <w:rsid w:val="00632B30"/>
    <w:rsid w:val="00632DDE"/>
    <w:rsid w:val="00632DDF"/>
    <w:rsid w:val="006332AB"/>
    <w:rsid w:val="00633390"/>
    <w:rsid w:val="00633490"/>
    <w:rsid w:val="0063357F"/>
    <w:rsid w:val="00633581"/>
    <w:rsid w:val="006339F1"/>
    <w:rsid w:val="00633AAB"/>
    <w:rsid w:val="00633AC3"/>
    <w:rsid w:val="00633AFB"/>
    <w:rsid w:val="00633CFC"/>
    <w:rsid w:val="00633E7D"/>
    <w:rsid w:val="00633E9A"/>
    <w:rsid w:val="00633F51"/>
    <w:rsid w:val="00633F5E"/>
    <w:rsid w:val="006344D1"/>
    <w:rsid w:val="0063489E"/>
    <w:rsid w:val="0063490E"/>
    <w:rsid w:val="00634980"/>
    <w:rsid w:val="006349BB"/>
    <w:rsid w:val="006349E0"/>
    <w:rsid w:val="00634B09"/>
    <w:rsid w:val="00634B33"/>
    <w:rsid w:val="00634DD0"/>
    <w:rsid w:val="0063568C"/>
    <w:rsid w:val="0063585B"/>
    <w:rsid w:val="00635921"/>
    <w:rsid w:val="00635A55"/>
    <w:rsid w:val="00635C3C"/>
    <w:rsid w:val="00635E5A"/>
    <w:rsid w:val="00636116"/>
    <w:rsid w:val="0063612B"/>
    <w:rsid w:val="0063615B"/>
    <w:rsid w:val="006363CF"/>
    <w:rsid w:val="0063650A"/>
    <w:rsid w:val="0063673B"/>
    <w:rsid w:val="006367DC"/>
    <w:rsid w:val="006368F5"/>
    <w:rsid w:val="006369C4"/>
    <w:rsid w:val="006369CE"/>
    <w:rsid w:val="00636E7B"/>
    <w:rsid w:val="00636F2E"/>
    <w:rsid w:val="00636FB6"/>
    <w:rsid w:val="0063706D"/>
    <w:rsid w:val="00637146"/>
    <w:rsid w:val="006371AE"/>
    <w:rsid w:val="00637218"/>
    <w:rsid w:val="00637243"/>
    <w:rsid w:val="0063724A"/>
    <w:rsid w:val="0063760F"/>
    <w:rsid w:val="0063764A"/>
    <w:rsid w:val="00637950"/>
    <w:rsid w:val="00637B17"/>
    <w:rsid w:val="00637CD0"/>
    <w:rsid w:val="00637D6A"/>
    <w:rsid w:val="0064002F"/>
    <w:rsid w:val="006401B7"/>
    <w:rsid w:val="006402EE"/>
    <w:rsid w:val="0064042A"/>
    <w:rsid w:val="0064047F"/>
    <w:rsid w:val="006404BD"/>
    <w:rsid w:val="006405A9"/>
    <w:rsid w:val="006405D7"/>
    <w:rsid w:val="0064066D"/>
    <w:rsid w:val="00640767"/>
    <w:rsid w:val="00640840"/>
    <w:rsid w:val="0064098B"/>
    <w:rsid w:val="006411D5"/>
    <w:rsid w:val="006411FA"/>
    <w:rsid w:val="006412D6"/>
    <w:rsid w:val="006413AD"/>
    <w:rsid w:val="0064142A"/>
    <w:rsid w:val="006415A1"/>
    <w:rsid w:val="00641798"/>
    <w:rsid w:val="00641811"/>
    <w:rsid w:val="006419AE"/>
    <w:rsid w:val="00641BB4"/>
    <w:rsid w:val="00641C4A"/>
    <w:rsid w:val="00641CB1"/>
    <w:rsid w:val="00641E00"/>
    <w:rsid w:val="0064224E"/>
    <w:rsid w:val="00642408"/>
    <w:rsid w:val="006424D0"/>
    <w:rsid w:val="00642724"/>
    <w:rsid w:val="00642743"/>
    <w:rsid w:val="00642900"/>
    <w:rsid w:val="00642ABC"/>
    <w:rsid w:val="00642B6E"/>
    <w:rsid w:val="00642B7D"/>
    <w:rsid w:val="00642B8C"/>
    <w:rsid w:val="00642C41"/>
    <w:rsid w:val="00642CFD"/>
    <w:rsid w:val="00642D50"/>
    <w:rsid w:val="00642DB0"/>
    <w:rsid w:val="00642F60"/>
    <w:rsid w:val="00642F76"/>
    <w:rsid w:val="0064300E"/>
    <w:rsid w:val="00643040"/>
    <w:rsid w:val="006430C6"/>
    <w:rsid w:val="006430EB"/>
    <w:rsid w:val="00643126"/>
    <w:rsid w:val="0064325F"/>
    <w:rsid w:val="00643277"/>
    <w:rsid w:val="00643976"/>
    <w:rsid w:val="006439AF"/>
    <w:rsid w:val="00643DCE"/>
    <w:rsid w:val="00644042"/>
    <w:rsid w:val="0064405F"/>
    <w:rsid w:val="0064441B"/>
    <w:rsid w:val="00644479"/>
    <w:rsid w:val="0064478D"/>
    <w:rsid w:val="006449C4"/>
    <w:rsid w:val="00644D54"/>
    <w:rsid w:val="00644DD7"/>
    <w:rsid w:val="00644E88"/>
    <w:rsid w:val="00644F3A"/>
    <w:rsid w:val="00644F68"/>
    <w:rsid w:val="00644FAF"/>
    <w:rsid w:val="00645A55"/>
    <w:rsid w:val="00645E8B"/>
    <w:rsid w:val="006460D1"/>
    <w:rsid w:val="006462E7"/>
    <w:rsid w:val="006466D1"/>
    <w:rsid w:val="00646A9D"/>
    <w:rsid w:val="00646D49"/>
    <w:rsid w:val="0064710A"/>
    <w:rsid w:val="0064711C"/>
    <w:rsid w:val="0064776D"/>
    <w:rsid w:val="006477DD"/>
    <w:rsid w:val="006479BE"/>
    <w:rsid w:val="00647B30"/>
    <w:rsid w:val="00647DDD"/>
    <w:rsid w:val="00647F33"/>
    <w:rsid w:val="00647FCE"/>
    <w:rsid w:val="00650047"/>
    <w:rsid w:val="006504A6"/>
    <w:rsid w:val="006504D3"/>
    <w:rsid w:val="0065054B"/>
    <w:rsid w:val="00650581"/>
    <w:rsid w:val="00650728"/>
    <w:rsid w:val="00650846"/>
    <w:rsid w:val="00650A16"/>
    <w:rsid w:val="00650DFF"/>
    <w:rsid w:val="00650F76"/>
    <w:rsid w:val="006510B9"/>
    <w:rsid w:val="00651256"/>
    <w:rsid w:val="006513B2"/>
    <w:rsid w:val="006515CD"/>
    <w:rsid w:val="006516A2"/>
    <w:rsid w:val="00651866"/>
    <w:rsid w:val="006518BC"/>
    <w:rsid w:val="006519F7"/>
    <w:rsid w:val="00651A4C"/>
    <w:rsid w:val="00651D26"/>
    <w:rsid w:val="00651F2F"/>
    <w:rsid w:val="00651FFB"/>
    <w:rsid w:val="00652068"/>
    <w:rsid w:val="0065219C"/>
    <w:rsid w:val="006524BA"/>
    <w:rsid w:val="00652500"/>
    <w:rsid w:val="006525D9"/>
    <w:rsid w:val="0065262E"/>
    <w:rsid w:val="006527DD"/>
    <w:rsid w:val="0065299B"/>
    <w:rsid w:val="00652B90"/>
    <w:rsid w:val="00652E93"/>
    <w:rsid w:val="00652FA3"/>
    <w:rsid w:val="00653699"/>
    <w:rsid w:val="006536A2"/>
    <w:rsid w:val="006536BA"/>
    <w:rsid w:val="006537C8"/>
    <w:rsid w:val="00653974"/>
    <w:rsid w:val="00653C71"/>
    <w:rsid w:val="00653CA1"/>
    <w:rsid w:val="00653CC9"/>
    <w:rsid w:val="00653E0C"/>
    <w:rsid w:val="00653EB5"/>
    <w:rsid w:val="0065443E"/>
    <w:rsid w:val="006545E8"/>
    <w:rsid w:val="00654610"/>
    <w:rsid w:val="006548AC"/>
    <w:rsid w:val="006548D5"/>
    <w:rsid w:val="006549C4"/>
    <w:rsid w:val="00654BD2"/>
    <w:rsid w:val="00654E0B"/>
    <w:rsid w:val="00654F0A"/>
    <w:rsid w:val="00654F7A"/>
    <w:rsid w:val="0065516A"/>
    <w:rsid w:val="0065518B"/>
    <w:rsid w:val="006553D7"/>
    <w:rsid w:val="0065560C"/>
    <w:rsid w:val="00655769"/>
    <w:rsid w:val="00655962"/>
    <w:rsid w:val="00655A9F"/>
    <w:rsid w:val="00655CA8"/>
    <w:rsid w:val="00655CBE"/>
    <w:rsid w:val="00655DA9"/>
    <w:rsid w:val="0065607C"/>
    <w:rsid w:val="006560CF"/>
    <w:rsid w:val="00656178"/>
    <w:rsid w:val="00656320"/>
    <w:rsid w:val="00656403"/>
    <w:rsid w:val="0065655C"/>
    <w:rsid w:val="00656655"/>
    <w:rsid w:val="0065677F"/>
    <w:rsid w:val="006569B5"/>
    <w:rsid w:val="00656A25"/>
    <w:rsid w:val="00656A7D"/>
    <w:rsid w:val="00656BAA"/>
    <w:rsid w:val="00656D34"/>
    <w:rsid w:val="00656D49"/>
    <w:rsid w:val="00656E72"/>
    <w:rsid w:val="00656E8B"/>
    <w:rsid w:val="006570C6"/>
    <w:rsid w:val="00657168"/>
    <w:rsid w:val="00657179"/>
    <w:rsid w:val="00657253"/>
    <w:rsid w:val="006572F2"/>
    <w:rsid w:val="00657356"/>
    <w:rsid w:val="0065750C"/>
    <w:rsid w:val="006575A1"/>
    <w:rsid w:val="006576BA"/>
    <w:rsid w:val="0065772E"/>
    <w:rsid w:val="00657766"/>
    <w:rsid w:val="006577AC"/>
    <w:rsid w:val="00657B74"/>
    <w:rsid w:val="00657BA2"/>
    <w:rsid w:val="00657BFF"/>
    <w:rsid w:val="00657D84"/>
    <w:rsid w:val="00657DAA"/>
    <w:rsid w:val="00657E06"/>
    <w:rsid w:val="00657E5F"/>
    <w:rsid w:val="00657E96"/>
    <w:rsid w:val="00660055"/>
    <w:rsid w:val="006601D3"/>
    <w:rsid w:val="00660503"/>
    <w:rsid w:val="0066050F"/>
    <w:rsid w:val="006605C0"/>
    <w:rsid w:val="006605E2"/>
    <w:rsid w:val="006608B9"/>
    <w:rsid w:val="006608D4"/>
    <w:rsid w:val="006608EC"/>
    <w:rsid w:val="0066094F"/>
    <w:rsid w:val="006609AE"/>
    <w:rsid w:val="00660A64"/>
    <w:rsid w:val="00660A8F"/>
    <w:rsid w:val="00660BA8"/>
    <w:rsid w:val="00660CB8"/>
    <w:rsid w:val="00660D87"/>
    <w:rsid w:val="00660F72"/>
    <w:rsid w:val="00660FF3"/>
    <w:rsid w:val="006614BA"/>
    <w:rsid w:val="006615D9"/>
    <w:rsid w:val="006618DD"/>
    <w:rsid w:val="00661B1A"/>
    <w:rsid w:val="00661BCB"/>
    <w:rsid w:val="00661C7F"/>
    <w:rsid w:val="00661E8A"/>
    <w:rsid w:val="00662123"/>
    <w:rsid w:val="00662210"/>
    <w:rsid w:val="0066272C"/>
    <w:rsid w:val="006628D5"/>
    <w:rsid w:val="00662A18"/>
    <w:rsid w:val="00662A67"/>
    <w:rsid w:val="00662FA7"/>
    <w:rsid w:val="00663144"/>
    <w:rsid w:val="0066329F"/>
    <w:rsid w:val="006632D7"/>
    <w:rsid w:val="0066355C"/>
    <w:rsid w:val="00663897"/>
    <w:rsid w:val="00663943"/>
    <w:rsid w:val="00663A91"/>
    <w:rsid w:val="00663AA3"/>
    <w:rsid w:val="00663AE3"/>
    <w:rsid w:val="00663C36"/>
    <w:rsid w:val="00663DD8"/>
    <w:rsid w:val="00664228"/>
    <w:rsid w:val="00664650"/>
    <w:rsid w:val="0066478C"/>
    <w:rsid w:val="0066492C"/>
    <w:rsid w:val="00664A19"/>
    <w:rsid w:val="00664C25"/>
    <w:rsid w:val="00664C58"/>
    <w:rsid w:val="00664ECA"/>
    <w:rsid w:val="00664FAD"/>
    <w:rsid w:val="0066507C"/>
    <w:rsid w:val="006655CF"/>
    <w:rsid w:val="006658D4"/>
    <w:rsid w:val="0066597B"/>
    <w:rsid w:val="00665990"/>
    <w:rsid w:val="006659B7"/>
    <w:rsid w:val="00665AF2"/>
    <w:rsid w:val="00665B20"/>
    <w:rsid w:val="00665C07"/>
    <w:rsid w:val="00665CBD"/>
    <w:rsid w:val="00665D92"/>
    <w:rsid w:val="00666006"/>
    <w:rsid w:val="00666221"/>
    <w:rsid w:val="00666272"/>
    <w:rsid w:val="0066627C"/>
    <w:rsid w:val="006662E3"/>
    <w:rsid w:val="00666389"/>
    <w:rsid w:val="006663CD"/>
    <w:rsid w:val="006663DD"/>
    <w:rsid w:val="0066674D"/>
    <w:rsid w:val="00666788"/>
    <w:rsid w:val="006669D7"/>
    <w:rsid w:val="00666A01"/>
    <w:rsid w:val="00666B60"/>
    <w:rsid w:val="00666BFA"/>
    <w:rsid w:val="00666EEC"/>
    <w:rsid w:val="00666EF2"/>
    <w:rsid w:val="006675F7"/>
    <w:rsid w:val="006679A5"/>
    <w:rsid w:val="00667BFA"/>
    <w:rsid w:val="00667C39"/>
    <w:rsid w:val="006701A5"/>
    <w:rsid w:val="00670674"/>
    <w:rsid w:val="0067070A"/>
    <w:rsid w:val="00670F29"/>
    <w:rsid w:val="00670FEC"/>
    <w:rsid w:val="00671006"/>
    <w:rsid w:val="006711CA"/>
    <w:rsid w:val="00671580"/>
    <w:rsid w:val="0067164E"/>
    <w:rsid w:val="00671785"/>
    <w:rsid w:val="0067182B"/>
    <w:rsid w:val="00671AB3"/>
    <w:rsid w:val="00671C5B"/>
    <w:rsid w:val="00671D0B"/>
    <w:rsid w:val="00671D62"/>
    <w:rsid w:val="00671E32"/>
    <w:rsid w:val="00671FAE"/>
    <w:rsid w:val="00671FCA"/>
    <w:rsid w:val="00672008"/>
    <w:rsid w:val="00672039"/>
    <w:rsid w:val="0067212B"/>
    <w:rsid w:val="0067259A"/>
    <w:rsid w:val="00672687"/>
    <w:rsid w:val="00672757"/>
    <w:rsid w:val="006727EF"/>
    <w:rsid w:val="006729FA"/>
    <w:rsid w:val="00672B26"/>
    <w:rsid w:val="00672C08"/>
    <w:rsid w:val="00672CB5"/>
    <w:rsid w:val="00672EC8"/>
    <w:rsid w:val="006733C3"/>
    <w:rsid w:val="00673550"/>
    <w:rsid w:val="006735CC"/>
    <w:rsid w:val="00673B3A"/>
    <w:rsid w:val="00673EB1"/>
    <w:rsid w:val="006740F2"/>
    <w:rsid w:val="006741A8"/>
    <w:rsid w:val="0067441D"/>
    <w:rsid w:val="00674462"/>
    <w:rsid w:val="006745C5"/>
    <w:rsid w:val="006745CB"/>
    <w:rsid w:val="00674611"/>
    <w:rsid w:val="00674799"/>
    <w:rsid w:val="00674980"/>
    <w:rsid w:val="00674A7C"/>
    <w:rsid w:val="00674AA3"/>
    <w:rsid w:val="00675103"/>
    <w:rsid w:val="006753A9"/>
    <w:rsid w:val="006754CA"/>
    <w:rsid w:val="006754DB"/>
    <w:rsid w:val="006755BE"/>
    <w:rsid w:val="0067584B"/>
    <w:rsid w:val="0067588F"/>
    <w:rsid w:val="00675B7D"/>
    <w:rsid w:val="00675B9B"/>
    <w:rsid w:val="00675E58"/>
    <w:rsid w:val="00675F3C"/>
    <w:rsid w:val="00675F6C"/>
    <w:rsid w:val="00675F71"/>
    <w:rsid w:val="0067635F"/>
    <w:rsid w:val="00676541"/>
    <w:rsid w:val="0067661D"/>
    <w:rsid w:val="00676891"/>
    <w:rsid w:val="00676942"/>
    <w:rsid w:val="00676B99"/>
    <w:rsid w:val="00676CE0"/>
    <w:rsid w:val="00676F0B"/>
    <w:rsid w:val="00676FD7"/>
    <w:rsid w:val="006771D7"/>
    <w:rsid w:val="0067724B"/>
    <w:rsid w:val="00677400"/>
    <w:rsid w:val="00677430"/>
    <w:rsid w:val="0067754C"/>
    <w:rsid w:val="00677615"/>
    <w:rsid w:val="0067766A"/>
    <w:rsid w:val="006776A1"/>
    <w:rsid w:val="00677886"/>
    <w:rsid w:val="00677CBB"/>
    <w:rsid w:val="00677D76"/>
    <w:rsid w:val="00677F42"/>
    <w:rsid w:val="00680024"/>
    <w:rsid w:val="0068034E"/>
    <w:rsid w:val="006803CD"/>
    <w:rsid w:val="00680596"/>
    <w:rsid w:val="006808C0"/>
    <w:rsid w:val="00680949"/>
    <w:rsid w:val="00680CDF"/>
    <w:rsid w:val="00680E32"/>
    <w:rsid w:val="00680E5E"/>
    <w:rsid w:val="00681619"/>
    <w:rsid w:val="00681855"/>
    <w:rsid w:val="006818A6"/>
    <w:rsid w:val="006818C9"/>
    <w:rsid w:val="0068198D"/>
    <w:rsid w:val="00681A02"/>
    <w:rsid w:val="00681D3E"/>
    <w:rsid w:val="00681E66"/>
    <w:rsid w:val="00681E7A"/>
    <w:rsid w:val="0068232A"/>
    <w:rsid w:val="00682445"/>
    <w:rsid w:val="00682493"/>
    <w:rsid w:val="0068249E"/>
    <w:rsid w:val="006825C3"/>
    <w:rsid w:val="00682707"/>
    <w:rsid w:val="0068286B"/>
    <w:rsid w:val="0068296E"/>
    <w:rsid w:val="00682B75"/>
    <w:rsid w:val="00682E4D"/>
    <w:rsid w:val="00682E83"/>
    <w:rsid w:val="00683158"/>
    <w:rsid w:val="006834E0"/>
    <w:rsid w:val="00683621"/>
    <w:rsid w:val="00683970"/>
    <w:rsid w:val="00683AA7"/>
    <w:rsid w:val="00683DDA"/>
    <w:rsid w:val="00683E91"/>
    <w:rsid w:val="00684641"/>
    <w:rsid w:val="00684AB7"/>
    <w:rsid w:val="00684BD0"/>
    <w:rsid w:val="00684DCF"/>
    <w:rsid w:val="00684F59"/>
    <w:rsid w:val="006850EB"/>
    <w:rsid w:val="00685278"/>
    <w:rsid w:val="006852B6"/>
    <w:rsid w:val="006852BB"/>
    <w:rsid w:val="006853BD"/>
    <w:rsid w:val="006854E2"/>
    <w:rsid w:val="006859B5"/>
    <w:rsid w:val="00685AD6"/>
    <w:rsid w:val="00685E75"/>
    <w:rsid w:val="006860EC"/>
    <w:rsid w:val="00686294"/>
    <w:rsid w:val="00686318"/>
    <w:rsid w:val="006863D0"/>
    <w:rsid w:val="00686636"/>
    <w:rsid w:val="00686B31"/>
    <w:rsid w:val="006873D0"/>
    <w:rsid w:val="00687495"/>
    <w:rsid w:val="006874CF"/>
    <w:rsid w:val="0068764C"/>
    <w:rsid w:val="006876BB"/>
    <w:rsid w:val="00687847"/>
    <w:rsid w:val="00687867"/>
    <w:rsid w:val="00687A94"/>
    <w:rsid w:val="00687D3C"/>
    <w:rsid w:val="00687EED"/>
    <w:rsid w:val="00687FE2"/>
    <w:rsid w:val="0069000D"/>
    <w:rsid w:val="0069002E"/>
    <w:rsid w:val="00690111"/>
    <w:rsid w:val="0069015B"/>
    <w:rsid w:val="00690325"/>
    <w:rsid w:val="006905B3"/>
    <w:rsid w:val="00690699"/>
    <w:rsid w:val="00690742"/>
    <w:rsid w:val="00690762"/>
    <w:rsid w:val="006908DC"/>
    <w:rsid w:val="00690AF7"/>
    <w:rsid w:val="00690C53"/>
    <w:rsid w:val="00690C8C"/>
    <w:rsid w:val="00690CE4"/>
    <w:rsid w:val="00690CEB"/>
    <w:rsid w:val="00690D3D"/>
    <w:rsid w:val="0069117A"/>
    <w:rsid w:val="0069121D"/>
    <w:rsid w:val="006912E3"/>
    <w:rsid w:val="00691488"/>
    <w:rsid w:val="00691741"/>
    <w:rsid w:val="00691803"/>
    <w:rsid w:val="00691922"/>
    <w:rsid w:val="00691AC7"/>
    <w:rsid w:val="00691B65"/>
    <w:rsid w:val="00691DF7"/>
    <w:rsid w:val="00691EED"/>
    <w:rsid w:val="00691F17"/>
    <w:rsid w:val="00691F7B"/>
    <w:rsid w:val="00692234"/>
    <w:rsid w:val="00692236"/>
    <w:rsid w:val="0069224A"/>
    <w:rsid w:val="006922D0"/>
    <w:rsid w:val="0069287D"/>
    <w:rsid w:val="006928E0"/>
    <w:rsid w:val="00692C44"/>
    <w:rsid w:val="00692DAC"/>
    <w:rsid w:val="00692F1C"/>
    <w:rsid w:val="00693092"/>
    <w:rsid w:val="006932D3"/>
    <w:rsid w:val="00693385"/>
    <w:rsid w:val="00693437"/>
    <w:rsid w:val="006938D2"/>
    <w:rsid w:val="00693BCA"/>
    <w:rsid w:val="00693F8E"/>
    <w:rsid w:val="006940DC"/>
    <w:rsid w:val="0069414B"/>
    <w:rsid w:val="0069458E"/>
    <w:rsid w:val="006948A3"/>
    <w:rsid w:val="006948E6"/>
    <w:rsid w:val="00694948"/>
    <w:rsid w:val="00694AA7"/>
    <w:rsid w:val="00694C11"/>
    <w:rsid w:val="00694D02"/>
    <w:rsid w:val="00694DCA"/>
    <w:rsid w:val="00694E33"/>
    <w:rsid w:val="00694ED8"/>
    <w:rsid w:val="00694EF2"/>
    <w:rsid w:val="00695044"/>
    <w:rsid w:val="0069514A"/>
    <w:rsid w:val="0069516E"/>
    <w:rsid w:val="006952DB"/>
    <w:rsid w:val="00695398"/>
    <w:rsid w:val="006954CD"/>
    <w:rsid w:val="00695533"/>
    <w:rsid w:val="006956BE"/>
    <w:rsid w:val="0069575C"/>
    <w:rsid w:val="0069576D"/>
    <w:rsid w:val="006957B5"/>
    <w:rsid w:val="006959E0"/>
    <w:rsid w:val="00695B6E"/>
    <w:rsid w:val="00695D99"/>
    <w:rsid w:val="00695EB8"/>
    <w:rsid w:val="00696091"/>
    <w:rsid w:val="006960BD"/>
    <w:rsid w:val="006962A1"/>
    <w:rsid w:val="006963BC"/>
    <w:rsid w:val="00696539"/>
    <w:rsid w:val="00696642"/>
    <w:rsid w:val="0069686D"/>
    <w:rsid w:val="0069694A"/>
    <w:rsid w:val="006969F9"/>
    <w:rsid w:val="00696B08"/>
    <w:rsid w:val="00696C08"/>
    <w:rsid w:val="00696C1F"/>
    <w:rsid w:val="00696CC5"/>
    <w:rsid w:val="00696D53"/>
    <w:rsid w:val="00696E9C"/>
    <w:rsid w:val="00696F5A"/>
    <w:rsid w:val="006970AE"/>
    <w:rsid w:val="006971F9"/>
    <w:rsid w:val="006973E3"/>
    <w:rsid w:val="0069747B"/>
    <w:rsid w:val="00697525"/>
    <w:rsid w:val="006978AF"/>
    <w:rsid w:val="0069799E"/>
    <w:rsid w:val="00697A13"/>
    <w:rsid w:val="00697B93"/>
    <w:rsid w:val="00697C06"/>
    <w:rsid w:val="00697E77"/>
    <w:rsid w:val="00697F42"/>
    <w:rsid w:val="006A0049"/>
    <w:rsid w:val="006A03C3"/>
    <w:rsid w:val="006A03D4"/>
    <w:rsid w:val="006A04E6"/>
    <w:rsid w:val="006A059B"/>
    <w:rsid w:val="006A08C9"/>
    <w:rsid w:val="006A0ADF"/>
    <w:rsid w:val="006A0B50"/>
    <w:rsid w:val="006A0D09"/>
    <w:rsid w:val="006A0D5D"/>
    <w:rsid w:val="006A0DF5"/>
    <w:rsid w:val="006A1294"/>
    <w:rsid w:val="006A1340"/>
    <w:rsid w:val="006A16D1"/>
    <w:rsid w:val="006A17E3"/>
    <w:rsid w:val="006A1842"/>
    <w:rsid w:val="006A192F"/>
    <w:rsid w:val="006A1B87"/>
    <w:rsid w:val="006A1C6D"/>
    <w:rsid w:val="006A1D07"/>
    <w:rsid w:val="006A1D3D"/>
    <w:rsid w:val="006A1E56"/>
    <w:rsid w:val="006A1E83"/>
    <w:rsid w:val="006A1ED9"/>
    <w:rsid w:val="006A2079"/>
    <w:rsid w:val="006A209F"/>
    <w:rsid w:val="006A20FF"/>
    <w:rsid w:val="006A2282"/>
    <w:rsid w:val="006A23BB"/>
    <w:rsid w:val="006A256A"/>
    <w:rsid w:val="006A25BC"/>
    <w:rsid w:val="006A273C"/>
    <w:rsid w:val="006A2791"/>
    <w:rsid w:val="006A282E"/>
    <w:rsid w:val="006A28F4"/>
    <w:rsid w:val="006A29B6"/>
    <w:rsid w:val="006A2A4F"/>
    <w:rsid w:val="006A2B01"/>
    <w:rsid w:val="006A2C69"/>
    <w:rsid w:val="006A2D61"/>
    <w:rsid w:val="006A2E6F"/>
    <w:rsid w:val="006A2FFD"/>
    <w:rsid w:val="006A3170"/>
    <w:rsid w:val="006A3222"/>
    <w:rsid w:val="006A32E7"/>
    <w:rsid w:val="006A3359"/>
    <w:rsid w:val="006A35FB"/>
    <w:rsid w:val="006A3801"/>
    <w:rsid w:val="006A3A92"/>
    <w:rsid w:val="006A3B72"/>
    <w:rsid w:val="006A3BAB"/>
    <w:rsid w:val="006A3CE6"/>
    <w:rsid w:val="006A3D3F"/>
    <w:rsid w:val="006A3FCF"/>
    <w:rsid w:val="006A4178"/>
    <w:rsid w:val="006A41AF"/>
    <w:rsid w:val="006A43C9"/>
    <w:rsid w:val="006A45C5"/>
    <w:rsid w:val="006A47DA"/>
    <w:rsid w:val="006A48E5"/>
    <w:rsid w:val="006A4A0F"/>
    <w:rsid w:val="006A4BA0"/>
    <w:rsid w:val="006A4BC1"/>
    <w:rsid w:val="006A4DEB"/>
    <w:rsid w:val="006A4E95"/>
    <w:rsid w:val="006A55AE"/>
    <w:rsid w:val="006A5A42"/>
    <w:rsid w:val="006A5B52"/>
    <w:rsid w:val="006A5BFC"/>
    <w:rsid w:val="006A5C49"/>
    <w:rsid w:val="006A5D05"/>
    <w:rsid w:val="006A5E61"/>
    <w:rsid w:val="006A5FAD"/>
    <w:rsid w:val="006A601F"/>
    <w:rsid w:val="006A6063"/>
    <w:rsid w:val="006A6211"/>
    <w:rsid w:val="006A6430"/>
    <w:rsid w:val="006A677C"/>
    <w:rsid w:val="006A6791"/>
    <w:rsid w:val="006A6935"/>
    <w:rsid w:val="006A6AAF"/>
    <w:rsid w:val="006A6C16"/>
    <w:rsid w:val="006A6C36"/>
    <w:rsid w:val="006A6CD4"/>
    <w:rsid w:val="006A6E1F"/>
    <w:rsid w:val="006A6EF7"/>
    <w:rsid w:val="006A6F79"/>
    <w:rsid w:val="006A6FF7"/>
    <w:rsid w:val="006A7058"/>
    <w:rsid w:val="006A7221"/>
    <w:rsid w:val="006A73F3"/>
    <w:rsid w:val="006A7481"/>
    <w:rsid w:val="006A74B1"/>
    <w:rsid w:val="006A772E"/>
    <w:rsid w:val="006A78C9"/>
    <w:rsid w:val="006A7A6C"/>
    <w:rsid w:val="006A7A80"/>
    <w:rsid w:val="006A7FA5"/>
    <w:rsid w:val="006B0363"/>
    <w:rsid w:val="006B0626"/>
    <w:rsid w:val="006B085A"/>
    <w:rsid w:val="006B0E47"/>
    <w:rsid w:val="006B0E75"/>
    <w:rsid w:val="006B0E94"/>
    <w:rsid w:val="006B0F3F"/>
    <w:rsid w:val="006B102F"/>
    <w:rsid w:val="006B114A"/>
    <w:rsid w:val="006B129D"/>
    <w:rsid w:val="006B12FF"/>
    <w:rsid w:val="006B156D"/>
    <w:rsid w:val="006B15A5"/>
    <w:rsid w:val="006B1617"/>
    <w:rsid w:val="006B1644"/>
    <w:rsid w:val="006B1653"/>
    <w:rsid w:val="006B1887"/>
    <w:rsid w:val="006B18EF"/>
    <w:rsid w:val="006B1B5B"/>
    <w:rsid w:val="006B1C8D"/>
    <w:rsid w:val="006B1CED"/>
    <w:rsid w:val="006B1EB2"/>
    <w:rsid w:val="006B1F8A"/>
    <w:rsid w:val="006B1FFF"/>
    <w:rsid w:val="006B214E"/>
    <w:rsid w:val="006B21BD"/>
    <w:rsid w:val="006B23C4"/>
    <w:rsid w:val="006B24DD"/>
    <w:rsid w:val="006B25B9"/>
    <w:rsid w:val="006B276C"/>
    <w:rsid w:val="006B290B"/>
    <w:rsid w:val="006B2A01"/>
    <w:rsid w:val="006B2B1E"/>
    <w:rsid w:val="006B2BE9"/>
    <w:rsid w:val="006B2CCB"/>
    <w:rsid w:val="006B3304"/>
    <w:rsid w:val="006B35CE"/>
    <w:rsid w:val="006B3738"/>
    <w:rsid w:val="006B3914"/>
    <w:rsid w:val="006B3A31"/>
    <w:rsid w:val="006B3B7B"/>
    <w:rsid w:val="006B3D7E"/>
    <w:rsid w:val="006B3D8B"/>
    <w:rsid w:val="006B42D3"/>
    <w:rsid w:val="006B4596"/>
    <w:rsid w:val="006B4ADB"/>
    <w:rsid w:val="006B4AE7"/>
    <w:rsid w:val="006B5065"/>
    <w:rsid w:val="006B508C"/>
    <w:rsid w:val="006B5394"/>
    <w:rsid w:val="006B558F"/>
    <w:rsid w:val="006B5776"/>
    <w:rsid w:val="006B5DCA"/>
    <w:rsid w:val="006B5FBB"/>
    <w:rsid w:val="006B5FDB"/>
    <w:rsid w:val="006B6101"/>
    <w:rsid w:val="006B611C"/>
    <w:rsid w:val="006B62CB"/>
    <w:rsid w:val="006B658E"/>
    <w:rsid w:val="006B671A"/>
    <w:rsid w:val="006B713D"/>
    <w:rsid w:val="006B7176"/>
    <w:rsid w:val="006B73E5"/>
    <w:rsid w:val="006B74E0"/>
    <w:rsid w:val="006B74E1"/>
    <w:rsid w:val="006B7865"/>
    <w:rsid w:val="006B7C92"/>
    <w:rsid w:val="006B7DFE"/>
    <w:rsid w:val="006B7EA5"/>
    <w:rsid w:val="006B7EBA"/>
    <w:rsid w:val="006B7F2C"/>
    <w:rsid w:val="006B7FC2"/>
    <w:rsid w:val="006C0116"/>
    <w:rsid w:val="006C022A"/>
    <w:rsid w:val="006C04FC"/>
    <w:rsid w:val="006C05D8"/>
    <w:rsid w:val="006C061C"/>
    <w:rsid w:val="006C07A9"/>
    <w:rsid w:val="006C0998"/>
    <w:rsid w:val="006C09D4"/>
    <w:rsid w:val="006C0A65"/>
    <w:rsid w:val="006C0AB8"/>
    <w:rsid w:val="006C0AEA"/>
    <w:rsid w:val="006C0B56"/>
    <w:rsid w:val="006C0B6C"/>
    <w:rsid w:val="006C0F0B"/>
    <w:rsid w:val="006C0FB4"/>
    <w:rsid w:val="006C1239"/>
    <w:rsid w:val="006C1516"/>
    <w:rsid w:val="006C1552"/>
    <w:rsid w:val="006C1922"/>
    <w:rsid w:val="006C1964"/>
    <w:rsid w:val="006C19AD"/>
    <w:rsid w:val="006C1A16"/>
    <w:rsid w:val="006C1C4F"/>
    <w:rsid w:val="006C1D21"/>
    <w:rsid w:val="006C1D3E"/>
    <w:rsid w:val="006C1DB0"/>
    <w:rsid w:val="006C1F6C"/>
    <w:rsid w:val="006C26A2"/>
    <w:rsid w:val="006C27DF"/>
    <w:rsid w:val="006C287F"/>
    <w:rsid w:val="006C288D"/>
    <w:rsid w:val="006C28D6"/>
    <w:rsid w:val="006C2BF1"/>
    <w:rsid w:val="006C2C36"/>
    <w:rsid w:val="006C2CFC"/>
    <w:rsid w:val="006C2D47"/>
    <w:rsid w:val="006C2EB5"/>
    <w:rsid w:val="006C3034"/>
    <w:rsid w:val="006C3459"/>
    <w:rsid w:val="006C34DE"/>
    <w:rsid w:val="006C34F2"/>
    <w:rsid w:val="006C3528"/>
    <w:rsid w:val="006C3627"/>
    <w:rsid w:val="006C369D"/>
    <w:rsid w:val="006C3859"/>
    <w:rsid w:val="006C3986"/>
    <w:rsid w:val="006C3CF0"/>
    <w:rsid w:val="006C413F"/>
    <w:rsid w:val="006C41CC"/>
    <w:rsid w:val="006C41D6"/>
    <w:rsid w:val="006C43B6"/>
    <w:rsid w:val="006C458C"/>
    <w:rsid w:val="006C47F9"/>
    <w:rsid w:val="006C4994"/>
    <w:rsid w:val="006C49CA"/>
    <w:rsid w:val="006C4AD6"/>
    <w:rsid w:val="006C4C58"/>
    <w:rsid w:val="006C4CDF"/>
    <w:rsid w:val="006C4F5E"/>
    <w:rsid w:val="006C52D0"/>
    <w:rsid w:val="006C5717"/>
    <w:rsid w:val="006C5935"/>
    <w:rsid w:val="006C5C83"/>
    <w:rsid w:val="006C5DAD"/>
    <w:rsid w:val="006C5EF5"/>
    <w:rsid w:val="006C6398"/>
    <w:rsid w:val="006C6436"/>
    <w:rsid w:val="006C66F7"/>
    <w:rsid w:val="006C6C6A"/>
    <w:rsid w:val="006C6E48"/>
    <w:rsid w:val="006C6EE6"/>
    <w:rsid w:val="006C700C"/>
    <w:rsid w:val="006C72E0"/>
    <w:rsid w:val="006C748A"/>
    <w:rsid w:val="006C791D"/>
    <w:rsid w:val="006C7CAB"/>
    <w:rsid w:val="006C7E42"/>
    <w:rsid w:val="006C7F28"/>
    <w:rsid w:val="006D00CC"/>
    <w:rsid w:val="006D00D5"/>
    <w:rsid w:val="006D02F4"/>
    <w:rsid w:val="006D0567"/>
    <w:rsid w:val="006D095A"/>
    <w:rsid w:val="006D0D7E"/>
    <w:rsid w:val="006D0F84"/>
    <w:rsid w:val="006D1071"/>
    <w:rsid w:val="006D1712"/>
    <w:rsid w:val="006D1B09"/>
    <w:rsid w:val="006D1B13"/>
    <w:rsid w:val="006D1B32"/>
    <w:rsid w:val="006D1CC3"/>
    <w:rsid w:val="006D1CCA"/>
    <w:rsid w:val="006D1CD2"/>
    <w:rsid w:val="006D2001"/>
    <w:rsid w:val="006D20B6"/>
    <w:rsid w:val="006D21C9"/>
    <w:rsid w:val="006D2804"/>
    <w:rsid w:val="006D2A9F"/>
    <w:rsid w:val="006D2C31"/>
    <w:rsid w:val="006D2D3C"/>
    <w:rsid w:val="006D2E6B"/>
    <w:rsid w:val="006D2F37"/>
    <w:rsid w:val="006D2F54"/>
    <w:rsid w:val="006D375E"/>
    <w:rsid w:val="006D38ED"/>
    <w:rsid w:val="006D397D"/>
    <w:rsid w:val="006D3BE4"/>
    <w:rsid w:val="006D3CF2"/>
    <w:rsid w:val="006D3DAB"/>
    <w:rsid w:val="006D3E53"/>
    <w:rsid w:val="006D3FD9"/>
    <w:rsid w:val="006D41A1"/>
    <w:rsid w:val="006D4866"/>
    <w:rsid w:val="006D48B7"/>
    <w:rsid w:val="006D4A9B"/>
    <w:rsid w:val="006D4BBF"/>
    <w:rsid w:val="006D4D94"/>
    <w:rsid w:val="006D4FE2"/>
    <w:rsid w:val="006D4FE4"/>
    <w:rsid w:val="006D50D1"/>
    <w:rsid w:val="006D5197"/>
    <w:rsid w:val="006D535A"/>
    <w:rsid w:val="006D54BB"/>
    <w:rsid w:val="006D55DF"/>
    <w:rsid w:val="006D560D"/>
    <w:rsid w:val="006D5923"/>
    <w:rsid w:val="006D5966"/>
    <w:rsid w:val="006D59CA"/>
    <w:rsid w:val="006D5D34"/>
    <w:rsid w:val="006D5FEF"/>
    <w:rsid w:val="006D6298"/>
    <w:rsid w:val="006D6884"/>
    <w:rsid w:val="006D6B86"/>
    <w:rsid w:val="006D6B9D"/>
    <w:rsid w:val="006D6CF0"/>
    <w:rsid w:val="006D6E12"/>
    <w:rsid w:val="006D6F56"/>
    <w:rsid w:val="006D6F89"/>
    <w:rsid w:val="006D6FCA"/>
    <w:rsid w:val="006D755F"/>
    <w:rsid w:val="006D757C"/>
    <w:rsid w:val="006D75AE"/>
    <w:rsid w:val="006D795A"/>
    <w:rsid w:val="006D7A51"/>
    <w:rsid w:val="006D7AF1"/>
    <w:rsid w:val="006D7BB3"/>
    <w:rsid w:val="006D7DDC"/>
    <w:rsid w:val="006D7EAC"/>
    <w:rsid w:val="006D7FAC"/>
    <w:rsid w:val="006E0006"/>
    <w:rsid w:val="006E027F"/>
    <w:rsid w:val="006E0326"/>
    <w:rsid w:val="006E0449"/>
    <w:rsid w:val="006E07B6"/>
    <w:rsid w:val="006E08D8"/>
    <w:rsid w:val="006E0A62"/>
    <w:rsid w:val="006E0AB4"/>
    <w:rsid w:val="006E0D80"/>
    <w:rsid w:val="006E0E73"/>
    <w:rsid w:val="006E0F8B"/>
    <w:rsid w:val="006E0FBA"/>
    <w:rsid w:val="006E1236"/>
    <w:rsid w:val="006E1329"/>
    <w:rsid w:val="006E132B"/>
    <w:rsid w:val="006E13F9"/>
    <w:rsid w:val="006E1877"/>
    <w:rsid w:val="006E1941"/>
    <w:rsid w:val="006E1A1C"/>
    <w:rsid w:val="006E1DC0"/>
    <w:rsid w:val="006E1FE2"/>
    <w:rsid w:val="006E205A"/>
    <w:rsid w:val="006E2143"/>
    <w:rsid w:val="006E24B0"/>
    <w:rsid w:val="006E2576"/>
    <w:rsid w:val="006E2847"/>
    <w:rsid w:val="006E29E2"/>
    <w:rsid w:val="006E2B54"/>
    <w:rsid w:val="006E2D47"/>
    <w:rsid w:val="006E30CF"/>
    <w:rsid w:val="006E3164"/>
    <w:rsid w:val="006E3186"/>
    <w:rsid w:val="006E31B2"/>
    <w:rsid w:val="006E35AB"/>
    <w:rsid w:val="006E35C8"/>
    <w:rsid w:val="006E35ED"/>
    <w:rsid w:val="006E37F7"/>
    <w:rsid w:val="006E3A31"/>
    <w:rsid w:val="006E3E34"/>
    <w:rsid w:val="006E3F34"/>
    <w:rsid w:val="006E3F90"/>
    <w:rsid w:val="006E4154"/>
    <w:rsid w:val="006E4229"/>
    <w:rsid w:val="006E422A"/>
    <w:rsid w:val="006E4359"/>
    <w:rsid w:val="006E4389"/>
    <w:rsid w:val="006E44B5"/>
    <w:rsid w:val="006E44CC"/>
    <w:rsid w:val="006E47E3"/>
    <w:rsid w:val="006E485F"/>
    <w:rsid w:val="006E4952"/>
    <w:rsid w:val="006E4C1E"/>
    <w:rsid w:val="006E4C6F"/>
    <w:rsid w:val="006E4D1D"/>
    <w:rsid w:val="006E4D72"/>
    <w:rsid w:val="006E4DE0"/>
    <w:rsid w:val="006E5223"/>
    <w:rsid w:val="006E554A"/>
    <w:rsid w:val="006E5562"/>
    <w:rsid w:val="006E55BC"/>
    <w:rsid w:val="006E57B9"/>
    <w:rsid w:val="006E5839"/>
    <w:rsid w:val="006E5A3D"/>
    <w:rsid w:val="006E5A64"/>
    <w:rsid w:val="006E5CA6"/>
    <w:rsid w:val="006E5D1B"/>
    <w:rsid w:val="006E5F32"/>
    <w:rsid w:val="006E60BC"/>
    <w:rsid w:val="006E61F6"/>
    <w:rsid w:val="006E624E"/>
    <w:rsid w:val="006E6428"/>
    <w:rsid w:val="006E6948"/>
    <w:rsid w:val="006E69B6"/>
    <w:rsid w:val="006E69EA"/>
    <w:rsid w:val="006E6C14"/>
    <w:rsid w:val="006E6D86"/>
    <w:rsid w:val="006E6E83"/>
    <w:rsid w:val="006E6EF9"/>
    <w:rsid w:val="006E6F37"/>
    <w:rsid w:val="006E739A"/>
    <w:rsid w:val="006E7428"/>
    <w:rsid w:val="006E749F"/>
    <w:rsid w:val="006E7575"/>
    <w:rsid w:val="006E78D2"/>
    <w:rsid w:val="006E7978"/>
    <w:rsid w:val="006E79C7"/>
    <w:rsid w:val="006E79CB"/>
    <w:rsid w:val="006E7B59"/>
    <w:rsid w:val="006F000D"/>
    <w:rsid w:val="006F0069"/>
    <w:rsid w:val="006F02DE"/>
    <w:rsid w:val="006F04C7"/>
    <w:rsid w:val="006F09DA"/>
    <w:rsid w:val="006F0A1C"/>
    <w:rsid w:val="006F0BD3"/>
    <w:rsid w:val="006F0BF3"/>
    <w:rsid w:val="006F0C6F"/>
    <w:rsid w:val="006F0CF5"/>
    <w:rsid w:val="006F0D48"/>
    <w:rsid w:val="006F110C"/>
    <w:rsid w:val="006F1355"/>
    <w:rsid w:val="006F15C8"/>
    <w:rsid w:val="006F1687"/>
    <w:rsid w:val="006F17F2"/>
    <w:rsid w:val="006F1B40"/>
    <w:rsid w:val="006F1B5D"/>
    <w:rsid w:val="006F1EAB"/>
    <w:rsid w:val="006F1F57"/>
    <w:rsid w:val="006F201D"/>
    <w:rsid w:val="006F2064"/>
    <w:rsid w:val="006F211B"/>
    <w:rsid w:val="006F213B"/>
    <w:rsid w:val="006F25C9"/>
    <w:rsid w:val="006F280D"/>
    <w:rsid w:val="006F2927"/>
    <w:rsid w:val="006F29E2"/>
    <w:rsid w:val="006F2B8B"/>
    <w:rsid w:val="006F2E3E"/>
    <w:rsid w:val="006F30EC"/>
    <w:rsid w:val="006F324E"/>
    <w:rsid w:val="006F334D"/>
    <w:rsid w:val="006F3370"/>
    <w:rsid w:val="006F338B"/>
    <w:rsid w:val="006F3765"/>
    <w:rsid w:val="006F37A5"/>
    <w:rsid w:val="006F3850"/>
    <w:rsid w:val="006F3920"/>
    <w:rsid w:val="006F3E60"/>
    <w:rsid w:val="006F3FE6"/>
    <w:rsid w:val="006F4015"/>
    <w:rsid w:val="006F4273"/>
    <w:rsid w:val="006F4448"/>
    <w:rsid w:val="006F4749"/>
    <w:rsid w:val="006F47AE"/>
    <w:rsid w:val="006F47EE"/>
    <w:rsid w:val="006F4998"/>
    <w:rsid w:val="006F4C5B"/>
    <w:rsid w:val="006F4D49"/>
    <w:rsid w:val="006F4ED6"/>
    <w:rsid w:val="006F5151"/>
    <w:rsid w:val="006F5175"/>
    <w:rsid w:val="006F5282"/>
    <w:rsid w:val="006F52DF"/>
    <w:rsid w:val="006F52E9"/>
    <w:rsid w:val="006F5395"/>
    <w:rsid w:val="006F53B2"/>
    <w:rsid w:val="006F5B1D"/>
    <w:rsid w:val="006F5BB4"/>
    <w:rsid w:val="006F5C43"/>
    <w:rsid w:val="006F5D0E"/>
    <w:rsid w:val="006F5FB2"/>
    <w:rsid w:val="006F643D"/>
    <w:rsid w:val="006F67DF"/>
    <w:rsid w:val="006F69CD"/>
    <w:rsid w:val="006F6B3F"/>
    <w:rsid w:val="006F7073"/>
    <w:rsid w:val="006F70D1"/>
    <w:rsid w:val="006F72DE"/>
    <w:rsid w:val="006F74C8"/>
    <w:rsid w:val="006F7826"/>
    <w:rsid w:val="006F7841"/>
    <w:rsid w:val="006F7ABD"/>
    <w:rsid w:val="006F7C7B"/>
    <w:rsid w:val="006F7DE5"/>
    <w:rsid w:val="006F7FC2"/>
    <w:rsid w:val="0070034E"/>
    <w:rsid w:val="007003C4"/>
    <w:rsid w:val="00700584"/>
    <w:rsid w:val="00700707"/>
    <w:rsid w:val="00700735"/>
    <w:rsid w:val="0070085B"/>
    <w:rsid w:val="007008B6"/>
    <w:rsid w:val="007009BD"/>
    <w:rsid w:val="00700AA1"/>
    <w:rsid w:val="00700D67"/>
    <w:rsid w:val="00700D8F"/>
    <w:rsid w:val="00700E6D"/>
    <w:rsid w:val="00700F7F"/>
    <w:rsid w:val="00700FED"/>
    <w:rsid w:val="00701084"/>
    <w:rsid w:val="0070116F"/>
    <w:rsid w:val="007011A5"/>
    <w:rsid w:val="00701241"/>
    <w:rsid w:val="00701456"/>
    <w:rsid w:val="00701484"/>
    <w:rsid w:val="007014F0"/>
    <w:rsid w:val="0070151D"/>
    <w:rsid w:val="00701557"/>
    <w:rsid w:val="00701815"/>
    <w:rsid w:val="0070186D"/>
    <w:rsid w:val="00701D47"/>
    <w:rsid w:val="00701F10"/>
    <w:rsid w:val="00701F75"/>
    <w:rsid w:val="00702058"/>
    <w:rsid w:val="0070209F"/>
    <w:rsid w:val="007020F5"/>
    <w:rsid w:val="007022EC"/>
    <w:rsid w:val="00702B03"/>
    <w:rsid w:val="00702BC5"/>
    <w:rsid w:val="00702BDA"/>
    <w:rsid w:val="00702C95"/>
    <w:rsid w:val="00702C9D"/>
    <w:rsid w:val="00702D8D"/>
    <w:rsid w:val="00702EE5"/>
    <w:rsid w:val="00702EEE"/>
    <w:rsid w:val="00702F41"/>
    <w:rsid w:val="0070328B"/>
    <w:rsid w:val="007032C0"/>
    <w:rsid w:val="007032E3"/>
    <w:rsid w:val="007033BF"/>
    <w:rsid w:val="00703751"/>
    <w:rsid w:val="00703940"/>
    <w:rsid w:val="00703CFC"/>
    <w:rsid w:val="007040A3"/>
    <w:rsid w:val="00704149"/>
    <w:rsid w:val="00704202"/>
    <w:rsid w:val="00704465"/>
    <w:rsid w:val="00704623"/>
    <w:rsid w:val="00704706"/>
    <w:rsid w:val="0070472A"/>
    <w:rsid w:val="00704782"/>
    <w:rsid w:val="00704ADD"/>
    <w:rsid w:val="00704B4B"/>
    <w:rsid w:val="00704B7F"/>
    <w:rsid w:val="00704C1B"/>
    <w:rsid w:val="00704FB6"/>
    <w:rsid w:val="00705070"/>
    <w:rsid w:val="00705161"/>
    <w:rsid w:val="0070528F"/>
    <w:rsid w:val="0070544C"/>
    <w:rsid w:val="007054EC"/>
    <w:rsid w:val="0070570E"/>
    <w:rsid w:val="0070577F"/>
    <w:rsid w:val="00705913"/>
    <w:rsid w:val="00705932"/>
    <w:rsid w:val="00705E29"/>
    <w:rsid w:val="00705F7B"/>
    <w:rsid w:val="00705FCF"/>
    <w:rsid w:val="00706197"/>
    <w:rsid w:val="00706391"/>
    <w:rsid w:val="007063EC"/>
    <w:rsid w:val="00706446"/>
    <w:rsid w:val="0070659E"/>
    <w:rsid w:val="00706874"/>
    <w:rsid w:val="007069FB"/>
    <w:rsid w:val="00706C3A"/>
    <w:rsid w:val="00706C3B"/>
    <w:rsid w:val="00706CC2"/>
    <w:rsid w:val="00706DDE"/>
    <w:rsid w:val="0070740D"/>
    <w:rsid w:val="0070740F"/>
    <w:rsid w:val="00707643"/>
    <w:rsid w:val="00707693"/>
    <w:rsid w:val="00707883"/>
    <w:rsid w:val="00707A4A"/>
    <w:rsid w:val="00707C5D"/>
    <w:rsid w:val="00707D8A"/>
    <w:rsid w:val="007101B6"/>
    <w:rsid w:val="00710386"/>
    <w:rsid w:val="00710856"/>
    <w:rsid w:val="00710943"/>
    <w:rsid w:val="007109BC"/>
    <w:rsid w:val="00710B24"/>
    <w:rsid w:val="00710C6A"/>
    <w:rsid w:val="00710E71"/>
    <w:rsid w:val="007110BF"/>
    <w:rsid w:val="00711149"/>
    <w:rsid w:val="00711275"/>
    <w:rsid w:val="00711518"/>
    <w:rsid w:val="007115DE"/>
    <w:rsid w:val="0071164F"/>
    <w:rsid w:val="00711663"/>
    <w:rsid w:val="007116BF"/>
    <w:rsid w:val="007117D0"/>
    <w:rsid w:val="0071186F"/>
    <w:rsid w:val="007119EA"/>
    <w:rsid w:val="00711C1E"/>
    <w:rsid w:val="00711D28"/>
    <w:rsid w:val="00711E71"/>
    <w:rsid w:val="00711F05"/>
    <w:rsid w:val="007126E9"/>
    <w:rsid w:val="0071279A"/>
    <w:rsid w:val="007127DD"/>
    <w:rsid w:val="00712935"/>
    <w:rsid w:val="0071298D"/>
    <w:rsid w:val="00712C3D"/>
    <w:rsid w:val="00712C78"/>
    <w:rsid w:val="00712D21"/>
    <w:rsid w:val="00712E6A"/>
    <w:rsid w:val="00712EC1"/>
    <w:rsid w:val="00712FAB"/>
    <w:rsid w:val="00713173"/>
    <w:rsid w:val="007133AF"/>
    <w:rsid w:val="0071374B"/>
    <w:rsid w:val="00713B1B"/>
    <w:rsid w:val="00713F90"/>
    <w:rsid w:val="00713FF1"/>
    <w:rsid w:val="00714012"/>
    <w:rsid w:val="007140CB"/>
    <w:rsid w:val="007142BA"/>
    <w:rsid w:val="0071437B"/>
    <w:rsid w:val="007144A2"/>
    <w:rsid w:val="0071468F"/>
    <w:rsid w:val="00714909"/>
    <w:rsid w:val="00714996"/>
    <w:rsid w:val="00714A64"/>
    <w:rsid w:val="00714D24"/>
    <w:rsid w:val="00714D3D"/>
    <w:rsid w:val="0071516E"/>
    <w:rsid w:val="00715190"/>
    <w:rsid w:val="00715314"/>
    <w:rsid w:val="00715994"/>
    <w:rsid w:val="007159D9"/>
    <w:rsid w:val="00716081"/>
    <w:rsid w:val="007160A9"/>
    <w:rsid w:val="00716152"/>
    <w:rsid w:val="00716294"/>
    <w:rsid w:val="007162FA"/>
    <w:rsid w:val="007163F2"/>
    <w:rsid w:val="007164F0"/>
    <w:rsid w:val="0071657B"/>
    <w:rsid w:val="00716972"/>
    <w:rsid w:val="00716A1B"/>
    <w:rsid w:val="00716ADB"/>
    <w:rsid w:val="00716B09"/>
    <w:rsid w:val="00716D3B"/>
    <w:rsid w:val="00716DC0"/>
    <w:rsid w:val="00716DD2"/>
    <w:rsid w:val="00716DF0"/>
    <w:rsid w:val="00716E55"/>
    <w:rsid w:val="00717180"/>
    <w:rsid w:val="00717484"/>
    <w:rsid w:val="007175D9"/>
    <w:rsid w:val="00717922"/>
    <w:rsid w:val="00717982"/>
    <w:rsid w:val="00717B38"/>
    <w:rsid w:val="00717BBD"/>
    <w:rsid w:val="00717BEF"/>
    <w:rsid w:val="00717E1C"/>
    <w:rsid w:val="00717E41"/>
    <w:rsid w:val="00717EB5"/>
    <w:rsid w:val="00717FB2"/>
    <w:rsid w:val="007200B9"/>
    <w:rsid w:val="00720284"/>
    <w:rsid w:val="0072034A"/>
    <w:rsid w:val="00720717"/>
    <w:rsid w:val="0072083F"/>
    <w:rsid w:val="007208C2"/>
    <w:rsid w:val="0072090F"/>
    <w:rsid w:val="00720A6A"/>
    <w:rsid w:val="00720B6F"/>
    <w:rsid w:val="00720BFC"/>
    <w:rsid w:val="00720FDA"/>
    <w:rsid w:val="007210EA"/>
    <w:rsid w:val="00721361"/>
    <w:rsid w:val="00721401"/>
    <w:rsid w:val="0072144F"/>
    <w:rsid w:val="007214C5"/>
    <w:rsid w:val="00721617"/>
    <w:rsid w:val="0072175D"/>
    <w:rsid w:val="0072185A"/>
    <w:rsid w:val="007218AD"/>
    <w:rsid w:val="007218C4"/>
    <w:rsid w:val="00721971"/>
    <w:rsid w:val="00721C61"/>
    <w:rsid w:val="00721D96"/>
    <w:rsid w:val="00721EA2"/>
    <w:rsid w:val="00721F89"/>
    <w:rsid w:val="00722144"/>
    <w:rsid w:val="00722245"/>
    <w:rsid w:val="00722358"/>
    <w:rsid w:val="00722455"/>
    <w:rsid w:val="007224C0"/>
    <w:rsid w:val="007224FC"/>
    <w:rsid w:val="00722590"/>
    <w:rsid w:val="007225AA"/>
    <w:rsid w:val="0072280A"/>
    <w:rsid w:val="00722BCB"/>
    <w:rsid w:val="00722C60"/>
    <w:rsid w:val="00722C9B"/>
    <w:rsid w:val="00723052"/>
    <w:rsid w:val="00723199"/>
    <w:rsid w:val="007231D2"/>
    <w:rsid w:val="007232F3"/>
    <w:rsid w:val="0072335C"/>
    <w:rsid w:val="00723729"/>
    <w:rsid w:val="0072377F"/>
    <w:rsid w:val="00723800"/>
    <w:rsid w:val="00723831"/>
    <w:rsid w:val="007238F4"/>
    <w:rsid w:val="007238F6"/>
    <w:rsid w:val="00723B21"/>
    <w:rsid w:val="00723CEE"/>
    <w:rsid w:val="00723F3D"/>
    <w:rsid w:val="00723FEC"/>
    <w:rsid w:val="00724011"/>
    <w:rsid w:val="007240D7"/>
    <w:rsid w:val="007241FE"/>
    <w:rsid w:val="0072445A"/>
    <w:rsid w:val="007245E6"/>
    <w:rsid w:val="00724647"/>
    <w:rsid w:val="007247D0"/>
    <w:rsid w:val="00724872"/>
    <w:rsid w:val="00724909"/>
    <w:rsid w:val="00724951"/>
    <w:rsid w:val="0072495A"/>
    <w:rsid w:val="00724C16"/>
    <w:rsid w:val="007251BB"/>
    <w:rsid w:val="00725257"/>
    <w:rsid w:val="0072536E"/>
    <w:rsid w:val="00725541"/>
    <w:rsid w:val="007255D4"/>
    <w:rsid w:val="00725923"/>
    <w:rsid w:val="00725ABE"/>
    <w:rsid w:val="00725C0F"/>
    <w:rsid w:val="00725CA9"/>
    <w:rsid w:val="00725EAA"/>
    <w:rsid w:val="0072610F"/>
    <w:rsid w:val="00726132"/>
    <w:rsid w:val="00726189"/>
    <w:rsid w:val="00726479"/>
    <w:rsid w:val="007265B2"/>
    <w:rsid w:val="00726690"/>
    <w:rsid w:val="007266B6"/>
    <w:rsid w:val="00726755"/>
    <w:rsid w:val="007267EB"/>
    <w:rsid w:val="00726B50"/>
    <w:rsid w:val="00726D89"/>
    <w:rsid w:val="00726ED1"/>
    <w:rsid w:val="0072714B"/>
    <w:rsid w:val="007271A8"/>
    <w:rsid w:val="0072728B"/>
    <w:rsid w:val="007272E7"/>
    <w:rsid w:val="0072739A"/>
    <w:rsid w:val="0072742A"/>
    <w:rsid w:val="00727430"/>
    <w:rsid w:val="0072776F"/>
    <w:rsid w:val="007277F4"/>
    <w:rsid w:val="00727886"/>
    <w:rsid w:val="00727957"/>
    <w:rsid w:val="007279FB"/>
    <w:rsid w:val="00727A78"/>
    <w:rsid w:val="00727D03"/>
    <w:rsid w:val="00727D09"/>
    <w:rsid w:val="00727F1B"/>
    <w:rsid w:val="00730218"/>
    <w:rsid w:val="00730411"/>
    <w:rsid w:val="007305D8"/>
    <w:rsid w:val="0073068D"/>
    <w:rsid w:val="00730782"/>
    <w:rsid w:val="0073095A"/>
    <w:rsid w:val="007309A2"/>
    <w:rsid w:val="00730A61"/>
    <w:rsid w:val="00730AB1"/>
    <w:rsid w:val="00730B68"/>
    <w:rsid w:val="00730D4B"/>
    <w:rsid w:val="00730DCB"/>
    <w:rsid w:val="00730E54"/>
    <w:rsid w:val="00731026"/>
    <w:rsid w:val="0073111F"/>
    <w:rsid w:val="007311B2"/>
    <w:rsid w:val="007312A2"/>
    <w:rsid w:val="0073134A"/>
    <w:rsid w:val="007314D3"/>
    <w:rsid w:val="00731679"/>
    <w:rsid w:val="00731A26"/>
    <w:rsid w:val="00731BFA"/>
    <w:rsid w:val="00731C59"/>
    <w:rsid w:val="00731DA3"/>
    <w:rsid w:val="0073216A"/>
    <w:rsid w:val="00732251"/>
    <w:rsid w:val="0073232D"/>
    <w:rsid w:val="0073260C"/>
    <w:rsid w:val="007327F8"/>
    <w:rsid w:val="00732826"/>
    <w:rsid w:val="0073295F"/>
    <w:rsid w:val="00732A74"/>
    <w:rsid w:val="00732A81"/>
    <w:rsid w:val="00732B21"/>
    <w:rsid w:val="00732C16"/>
    <w:rsid w:val="00732CD4"/>
    <w:rsid w:val="00732F19"/>
    <w:rsid w:val="0073303A"/>
    <w:rsid w:val="0073306C"/>
    <w:rsid w:val="007330DB"/>
    <w:rsid w:val="007330F2"/>
    <w:rsid w:val="00733341"/>
    <w:rsid w:val="00733776"/>
    <w:rsid w:val="007337F7"/>
    <w:rsid w:val="00733AC9"/>
    <w:rsid w:val="00733D2B"/>
    <w:rsid w:val="00733D2F"/>
    <w:rsid w:val="00733E44"/>
    <w:rsid w:val="00733E9D"/>
    <w:rsid w:val="007340CD"/>
    <w:rsid w:val="007341E5"/>
    <w:rsid w:val="00734204"/>
    <w:rsid w:val="00734288"/>
    <w:rsid w:val="007342DD"/>
    <w:rsid w:val="00734599"/>
    <w:rsid w:val="007346DE"/>
    <w:rsid w:val="007347F9"/>
    <w:rsid w:val="00734884"/>
    <w:rsid w:val="007349F4"/>
    <w:rsid w:val="00734AD6"/>
    <w:rsid w:val="00734B04"/>
    <w:rsid w:val="00734B0D"/>
    <w:rsid w:val="00734E06"/>
    <w:rsid w:val="00734F13"/>
    <w:rsid w:val="0073500B"/>
    <w:rsid w:val="00735283"/>
    <w:rsid w:val="00735727"/>
    <w:rsid w:val="007358B3"/>
    <w:rsid w:val="007359AE"/>
    <w:rsid w:val="00735ED7"/>
    <w:rsid w:val="00735FA9"/>
    <w:rsid w:val="00735FCF"/>
    <w:rsid w:val="00735FFD"/>
    <w:rsid w:val="007361A9"/>
    <w:rsid w:val="007361EF"/>
    <w:rsid w:val="00736256"/>
    <w:rsid w:val="00736265"/>
    <w:rsid w:val="00736297"/>
    <w:rsid w:val="00736539"/>
    <w:rsid w:val="00736725"/>
    <w:rsid w:val="0073675A"/>
    <w:rsid w:val="007367FB"/>
    <w:rsid w:val="007368B5"/>
    <w:rsid w:val="007369D9"/>
    <w:rsid w:val="00736BA5"/>
    <w:rsid w:val="00736BF0"/>
    <w:rsid w:val="00736C24"/>
    <w:rsid w:val="00736DB6"/>
    <w:rsid w:val="00736E4F"/>
    <w:rsid w:val="0073731A"/>
    <w:rsid w:val="007373B7"/>
    <w:rsid w:val="00737454"/>
    <w:rsid w:val="007377ED"/>
    <w:rsid w:val="0073785C"/>
    <w:rsid w:val="00737868"/>
    <w:rsid w:val="00737B6F"/>
    <w:rsid w:val="00737C5F"/>
    <w:rsid w:val="00737D75"/>
    <w:rsid w:val="00737D9E"/>
    <w:rsid w:val="00737DD5"/>
    <w:rsid w:val="00740237"/>
    <w:rsid w:val="00740268"/>
    <w:rsid w:val="00740348"/>
    <w:rsid w:val="007403C7"/>
    <w:rsid w:val="0074044B"/>
    <w:rsid w:val="007404DC"/>
    <w:rsid w:val="0074057A"/>
    <w:rsid w:val="00740765"/>
    <w:rsid w:val="007409AA"/>
    <w:rsid w:val="00740A4A"/>
    <w:rsid w:val="00740C0D"/>
    <w:rsid w:val="00740C6F"/>
    <w:rsid w:val="00740D6E"/>
    <w:rsid w:val="00740DA1"/>
    <w:rsid w:val="00740DC1"/>
    <w:rsid w:val="00740E9A"/>
    <w:rsid w:val="00740FCD"/>
    <w:rsid w:val="007410A5"/>
    <w:rsid w:val="007411A6"/>
    <w:rsid w:val="007412AE"/>
    <w:rsid w:val="0074167E"/>
    <w:rsid w:val="0074176D"/>
    <w:rsid w:val="007419F7"/>
    <w:rsid w:val="00741B48"/>
    <w:rsid w:val="00741BF7"/>
    <w:rsid w:val="00741C40"/>
    <w:rsid w:val="00741EF3"/>
    <w:rsid w:val="00742010"/>
    <w:rsid w:val="00742057"/>
    <w:rsid w:val="007420E3"/>
    <w:rsid w:val="00742131"/>
    <w:rsid w:val="007421A1"/>
    <w:rsid w:val="00742403"/>
    <w:rsid w:val="007428EC"/>
    <w:rsid w:val="0074293F"/>
    <w:rsid w:val="007429CC"/>
    <w:rsid w:val="00742AE4"/>
    <w:rsid w:val="00742B49"/>
    <w:rsid w:val="00742B5D"/>
    <w:rsid w:val="00742BE5"/>
    <w:rsid w:val="00742D80"/>
    <w:rsid w:val="00742E17"/>
    <w:rsid w:val="00742E18"/>
    <w:rsid w:val="00742F16"/>
    <w:rsid w:val="0074312F"/>
    <w:rsid w:val="007432E6"/>
    <w:rsid w:val="00743365"/>
    <w:rsid w:val="007433F5"/>
    <w:rsid w:val="007434C2"/>
    <w:rsid w:val="00743684"/>
    <w:rsid w:val="007439C5"/>
    <w:rsid w:val="00743A11"/>
    <w:rsid w:val="00743B32"/>
    <w:rsid w:val="00743D6F"/>
    <w:rsid w:val="00744041"/>
    <w:rsid w:val="007442C4"/>
    <w:rsid w:val="00744417"/>
    <w:rsid w:val="00744F11"/>
    <w:rsid w:val="00745159"/>
    <w:rsid w:val="007452DA"/>
    <w:rsid w:val="00745329"/>
    <w:rsid w:val="00745488"/>
    <w:rsid w:val="007458D1"/>
    <w:rsid w:val="00745BCB"/>
    <w:rsid w:val="00745C32"/>
    <w:rsid w:val="00745CDB"/>
    <w:rsid w:val="00745D91"/>
    <w:rsid w:val="00745EA4"/>
    <w:rsid w:val="00745EC0"/>
    <w:rsid w:val="00746023"/>
    <w:rsid w:val="00746219"/>
    <w:rsid w:val="00746412"/>
    <w:rsid w:val="00746472"/>
    <w:rsid w:val="007464DF"/>
    <w:rsid w:val="007465FA"/>
    <w:rsid w:val="00746642"/>
    <w:rsid w:val="0074683B"/>
    <w:rsid w:val="00746939"/>
    <w:rsid w:val="00746953"/>
    <w:rsid w:val="00746B40"/>
    <w:rsid w:val="00746E66"/>
    <w:rsid w:val="00746ECE"/>
    <w:rsid w:val="00747096"/>
    <w:rsid w:val="0074765A"/>
    <w:rsid w:val="00747794"/>
    <w:rsid w:val="007478A1"/>
    <w:rsid w:val="0074790E"/>
    <w:rsid w:val="00747A55"/>
    <w:rsid w:val="00747B0B"/>
    <w:rsid w:val="00747C9D"/>
    <w:rsid w:val="00747E1D"/>
    <w:rsid w:val="00747EA5"/>
    <w:rsid w:val="00747EB0"/>
    <w:rsid w:val="007501E9"/>
    <w:rsid w:val="007501F7"/>
    <w:rsid w:val="007503BC"/>
    <w:rsid w:val="0075055B"/>
    <w:rsid w:val="007505EF"/>
    <w:rsid w:val="00750699"/>
    <w:rsid w:val="00750701"/>
    <w:rsid w:val="0075085B"/>
    <w:rsid w:val="00750948"/>
    <w:rsid w:val="00750E77"/>
    <w:rsid w:val="00750E96"/>
    <w:rsid w:val="00751010"/>
    <w:rsid w:val="0075119C"/>
    <w:rsid w:val="00751253"/>
    <w:rsid w:val="00751328"/>
    <w:rsid w:val="007513D4"/>
    <w:rsid w:val="00751541"/>
    <w:rsid w:val="00751803"/>
    <w:rsid w:val="00751B8E"/>
    <w:rsid w:val="00751E24"/>
    <w:rsid w:val="00751E72"/>
    <w:rsid w:val="00751EEB"/>
    <w:rsid w:val="00752317"/>
    <w:rsid w:val="00752409"/>
    <w:rsid w:val="0075249A"/>
    <w:rsid w:val="007525F7"/>
    <w:rsid w:val="007526B0"/>
    <w:rsid w:val="0075270F"/>
    <w:rsid w:val="007527B1"/>
    <w:rsid w:val="00752981"/>
    <w:rsid w:val="00752A80"/>
    <w:rsid w:val="00752AAA"/>
    <w:rsid w:val="00752C4C"/>
    <w:rsid w:val="00752EB5"/>
    <w:rsid w:val="00752F9A"/>
    <w:rsid w:val="0075314C"/>
    <w:rsid w:val="00753287"/>
    <w:rsid w:val="007533CC"/>
    <w:rsid w:val="007533E4"/>
    <w:rsid w:val="007534D9"/>
    <w:rsid w:val="0075353D"/>
    <w:rsid w:val="0075370C"/>
    <w:rsid w:val="00753798"/>
    <w:rsid w:val="007537E7"/>
    <w:rsid w:val="00753A02"/>
    <w:rsid w:val="00753A54"/>
    <w:rsid w:val="00753AAF"/>
    <w:rsid w:val="00753E04"/>
    <w:rsid w:val="00753E3F"/>
    <w:rsid w:val="00753E87"/>
    <w:rsid w:val="00753EDD"/>
    <w:rsid w:val="00753F2E"/>
    <w:rsid w:val="00753F7C"/>
    <w:rsid w:val="00754311"/>
    <w:rsid w:val="00754393"/>
    <w:rsid w:val="0075444C"/>
    <w:rsid w:val="007545B7"/>
    <w:rsid w:val="00754768"/>
    <w:rsid w:val="0075497B"/>
    <w:rsid w:val="007549C4"/>
    <w:rsid w:val="00754B59"/>
    <w:rsid w:val="00754C5C"/>
    <w:rsid w:val="007553B2"/>
    <w:rsid w:val="00755416"/>
    <w:rsid w:val="00755480"/>
    <w:rsid w:val="0075581C"/>
    <w:rsid w:val="00755984"/>
    <w:rsid w:val="0075598E"/>
    <w:rsid w:val="00755998"/>
    <w:rsid w:val="007559CF"/>
    <w:rsid w:val="00755AF8"/>
    <w:rsid w:val="00755AFA"/>
    <w:rsid w:val="00755E14"/>
    <w:rsid w:val="00755F5D"/>
    <w:rsid w:val="00756064"/>
    <w:rsid w:val="007562F5"/>
    <w:rsid w:val="0075635D"/>
    <w:rsid w:val="007565AD"/>
    <w:rsid w:val="0075669F"/>
    <w:rsid w:val="00756B28"/>
    <w:rsid w:val="00756BC7"/>
    <w:rsid w:val="00756CBA"/>
    <w:rsid w:val="00757012"/>
    <w:rsid w:val="0075706F"/>
    <w:rsid w:val="0075710D"/>
    <w:rsid w:val="007572F6"/>
    <w:rsid w:val="00757464"/>
    <w:rsid w:val="00757526"/>
    <w:rsid w:val="00757822"/>
    <w:rsid w:val="00757836"/>
    <w:rsid w:val="00757B98"/>
    <w:rsid w:val="00757BB0"/>
    <w:rsid w:val="00757C51"/>
    <w:rsid w:val="00757C93"/>
    <w:rsid w:val="00757CBD"/>
    <w:rsid w:val="00757E23"/>
    <w:rsid w:val="00757EE9"/>
    <w:rsid w:val="00760077"/>
    <w:rsid w:val="0076013E"/>
    <w:rsid w:val="0076024D"/>
    <w:rsid w:val="00760BC2"/>
    <w:rsid w:val="00760C70"/>
    <w:rsid w:val="00760DC6"/>
    <w:rsid w:val="00760EEF"/>
    <w:rsid w:val="00760FE8"/>
    <w:rsid w:val="00760FF3"/>
    <w:rsid w:val="0076124D"/>
    <w:rsid w:val="00761376"/>
    <w:rsid w:val="00761545"/>
    <w:rsid w:val="00761953"/>
    <w:rsid w:val="007619A5"/>
    <w:rsid w:val="00761A33"/>
    <w:rsid w:val="00761B86"/>
    <w:rsid w:val="00761D5F"/>
    <w:rsid w:val="00761F54"/>
    <w:rsid w:val="00761F63"/>
    <w:rsid w:val="00761FCE"/>
    <w:rsid w:val="0076204A"/>
    <w:rsid w:val="0076206E"/>
    <w:rsid w:val="00762512"/>
    <w:rsid w:val="00762806"/>
    <w:rsid w:val="007629D4"/>
    <w:rsid w:val="00762A6F"/>
    <w:rsid w:val="00762B0B"/>
    <w:rsid w:val="00762D57"/>
    <w:rsid w:val="00762E4E"/>
    <w:rsid w:val="00762EA1"/>
    <w:rsid w:val="00763384"/>
    <w:rsid w:val="0076344E"/>
    <w:rsid w:val="007634AD"/>
    <w:rsid w:val="007637CF"/>
    <w:rsid w:val="0076385E"/>
    <w:rsid w:val="007639D2"/>
    <w:rsid w:val="007639E7"/>
    <w:rsid w:val="00763AEA"/>
    <w:rsid w:val="00763D16"/>
    <w:rsid w:val="00763E5F"/>
    <w:rsid w:val="00763F3F"/>
    <w:rsid w:val="00764317"/>
    <w:rsid w:val="00764533"/>
    <w:rsid w:val="007645D2"/>
    <w:rsid w:val="00764701"/>
    <w:rsid w:val="0076478F"/>
    <w:rsid w:val="00764AFC"/>
    <w:rsid w:val="00765010"/>
    <w:rsid w:val="007650A7"/>
    <w:rsid w:val="007650CC"/>
    <w:rsid w:val="0076512C"/>
    <w:rsid w:val="007653CB"/>
    <w:rsid w:val="00765421"/>
    <w:rsid w:val="007656D9"/>
    <w:rsid w:val="007656F6"/>
    <w:rsid w:val="00765AF5"/>
    <w:rsid w:val="00765BFB"/>
    <w:rsid w:val="00765F39"/>
    <w:rsid w:val="00765F6B"/>
    <w:rsid w:val="00765FE7"/>
    <w:rsid w:val="007661D7"/>
    <w:rsid w:val="007668E3"/>
    <w:rsid w:val="00766A9E"/>
    <w:rsid w:val="00766E3D"/>
    <w:rsid w:val="00766E7D"/>
    <w:rsid w:val="0076722A"/>
    <w:rsid w:val="00767438"/>
    <w:rsid w:val="007674E5"/>
    <w:rsid w:val="00767CC8"/>
    <w:rsid w:val="00767D16"/>
    <w:rsid w:val="00767D89"/>
    <w:rsid w:val="00767E88"/>
    <w:rsid w:val="00767F47"/>
    <w:rsid w:val="0077004E"/>
    <w:rsid w:val="0077044E"/>
    <w:rsid w:val="0077076D"/>
    <w:rsid w:val="00770908"/>
    <w:rsid w:val="00770A03"/>
    <w:rsid w:val="00770A2C"/>
    <w:rsid w:val="00770C50"/>
    <w:rsid w:val="00770F89"/>
    <w:rsid w:val="0077101B"/>
    <w:rsid w:val="007710F9"/>
    <w:rsid w:val="00771149"/>
    <w:rsid w:val="007711DD"/>
    <w:rsid w:val="0077143C"/>
    <w:rsid w:val="007714B5"/>
    <w:rsid w:val="0077151B"/>
    <w:rsid w:val="0077151C"/>
    <w:rsid w:val="00771597"/>
    <w:rsid w:val="007715BC"/>
    <w:rsid w:val="007716F9"/>
    <w:rsid w:val="00771A86"/>
    <w:rsid w:val="00771B25"/>
    <w:rsid w:val="00771D3F"/>
    <w:rsid w:val="00771FFF"/>
    <w:rsid w:val="007723B9"/>
    <w:rsid w:val="007723CF"/>
    <w:rsid w:val="0077244C"/>
    <w:rsid w:val="0077249B"/>
    <w:rsid w:val="0077251D"/>
    <w:rsid w:val="007726BB"/>
    <w:rsid w:val="007726DA"/>
    <w:rsid w:val="007727F9"/>
    <w:rsid w:val="00772E67"/>
    <w:rsid w:val="00773330"/>
    <w:rsid w:val="00773403"/>
    <w:rsid w:val="007734D3"/>
    <w:rsid w:val="007735A3"/>
    <w:rsid w:val="0077398E"/>
    <w:rsid w:val="00773A75"/>
    <w:rsid w:val="00773CE4"/>
    <w:rsid w:val="00773DA0"/>
    <w:rsid w:val="00773DB2"/>
    <w:rsid w:val="00773DF4"/>
    <w:rsid w:val="00773EE7"/>
    <w:rsid w:val="007742CE"/>
    <w:rsid w:val="00774383"/>
    <w:rsid w:val="00774388"/>
    <w:rsid w:val="007743EF"/>
    <w:rsid w:val="00774456"/>
    <w:rsid w:val="007744C8"/>
    <w:rsid w:val="007745D8"/>
    <w:rsid w:val="00774A31"/>
    <w:rsid w:val="00774A6D"/>
    <w:rsid w:val="00774A7B"/>
    <w:rsid w:val="00774C79"/>
    <w:rsid w:val="00774CD7"/>
    <w:rsid w:val="00774FC8"/>
    <w:rsid w:val="00775336"/>
    <w:rsid w:val="007753A7"/>
    <w:rsid w:val="007753C1"/>
    <w:rsid w:val="007755B3"/>
    <w:rsid w:val="00775801"/>
    <w:rsid w:val="007759BE"/>
    <w:rsid w:val="00775BF6"/>
    <w:rsid w:val="00775CF6"/>
    <w:rsid w:val="00775D08"/>
    <w:rsid w:val="0077606C"/>
    <w:rsid w:val="007760F8"/>
    <w:rsid w:val="00776152"/>
    <w:rsid w:val="00776393"/>
    <w:rsid w:val="007765ED"/>
    <w:rsid w:val="007766D9"/>
    <w:rsid w:val="00776762"/>
    <w:rsid w:val="00776B60"/>
    <w:rsid w:val="00776DBC"/>
    <w:rsid w:val="00776F1F"/>
    <w:rsid w:val="007771A4"/>
    <w:rsid w:val="007775D9"/>
    <w:rsid w:val="007776CD"/>
    <w:rsid w:val="00777743"/>
    <w:rsid w:val="0077782A"/>
    <w:rsid w:val="00777B42"/>
    <w:rsid w:val="00777B84"/>
    <w:rsid w:val="00777BF9"/>
    <w:rsid w:val="00777E07"/>
    <w:rsid w:val="00777F75"/>
    <w:rsid w:val="00777F98"/>
    <w:rsid w:val="00780181"/>
    <w:rsid w:val="0078071D"/>
    <w:rsid w:val="00780947"/>
    <w:rsid w:val="007809AB"/>
    <w:rsid w:val="00780DD1"/>
    <w:rsid w:val="00780E9F"/>
    <w:rsid w:val="00781064"/>
    <w:rsid w:val="00781208"/>
    <w:rsid w:val="007812A6"/>
    <w:rsid w:val="007813A3"/>
    <w:rsid w:val="0078163F"/>
    <w:rsid w:val="00781884"/>
    <w:rsid w:val="00781A11"/>
    <w:rsid w:val="00781A17"/>
    <w:rsid w:val="00781ADD"/>
    <w:rsid w:val="00781C63"/>
    <w:rsid w:val="00781DFB"/>
    <w:rsid w:val="00781FE1"/>
    <w:rsid w:val="00782033"/>
    <w:rsid w:val="007820FC"/>
    <w:rsid w:val="00782111"/>
    <w:rsid w:val="00782475"/>
    <w:rsid w:val="00782642"/>
    <w:rsid w:val="0078286A"/>
    <w:rsid w:val="00782A6D"/>
    <w:rsid w:val="00782C0F"/>
    <w:rsid w:val="00782CA9"/>
    <w:rsid w:val="00782D98"/>
    <w:rsid w:val="00783000"/>
    <w:rsid w:val="0078303A"/>
    <w:rsid w:val="00783058"/>
    <w:rsid w:val="0078318A"/>
    <w:rsid w:val="00783652"/>
    <w:rsid w:val="00783722"/>
    <w:rsid w:val="007838D2"/>
    <w:rsid w:val="00783A82"/>
    <w:rsid w:val="00783AEF"/>
    <w:rsid w:val="00783C5C"/>
    <w:rsid w:val="00783DB1"/>
    <w:rsid w:val="00783DDE"/>
    <w:rsid w:val="007840C1"/>
    <w:rsid w:val="0078448C"/>
    <w:rsid w:val="0078486A"/>
    <w:rsid w:val="0078497E"/>
    <w:rsid w:val="007849B0"/>
    <w:rsid w:val="00784C9E"/>
    <w:rsid w:val="007850BF"/>
    <w:rsid w:val="007852DD"/>
    <w:rsid w:val="00785428"/>
    <w:rsid w:val="007854DE"/>
    <w:rsid w:val="007855A0"/>
    <w:rsid w:val="007856C5"/>
    <w:rsid w:val="00785951"/>
    <w:rsid w:val="00785A04"/>
    <w:rsid w:val="00785A61"/>
    <w:rsid w:val="00786130"/>
    <w:rsid w:val="007861D5"/>
    <w:rsid w:val="00786230"/>
    <w:rsid w:val="007862A0"/>
    <w:rsid w:val="007862C4"/>
    <w:rsid w:val="00786304"/>
    <w:rsid w:val="007864EA"/>
    <w:rsid w:val="0078650C"/>
    <w:rsid w:val="00786AAC"/>
    <w:rsid w:val="00786AD1"/>
    <w:rsid w:val="00786B97"/>
    <w:rsid w:val="00786C9D"/>
    <w:rsid w:val="00786F74"/>
    <w:rsid w:val="00787136"/>
    <w:rsid w:val="007872A2"/>
    <w:rsid w:val="007872A6"/>
    <w:rsid w:val="007874A2"/>
    <w:rsid w:val="007875A7"/>
    <w:rsid w:val="00787948"/>
    <w:rsid w:val="007879DC"/>
    <w:rsid w:val="00787A44"/>
    <w:rsid w:val="00787A89"/>
    <w:rsid w:val="00787AF0"/>
    <w:rsid w:val="00787C2C"/>
    <w:rsid w:val="00787C54"/>
    <w:rsid w:val="00787D8E"/>
    <w:rsid w:val="00787FB4"/>
    <w:rsid w:val="0079005D"/>
    <w:rsid w:val="00790061"/>
    <w:rsid w:val="00790341"/>
    <w:rsid w:val="00790653"/>
    <w:rsid w:val="00790794"/>
    <w:rsid w:val="0079089B"/>
    <w:rsid w:val="00790CAB"/>
    <w:rsid w:val="00790CC7"/>
    <w:rsid w:val="00790EB5"/>
    <w:rsid w:val="00790EDC"/>
    <w:rsid w:val="0079112A"/>
    <w:rsid w:val="0079115D"/>
    <w:rsid w:val="007912CB"/>
    <w:rsid w:val="0079141B"/>
    <w:rsid w:val="00791554"/>
    <w:rsid w:val="0079167C"/>
    <w:rsid w:val="007919B7"/>
    <w:rsid w:val="00791A19"/>
    <w:rsid w:val="00791A8D"/>
    <w:rsid w:val="00791B1D"/>
    <w:rsid w:val="00791B9E"/>
    <w:rsid w:val="00791CF2"/>
    <w:rsid w:val="00791EBD"/>
    <w:rsid w:val="007920C6"/>
    <w:rsid w:val="00792322"/>
    <w:rsid w:val="00792341"/>
    <w:rsid w:val="0079237A"/>
    <w:rsid w:val="00792433"/>
    <w:rsid w:val="0079268E"/>
    <w:rsid w:val="00792889"/>
    <w:rsid w:val="00792CE2"/>
    <w:rsid w:val="00792D4B"/>
    <w:rsid w:val="00792D7C"/>
    <w:rsid w:val="00792DA5"/>
    <w:rsid w:val="00792E13"/>
    <w:rsid w:val="00792EB1"/>
    <w:rsid w:val="00792ECF"/>
    <w:rsid w:val="007932E7"/>
    <w:rsid w:val="007939E6"/>
    <w:rsid w:val="007939FE"/>
    <w:rsid w:val="00793BF6"/>
    <w:rsid w:val="00794181"/>
    <w:rsid w:val="007941AC"/>
    <w:rsid w:val="00794533"/>
    <w:rsid w:val="00794555"/>
    <w:rsid w:val="00794AC8"/>
    <w:rsid w:val="00794E23"/>
    <w:rsid w:val="00794F66"/>
    <w:rsid w:val="00795011"/>
    <w:rsid w:val="00795090"/>
    <w:rsid w:val="007950E6"/>
    <w:rsid w:val="007951DA"/>
    <w:rsid w:val="0079524A"/>
    <w:rsid w:val="00795444"/>
    <w:rsid w:val="007958B7"/>
    <w:rsid w:val="0079597F"/>
    <w:rsid w:val="007959CB"/>
    <w:rsid w:val="00795C2C"/>
    <w:rsid w:val="00795D14"/>
    <w:rsid w:val="00795E16"/>
    <w:rsid w:val="007962EB"/>
    <w:rsid w:val="00796364"/>
    <w:rsid w:val="00796433"/>
    <w:rsid w:val="007964F7"/>
    <w:rsid w:val="007966CD"/>
    <w:rsid w:val="00796846"/>
    <w:rsid w:val="007968B1"/>
    <w:rsid w:val="007969ED"/>
    <w:rsid w:val="00796C52"/>
    <w:rsid w:val="00796D5A"/>
    <w:rsid w:val="00796DEA"/>
    <w:rsid w:val="00796E04"/>
    <w:rsid w:val="00796E7D"/>
    <w:rsid w:val="00796FB0"/>
    <w:rsid w:val="00797273"/>
    <w:rsid w:val="007972E8"/>
    <w:rsid w:val="00797315"/>
    <w:rsid w:val="00797348"/>
    <w:rsid w:val="007976CB"/>
    <w:rsid w:val="00797703"/>
    <w:rsid w:val="00797888"/>
    <w:rsid w:val="00797B31"/>
    <w:rsid w:val="00797B8C"/>
    <w:rsid w:val="007A01D3"/>
    <w:rsid w:val="007A025B"/>
    <w:rsid w:val="007A02A5"/>
    <w:rsid w:val="007A02E3"/>
    <w:rsid w:val="007A032A"/>
    <w:rsid w:val="007A03B9"/>
    <w:rsid w:val="007A0448"/>
    <w:rsid w:val="007A055E"/>
    <w:rsid w:val="007A0654"/>
    <w:rsid w:val="007A0656"/>
    <w:rsid w:val="007A072A"/>
    <w:rsid w:val="007A0761"/>
    <w:rsid w:val="007A0798"/>
    <w:rsid w:val="007A086D"/>
    <w:rsid w:val="007A0BC5"/>
    <w:rsid w:val="007A0D58"/>
    <w:rsid w:val="007A0E32"/>
    <w:rsid w:val="007A0E99"/>
    <w:rsid w:val="007A0F5E"/>
    <w:rsid w:val="007A10CD"/>
    <w:rsid w:val="007A13BC"/>
    <w:rsid w:val="007A14EE"/>
    <w:rsid w:val="007A17B6"/>
    <w:rsid w:val="007A1912"/>
    <w:rsid w:val="007A1ADA"/>
    <w:rsid w:val="007A1B3A"/>
    <w:rsid w:val="007A1B62"/>
    <w:rsid w:val="007A1B85"/>
    <w:rsid w:val="007A1BBD"/>
    <w:rsid w:val="007A1C0C"/>
    <w:rsid w:val="007A1F77"/>
    <w:rsid w:val="007A2367"/>
    <w:rsid w:val="007A242E"/>
    <w:rsid w:val="007A2507"/>
    <w:rsid w:val="007A27EE"/>
    <w:rsid w:val="007A2AB3"/>
    <w:rsid w:val="007A2C9B"/>
    <w:rsid w:val="007A2E34"/>
    <w:rsid w:val="007A2FA5"/>
    <w:rsid w:val="007A301B"/>
    <w:rsid w:val="007A32BB"/>
    <w:rsid w:val="007A3938"/>
    <w:rsid w:val="007A39A7"/>
    <w:rsid w:val="007A3A8F"/>
    <w:rsid w:val="007A3ACE"/>
    <w:rsid w:val="007A3C22"/>
    <w:rsid w:val="007A3D75"/>
    <w:rsid w:val="007A3D86"/>
    <w:rsid w:val="007A3DB9"/>
    <w:rsid w:val="007A41D1"/>
    <w:rsid w:val="007A424F"/>
    <w:rsid w:val="007A4254"/>
    <w:rsid w:val="007A426E"/>
    <w:rsid w:val="007A44D3"/>
    <w:rsid w:val="007A44FE"/>
    <w:rsid w:val="007A4666"/>
    <w:rsid w:val="007A46A1"/>
    <w:rsid w:val="007A47D4"/>
    <w:rsid w:val="007A4854"/>
    <w:rsid w:val="007A49D6"/>
    <w:rsid w:val="007A4C72"/>
    <w:rsid w:val="007A5045"/>
    <w:rsid w:val="007A5047"/>
    <w:rsid w:val="007A50FE"/>
    <w:rsid w:val="007A53A7"/>
    <w:rsid w:val="007A5413"/>
    <w:rsid w:val="007A548E"/>
    <w:rsid w:val="007A54B2"/>
    <w:rsid w:val="007A5822"/>
    <w:rsid w:val="007A5920"/>
    <w:rsid w:val="007A5AB7"/>
    <w:rsid w:val="007A5C79"/>
    <w:rsid w:val="007A5CD1"/>
    <w:rsid w:val="007A5EEB"/>
    <w:rsid w:val="007A6416"/>
    <w:rsid w:val="007A6434"/>
    <w:rsid w:val="007A68E1"/>
    <w:rsid w:val="007A6C47"/>
    <w:rsid w:val="007A6F70"/>
    <w:rsid w:val="007A7596"/>
    <w:rsid w:val="007A75A7"/>
    <w:rsid w:val="007A7698"/>
    <w:rsid w:val="007A76AB"/>
    <w:rsid w:val="007A78C4"/>
    <w:rsid w:val="007A7A68"/>
    <w:rsid w:val="007A7AD6"/>
    <w:rsid w:val="007A7BD9"/>
    <w:rsid w:val="007A7C2B"/>
    <w:rsid w:val="007A7C8A"/>
    <w:rsid w:val="007A7EFA"/>
    <w:rsid w:val="007A7FCA"/>
    <w:rsid w:val="007B0024"/>
    <w:rsid w:val="007B006C"/>
    <w:rsid w:val="007B00B0"/>
    <w:rsid w:val="007B01DA"/>
    <w:rsid w:val="007B02DD"/>
    <w:rsid w:val="007B0354"/>
    <w:rsid w:val="007B0571"/>
    <w:rsid w:val="007B07D4"/>
    <w:rsid w:val="007B0991"/>
    <w:rsid w:val="007B0A33"/>
    <w:rsid w:val="007B0A59"/>
    <w:rsid w:val="007B0A8C"/>
    <w:rsid w:val="007B0AD2"/>
    <w:rsid w:val="007B0E59"/>
    <w:rsid w:val="007B0ED9"/>
    <w:rsid w:val="007B0EF1"/>
    <w:rsid w:val="007B0FA9"/>
    <w:rsid w:val="007B129D"/>
    <w:rsid w:val="007B12BC"/>
    <w:rsid w:val="007B1769"/>
    <w:rsid w:val="007B1A6E"/>
    <w:rsid w:val="007B1B06"/>
    <w:rsid w:val="007B1B8E"/>
    <w:rsid w:val="007B1C5D"/>
    <w:rsid w:val="007B21B1"/>
    <w:rsid w:val="007B2218"/>
    <w:rsid w:val="007B2298"/>
    <w:rsid w:val="007B22D5"/>
    <w:rsid w:val="007B24C1"/>
    <w:rsid w:val="007B24EE"/>
    <w:rsid w:val="007B293B"/>
    <w:rsid w:val="007B2A34"/>
    <w:rsid w:val="007B2E04"/>
    <w:rsid w:val="007B301F"/>
    <w:rsid w:val="007B310B"/>
    <w:rsid w:val="007B33A3"/>
    <w:rsid w:val="007B3557"/>
    <w:rsid w:val="007B3608"/>
    <w:rsid w:val="007B3845"/>
    <w:rsid w:val="007B38BF"/>
    <w:rsid w:val="007B38D3"/>
    <w:rsid w:val="007B3E6D"/>
    <w:rsid w:val="007B413F"/>
    <w:rsid w:val="007B4373"/>
    <w:rsid w:val="007B4408"/>
    <w:rsid w:val="007B4606"/>
    <w:rsid w:val="007B480E"/>
    <w:rsid w:val="007B4976"/>
    <w:rsid w:val="007B4BAC"/>
    <w:rsid w:val="007B4EA2"/>
    <w:rsid w:val="007B5195"/>
    <w:rsid w:val="007B584E"/>
    <w:rsid w:val="007B5A8C"/>
    <w:rsid w:val="007B5CA6"/>
    <w:rsid w:val="007B5EBB"/>
    <w:rsid w:val="007B5FB0"/>
    <w:rsid w:val="007B6214"/>
    <w:rsid w:val="007B6282"/>
    <w:rsid w:val="007B652D"/>
    <w:rsid w:val="007B6711"/>
    <w:rsid w:val="007B683C"/>
    <w:rsid w:val="007B6950"/>
    <w:rsid w:val="007B6AC7"/>
    <w:rsid w:val="007B6BFA"/>
    <w:rsid w:val="007B6C13"/>
    <w:rsid w:val="007B6CFA"/>
    <w:rsid w:val="007B6CFB"/>
    <w:rsid w:val="007B7840"/>
    <w:rsid w:val="007B7922"/>
    <w:rsid w:val="007B7B55"/>
    <w:rsid w:val="007B7C6B"/>
    <w:rsid w:val="007B7D37"/>
    <w:rsid w:val="007B7D76"/>
    <w:rsid w:val="007B7E0E"/>
    <w:rsid w:val="007B7F6C"/>
    <w:rsid w:val="007C00D8"/>
    <w:rsid w:val="007C0440"/>
    <w:rsid w:val="007C05F5"/>
    <w:rsid w:val="007C08E8"/>
    <w:rsid w:val="007C0CFB"/>
    <w:rsid w:val="007C0E11"/>
    <w:rsid w:val="007C101C"/>
    <w:rsid w:val="007C11BB"/>
    <w:rsid w:val="007C11E3"/>
    <w:rsid w:val="007C1307"/>
    <w:rsid w:val="007C1543"/>
    <w:rsid w:val="007C15E7"/>
    <w:rsid w:val="007C16A1"/>
    <w:rsid w:val="007C1784"/>
    <w:rsid w:val="007C180C"/>
    <w:rsid w:val="007C1897"/>
    <w:rsid w:val="007C1906"/>
    <w:rsid w:val="007C1A0A"/>
    <w:rsid w:val="007C1B79"/>
    <w:rsid w:val="007C1D86"/>
    <w:rsid w:val="007C2131"/>
    <w:rsid w:val="007C236A"/>
    <w:rsid w:val="007C2373"/>
    <w:rsid w:val="007C2517"/>
    <w:rsid w:val="007C2818"/>
    <w:rsid w:val="007C28C7"/>
    <w:rsid w:val="007C2A1A"/>
    <w:rsid w:val="007C2ABB"/>
    <w:rsid w:val="007C2BDC"/>
    <w:rsid w:val="007C2D7D"/>
    <w:rsid w:val="007C2D8A"/>
    <w:rsid w:val="007C2EC4"/>
    <w:rsid w:val="007C2F0E"/>
    <w:rsid w:val="007C309F"/>
    <w:rsid w:val="007C3148"/>
    <w:rsid w:val="007C3247"/>
    <w:rsid w:val="007C32BB"/>
    <w:rsid w:val="007C341E"/>
    <w:rsid w:val="007C343E"/>
    <w:rsid w:val="007C3C50"/>
    <w:rsid w:val="007C3CBC"/>
    <w:rsid w:val="007C3FC8"/>
    <w:rsid w:val="007C407D"/>
    <w:rsid w:val="007C40F7"/>
    <w:rsid w:val="007C4181"/>
    <w:rsid w:val="007C4185"/>
    <w:rsid w:val="007C4294"/>
    <w:rsid w:val="007C4332"/>
    <w:rsid w:val="007C4700"/>
    <w:rsid w:val="007C49BC"/>
    <w:rsid w:val="007C4B43"/>
    <w:rsid w:val="007C4C73"/>
    <w:rsid w:val="007C4D31"/>
    <w:rsid w:val="007C52E9"/>
    <w:rsid w:val="007C52F8"/>
    <w:rsid w:val="007C53B2"/>
    <w:rsid w:val="007C556B"/>
    <w:rsid w:val="007C564F"/>
    <w:rsid w:val="007C5650"/>
    <w:rsid w:val="007C5664"/>
    <w:rsid w:val="007C5686"/>
    <w:rsid w:val="007C5835"/>
    <w:rsid w:val="007C58AD"/>
    <w:rsid w:val="007C59DD"/>
    <w:rsid w:val="007C5AD2"/>
    <w:rsid w:val="007C5D9D"/>
    <w:rsid w:val="007C6103"/>
    <w:rsid w:val="007C610D"/>
    <w:rsid w:val="007C650A"/>
    <w:rsid w:val="007C69AD"/>
    <w:rsid w:val="007C69F1"/>
    <w:rsid w:val="007C6A34"/>
    <w:rsid w:val="007C6A91"/>
    <w:rsid w:val="007C6CD3"/>
    <w:rsid w:val="007C6D6D"/>
    <w:rsid w:val="007C6ED2"/>
    <w:rsid w:val="007C6F29"/>
    <w:rsid w:val="007C7272"/>
    <w:rsid w:val="007C73D0"/>
    <w:rsid w:val="007C75FD"/>
    <w:rsid w:val="007C7688"/>
    <w:rsid w:val="007C76B7"/>
    <w:rsid w:val="007C77DE"/>
    <w:rsid w:val="007C7AFB"/>
    <w:rsid w:val="007C7CA8"/>
    <w:rsid w:val="007C7F73"/>
    <w:rsid w:val="007C7FF7"/>
    <w:rsid w:val="007D00E1"/>
    <w:rsid w:val="007D0418"/>
    <w:rsid w:val="007D0741"/>
    <w:rsid w:val="007D0789"/>
    <w:rsid w:val="007D079A"/>
    <w:rsid w:val="007D081E"/>
    <w:rsid w:val="007D08FC"/>
    <w:rsid w:val="007D09AD"/>
    <w:rsid w:val="007D0DAF"/>
    <w:rsid w:val="007D0DE6"/>
    <w:rsid w:val="007D107C"/>
    <w:rsid w:val="007D12DC"/>
    <w:rsid w:val="007D131B"/>
    <w:rsid w:val="007D1438"/>
    <w:rsid w:val="007D167E"/>
    <w:rsid w:val="007D16E3"/>
    <w:rsid w:val="007D16F6"/>
    <w:rsid w:val="007D1BC0"/>
    <w:rsid w:val="007D1C25"/>
    <w:rsid w:val="007D1CD6"/>
    <w:rsid w:val="007D1DAA"/>
    <w:rsid w:val="007D229C"/>
    <w:rsid w:val="007D23F6"/>
    <w:rsid w:val="007D2734"/>
    <w:rsid w:val="007D27DD"/>
    <w:rsid w:val="007D28E1"/>
    <w:rsid w:val="007D297B"/>
    <w:rsid w:val="007D29A1"/>
    <w:rsid w:val="007D2BA4"/>
    <w:rsid w:val="007D2BAD"/>
    <w:rsid w:val="007D319A"/>
    <w:rsid w:val="007D337F"/>
    <w:rsid w:val="007D34E7"/>
    <w:rsid w:val="007D351F"/>
    <w:rsid w:val="007D3B14"/>
    <w:rsid w:val="007D3D86"/>
    <w:rsid w:val="007D3EDE"/>
    <w:rsid w:val="007D3EFA"/>
    <w:rsid w:val="007D404B"/>
    <w:rsid w:val="007D417E"/>
    <w:rsid w:val="007D4496"/>
    <w:rsid w:val="007D4889"/>
    <w:rsid w:val="007D4CE9"/>
    <w:rsid w:val="007D4FF7"/>
    <w:rsid w:val="007D5015"/>
    <w:rsid w:val="007D508C"/>
    <w:rsid w:val="007D522D"/>
    <w:rsid w:val="007D5249"/>
    <w:rsid w:val="007D549C"/>
    <w:rsid w:val="007D5519"/>
    <w:rsid w:val="007D5608"/>
    <w:rsid w:val="007D57AD"/>
    <w:rsid w:val="007D57D5"/>
    <w:rsid w:val="007D5A73"/>
    <w:rsid w:val="007D5A8B"/>
    <w:rsid w:val="007D5AF0"/>
    <w:rsid w:val="007D5CC0"/>
    <w:rsid w:val="007D5CD1"/>
    <w:rsid w:val="007D5DC1"/>
    <w:rsid w:val="007D5F66"/>
    <w:rsid w:val="007D5F77"/>
    <w:rsid w:val="007D61D4"/>
    <w:rsid w:val="007D6478"/>
    <w:rsid w:val="007D64AA"/>
    <w:rsid w:val="007D65E6"/>
    <w:rsid w:val="007D65EC"/>
    <w:rsid w:val="007D67F3"/>
    <w:rsid w:val="007D6984"/>
    <w:rsid w:val="007D6A48"/>
    <w:rsid w:val="007D6E93"/>
    <w:rsid w:val="007D71E0"/>
    <w:rsid w:val="007D7251"/>
    <w:rsid w:val="007D7257"/>
    <w:rsid w:val="007D72C7"/>
    <w:rsid w:val="007D7571"/>
    <w:rsid w:val="007D7596"/>
    <w:rsid w:val="007D763B"/>
    <w:rsid w:val="007D781D"/>
    <w:rsid w:val="007D7877"/>
    <w:rsid w:val="007D7A61"/>
    <w:rsid w:val="007D7BC4"/>
    <w:rsid w:val="007D7BE1"/>
    <w:rsid w:val="007D7DA6"/>
    <w:rsid w:val="007E0118"/>
    <w:rsid w:val="007E0147"/>
    <w:rsid w:val="007E023E"/>
    <w:rsid w:val="007E04CA"/>
    <w:rsid w:val="007E0508"/>
    <w:rsid w:val="007E06E3"/>
    <w:rsid w:val="007E0753"/>
    <w:rsid w:val="007E0830"/>
    <w:rsid w:val="007E0A95"/>
    <w:rsid w:val="007E0AC2"/>
    <w:rsid w:val="007E0B50"/>
    <w:rsid w:val="007E0B9A"/>
    <w:rsid w:val="007E0BFB"/>
    <w:rsid w:val="007E0EF0"/>
    <w:rsid w:val="007E0F4C"/>
    <w:rsid w:val="007E10F1"/>
    <w:rsid w:val="007E11D2"/>
    <w:rsid w:val="007E1241"/>
    <w:rsid w:val="007E1335"/>
    <w:rsid w:val="007E1406"/>
    <w:rsid w:val="007E158E"/>
    <w:rsid w:val="007E15AB"/>
    <w:rsid w:val="007E15D0"/>
    <w:rsid w:val="007E16D4"/>
    <w:rsid w:val="007E16D6"/>
    <w:rsid w:val="007E1845"/>
    <w:rsid w:val="007E1B12"/>
    <w:rsid w:val="007E1D0A"/>
    <w:rsid w:val="007E1D2E"/>
    <w:rsid w:val="007E1F44"/>
    <w:rsid w:val="007E1FF4"/>
    <w:rsid w:val="007E20F4"/>
    <w:rsid w:val="007E2112"/>
    <w:rsid w:val="007E213D"/>
    <w:rsid w:val="007E2321"/>
    <w:rsid w:val="007E2482"/>
    <w:rsid w:val="007E270E"/>
    <w:rsid w:val="007E2851"/>
    <w:rsid w:val="007E2A14"/>
    <w:rsid w:val="007E2B34"/>
    <w:rsid w:val="007E2D1C"/>
    <w:rsid w:val="007E2E3D"/>
    <w:rsid w:val="007E2EF0"/>
    <w:rsid w:val="007E3185"/>
    <w:rsid w:val="007E3215"/>
    <w:rsid w:val="007E361B"/>
    <w:rsid w:val="007E37E7"/>
    <w:rsid w:val="007E3CD0"/>
    <w:rsid w:val="007E3D9C"/>
    <w:rsid w:val="007E3F6B"/>
    <w:rsid w:val="007E41EE"/>
    <w:rsid w:val="007E466D"/>
    <w:rsid w:val="007E4D27"/>
    <w:rsid w:val="007E4EA6"/>
    <w:rsid w:val="007E4FE8"/>
    <w:rsid w:val="007E5190"/>
    <w:rsid w:val="007E5443"/>
    <w:rsid w:val="007E5D71"/>
    <w:rsid w:val="007E5E8A"/>
    <w:rsid w:val="007E5F3A"/>
    <w:rsid w:val="007E6174"/>
    <w:rsid w:val="007E63DF"/>
    <w:rsid w:val="007E64BB"/>
    <w:rsid w:val="007E65C9"/>
    <w:rsid w:val="007E65D1"/>
    <w:rsid w:val="007E6A2E"/>
    <w:rsid w:val="007E6A51"/>
    <w:rsid w:val="007E6D90"/>
    <w:rsid w:val="007E704C"/>
    <w:rsid w:val="007E728D"/>
    <w:rsid w:val="007E72CA"/>
    <w:rsid w:val="007E731C"/>
    <w:rsid w:val="007E7431"/>
    <w:rsid w:val="007E74CE"/>
    <w:rsid w:val="007E74E0"/>
    <w:rsid w:val="007E781F"/>
    <w:rsid w:val="007E7866"/>
    <w:rsid w:val="007E78CD"/>
    <w:rsid w:val="007E7972"/>
    <w:rsid w:val="007E7A5F"/>
    <w:rsid w:val="007E7AB7"/>
    <w:rsid w:val="007E7BF2"/>
    <w:rsid w:val="007E7D5C"/>
    <w:rsid w:val="007E7D8A"/>
    <w:rsid w:val="007E7FC3"/>
    <w:rsid w:val="007F015B"/>
    <w:rsid w:val="007F0352"/>
    <w:rsid w:val="007F0878"/>
    <w:rsid w:val="007F089A"/>
    <w:rsid w:val="007F093D"/>
    <w:rsid w:val="007F0B25"/>
    <w:rsid w:val="007F0C9E"/>
    <w:rsid w:val="007F0DA5"/>
    <w:rsid w:val="007F0E2A"/>
    <w:rsid w:val="007F0E33"/>
    <w:rsid w:val="007F0F48"/>
    <w:rsid w:val="007F103E"/>
    <w:rsid w:val="007F10E2"/>
    <w:rsid w:val="007F1122"/>
    <w:rsid w:val="007F1241"/>
    <w:rsid w:val="007F1381"/>
    <w:rsid w:val="007F148B"/>
    <w:rsid w:val="007F19B2"/>
    <w:rsid w:val="007F1B08"/>
    <w:rsid w:val="007F1B97"/>
    <w:rsid w:val="007F1BB2"/>
    <w:rsid w:val="007F1BF9"/>
    <w:rsid w:val="007F1C92"/>
    <w:rsid w:val="007F1F18"/>
    <w:rsid w:val="007F1F3E"/>
    <w:rsid w:val="007F1F9D"/>
    <w:rsid w:val="007F1FBB"/>
    <w:rsid w:val="007F20EE"/>
    <w:rsid w:val="007F248E"/>
    <w:rsid w:val="007F261D"/>
    <w:rsid w:val="007F2868"/>
    <w:rsid w:val="007F2C66"/>
    <w:rsid w:val="007F2ED7"/>
    <w:rsid w:val="007F349E"/>
    <w:rsid w:val="007F3552"/>
    <w:rsid w:val="007F36BE"/>
    <w:rsid w:val="007F373B"/>
    <w:rsid w:val="007F3751"/>
    <w:rsid w:val="007F3AD3"/>
    <w:rsid w:val="007F3B13"/>
    <w:rsid w:val="007F3C61"/>
    <w:rsid w:val="007F3F65"/>
    <w:rsid w:val="007F42CE"/>
    <w:rsid w:val="007F490C"/>
    <w:rsid w:val="007F496E"/>
    <w:rsid w:val="007F4A2B"/>
    <w:rsid w:val="007F4CCB"/>
    <w:rsid w:val="007F5172"/>
    <w:rsid w:val="007F52D7"/>
    <w:rsid w:val="007F5536"/>
    <w:rsid w:val="007F5615"/>
    <w:rsid w:val="007F56C4"/>
    <w:rsid w:val="007F576A"/>
    <w:rsid w:val="007F5B0C"/>
    <w:rsid w:val="007F5B7A"/>
    <w:rsid w:val="007F5D01"/>
    <w:rsid w:val="007F5DC7"/>
    <w:rsid w:val="007F5FB9"/>
    <w:rsid w:val="007F605E"/>
    <w:rsid w:val="007F665F"/>
    <w:rsid w:val="007F66A6"/>
    <w:rsid w:val="007F66CF"/>
    <w:rsid w:val="007F6755"/>
    <w:rsid w:val="007F686E"/>
    <w:rsid w:val="007F6883"/>
    <w:rsid w:val="007F6C16"/>
    <w:rsid w:val="007F6C63"/>
    <w:rsid w:val="007F6CCB"/>
    <w:rsid w:val="007F6E8E"/>
    <w:rsid w:val="007F7333"/>
    <w:rsid w:val="007F73BD"/>
    <w:rsid w:val="007F7445"/>
    <w:rsid w:val="007F77D4"/>
    <w:rsid w:val="007F7835"/>
    <w:rsid w:val="007F7BC7"/>
    <w:rsid w:val="007F7E6C"/>
    <w:rsid w:val="007F7FA0"/>
    <w:rsid w:val="00800228"/>
    <w:rsid w:val="00800345"/>
    <w:rsid w:val="00800521"/>
    <w:rsid w:val="00800541"/>
    <w:rsid w:val="008005FC"/>
    <w:rsid w:val="00800AC5"/>
    <w:rsid w:val="00800B26"/>
    <w:rsid w:val="00800B93"/>
    <w:rsid w:val="00800CA2"/>
    <w:rsid w:val="00800EE2"/>
    <w:rsid w:val="008012C4"/>
    <w:rsid w:val="008012E7"/>
    <w:rsid w:val="008013DA"/>
    <w:rsid w:val="008014A3"/>
    <w:rsid w:val="008014F0"/>
    <w:rsid w:val="008016BA"/>
    <w:rsid w:val="00801C52"/>
    <w:rsid w:val="00801D2B"/>
    <w:rsid w:val="0080216F"/>
    <w:rsid w:val="0080220A"/>
    <w:rsid w:val="008025B4"/>
    <w:rsid w:val="00802861"/>
    <w:rsid w:val="00802C76"/>
    <w:rsid w:val="00802C97"/>
    <w:rsid w:val="00802CA3"/>
    <w:rsid w:val="00802D3C"/>
    <w:rsid w:val="00802DE4"/>
    <w:rsid w:val="00802E40"/>
    <w:rsid w:val="00802E53"/>
    <w:rsid w:val="00802EE8"/>
    <w:rsid w:val="0080309E"/>
    <w:rsid w:val="008030AB"/>
    <w:rsid w:val="00803159"/>
    <w:rsid w:val="0080333F"/>
    <w:rsid w:val="008036AF"/>
    <w:rsid w:val="00803831"/>
    <w:rsid w:val="008039DE"/>
    <w:rsid w:val="00803CEA"/>
    <w:rsid w:val="00803D36"/>
    <w:rsid w:val="00803E33"/>
    <w:rsid w:val="00803FDF"/>
    <w:rsid w:val="008040C4"/>
    <w:rsid w:val="0080444E"/>
    <w:rsid w:val="008044EF"/>
    <w:rsid w:val="00804CF5"/>
    <w:rsid w:val="00805000"/>
    <w:rsid w:val="008051AB"/>
    <w:rsid w:val="008055C8"/>
    <w:rsid w:val="00805660"/>
    <w:rsid w:val="008056C9"/>
    <w:rsid w:val="00805922"/>
    <w:rsid w:val="00805941"/>
    <w:rsid w:val="00805972"/>
    <w:rsid w:val="00805A97"/>
    <w:rsid w:val="00805D0C"/>
    <w:rsid w:val="00805E58"/>
    <w:rsid w:val="00805F40"/>
    <w:rsid w:val="0080614E"/>
    <w:rsid w:val="0080621B"/>
    <w:rsid w:val="00806554"/>
    <w:rsid w:val="00806591"/>
    <w:rsid w:val="00806791"/>
    <w:rsid w:val="00806A74"/>
    <w:rsid w:val="00806AC1"/>
    <w:rsid w:val="00806C1B"/>
    <w:rsid w:val="00806D92"/>
    <w:rsid w:val="00806E27"/>
    <w:rsid w:val="008070FF"/>
    <w:rsid w:val="008073F3"/>
    <w:rsid w:val="008075D9"/>
    <w:rsid w:val="00807753"/>
    <w:rsid w:val="00807BF7"/>
    <w:rsid w:val="00807C44"/>
    <w:rsid w:val="00807E6A"/>
    <w:rsid w:val="00807F95"/>
    <w:rsid w:val="00810041"/>
    <w:rsid w:val="0081006D"/>
    <w:rsid w:val="00810094"/>
    <w:rsid w:val="008100F1"/>
    <w:rsid w:val="00810288"/>
    <w:rsid w:val="008102AF"/>
    <w:rsid w:val="00810508"/>
    <w:rsid w:val="00810763"/>
    <w:rsid w:val="008107B0"/>
    <w:rsid w:val="00810804"/>
    <w:rsid w:val="00810898"/>
    <w:rsid w:val="0081089C"/>
    <w:rsid w:val="0081094F"/>
    <w:rsid w:val="0081098A"/>
    <w:rsid w:val="008109B5"/>
    <w:rsid w:val="008109CC"/>
    <w:rsid w:val="00810C8F"/>
    <w:rsid w:val="00810DEC"/>
    <w:rsid w:val="00810E2E"/>
    <w:rsid w:val="00810EF9"/>
    <w:rsid w:val="0081101C"/>
    <w:rsid w:val="00811037"/>
    <w:rsid w:val="00811137"/>
    <w:rsid w:val="008113AE"/>
    <w:rsid w:val="00811445"/>
    <w:rsid w:val="008114E6"/>
    <w:rsid w:val="0081154E"/>
    <w:rsid w:val="0081164D"/>
    <w:rsid w:val="00811812"/>
    <w:rsid w:val="0081194A"/>
    <w:rsid w:val="00811B3E"/>
    <w:rsid w:val="00811CFB"/>
    <w:rsid w:val="00811D26"/>
    <w:rsid w:val="00811E05"/>
    <w:rsid w:val="00811F38"/>
    <w:rsid w:val="00812068"/>
    <w:rsid w:val="00812085"/>
    <w:rsid w:val="0081208B"/>
    <w:rsid w:val="00812280"/>
    <w:rsid w:val="00812374"/>
    <w:rsid w:val="008123D1"/>
    <w:rsid w:val="008124C2"/>
    <w:rsid w:val="008127DE"/>
    <w:rsid w:val="00812E9D"/>
    <w:rsid w:val="00812F3C"/>
    <w:rsid w:val="00812FCC"/>
    <w:rsid w:val="00813568"/>
    <w:rsid w:val="00813A04"/>
    <w:rsid w:val="00813AE2"/>
    <w:rsid w:val="00813B46"/>
    <w:rsid w:val="00813D01"/>
    <w:rsid w:val="0081414F"/>
    <w:rsid w:val="008141BF"/>
    <w:rsid w:val="008146AD"/>
    <w:rsid w:val="008146C0"/>
    <w:rsid w:val="00814949"/>
    <w:rsid w:val="008149C7"/>
    <w:rsid w:val="00814BC2"/>
    <w:rsid w:val="00814C29"/>
    <w:rsid w:val="00814F51"/>
    <w:rsid w:val="0081531B"/>
    <w:rsid w:val="0081536E"/>
    <w:rsid w:val="0081541E"/>
    <w:rsid w:val="0081564C"/>
    <w:rsid w:val="0081586A"/>
    <w:rsid w:val="0081591B"/>
    <w:rsid w:val="0081599B"/>
    <w:rsid w:val="008159FD"/>
    <w:rsid w:val="00815B0C"/>
    <w:rsid w:val="00815B42"/>
    <w:rsid w:val="00815BFE"/>
    <w:rsid w:val="00815CA1"/>
    <w:rsid w:val="00815D54"/>
    <w:rsid w:val="00815DD4"/>
    <w:rsid w:val="00815E37"/>
    <w:rsid w:val="00815E64"/>
    <w:rsid w:val="00815F53"/>
    <w:rsid w:val="0081632D"/>
    <w:rsid w:val="008164A9"/>
    <w:rsid w:val="00816571"/>
    <w:rsid w:val="008165F0"/>
    <w:rsid w:val="0081668B"/>
    <w:rsid w:val="00816A12"/>
    <w:rsid w:val="00816A61"/>
    <w:rsid w:val="00816AFC"/>
    <w:rsid w:val="00816B56"/>
    <w:rsid w:val="00816E8C"/>
    <w:rsid w:val="00816FAA"/>
    <w:rsid w:val="00816FF1"/>
    <w:rsid w:val="008171ED"/>
    <w:rsid w:val="00817525"/>
    <w:rsid w:val="00817528"/>
    <w:rsid w:val="008178A5"/>
    <w:rsid w:val="00817A0C"/>
    <w:rsid w:val="00817A23"/>
    <w:rsid w:val="00817C67"/>
    <w:rsid w:val="00817E1D"/>
    <w:rsid w:val="00817E26"/>
    <w:rsid w:val="00817E3E"/>
    <w:rsid w:val="00817EE6"/>
    <w:rsid w:val="00817FB8"/>
    <w:rsid w:val="00820054"/>
    <w:rsid w:val="008201C4"/>
    <w:rsid w:val="0082029A"/>
    <w:rsid w:val="00820533"/>
    <w:rsid w:val="008208B9"/>
    <w:rsid w:val="00820A09"/>
    <w:rsid w:val="00820A30"/>
    <w:rsid w:val="00820CC4"/>
    <w:rsid w:val="00821135"/>
    <w:rsid w:val="008214F8"/>
    <w:rsid w:val="00821549"/>
    <w:rsid w:val="00821842"/>
    <w:rsid w:val="00821859"/>
    <w:rsid w:val="00821867"/>
    <w:rsid w:val="008218DE"/>
    <w:rsid w:val="00821D53"/>
    <w:rsid w:val="00821D6F"/>
    <w:rsid w:val="00821E2A"/>
    <w:rsid w:val="00821E48"/>
    <w:rsid w:val="00821FBB"/>
    <w:rsid w:val="00822023"/>
    <w:rsid w:val="0082218A"/>
    <w:rsid w:val="0082220F"/>
    <w:rsid w:val="0082221E"/>
    <w:rsid w:val="008222C9"/>
    <w:rsid w:val="00822333"/>
    <w:rsid w:val="008223C2"/>
    <w:rsid w:val="008224C6"/>
    <w:rsid w:val="0082261F"/>
    <w:rsid w:val="00822BB2"/>
    <w:rsid w:val="00822BC6"/>
    <w:rsid w:val="00822BF4"/>
    <w:rsid w:val="00822F15"/>
    <w:rsid w:val="00823108"/>
    <w:rsid w:val="0082313C"/>
    <w:rsid w:val="00823278"/>
    <w:rsid w:val="00823317"/>
    <w:rsid w:val="008234EA"/>
    <w:rsid w:val="0082385F"/>
    <w:rsid w:val="00823AB8"/>
    <w:rsid w:val="00823ABF"/>
    <w:rsid w:val="00823EFE"/>
    <w:rsid w:val="008242BE"/>
    <w:rsid w:val="008242FB"/>
    <w:rsid w:val="00824323"/>
    <w:rsid w:val="008243CC"/>
    <w:rsid w:val="008246A9"/>
    <w:rsid w:val="008246C1"/>
    <w:rsid w:val="00824BE1"/>
    <w:rsid w:val="00824CA1"/>
    <w:rsid w:val="00824E3E"/>
    <w:rsid w:val="00824FE4"/>
    <w:rsid w:val="0082524B"/>
    <w:rsid w:val="008252D3"/>
    <w:rsid w:val="008253F4"/>
    <w:rsid w:val="00825471"/>
    <w:rsid w:val="00825786"/>
    <w:rsid w:val="0082583E"/>
    <w:rsid w:val="00825AA7"/>
    <w:rsid w:val="00825CC5"/>
    <w:rsid w:val="00825E1D"/>
    <w:rsid w:val="00825EC9"/>
    <w:rsid w:val="00826154"/>
    <w:rsid w:val="00826275"/>
    <w:rsid w:val="00826361"/>
    <w:rsid w:val="0082638F"/>
    <w:rsid w:val="008264A6"/>
    <w:rsid w:val="008265EE"/>
    <w:rsid w:val="00826720"/>
    <w:rsid w:val="008267E5"/>
    <w:rsid w:val="00826923"/>
    <w:rsid w:val="008269FF"/>
    <w:rsid w:val="00826B55"/>
    <w:rsid w:val="00826C78"/>
    <w:rsid w:val="00826D36"/>
    <w:rsid w:val="00826ED4"/>
    <w:rsid w:val="0082712E"/>
    <w:rsid w:val="00827366"/>
    <w:rsid w:val="008273A3"/>
    <w:rsid w:val="00827607"/>
    <w:rsid w:val="00827833"/>
    <w:rsid w:val="008279B9"/>
    <w:rsid w:val="00827B0F"/>
    <w:rsid w:val="00827D64"/>
    <w:rsid w:val="00827DB2"/>
    <w:rsid w:val="00827F3A"/>
    <w:rsid w:val="00830024"/>
    <w:rsid w:val="0083003E"/>
    <w:rsid w:val="008301BC"/>
    <w:rsid w:val="00830226"/>
    <w:rsid w:val="00830239"/>
    <w:rsid w:val="008302CE"/>
    <w:rsid w:val="0083036A"/>
    <w:rsid w:val="0083047E"/>
    <w:rsid w:val="008306E4"/>
    <w:rsid w:val="008309BD"/>
    <w:rsid w:val="00830AF9"/>
    <w:rsid w:val="00830B33"/>
    <w:rsid w:val="00831033"/>
    <w:rsid w:val="008312AF"/>
    <w:rsid w:val="008313AD"/>
    <w:rsid w:val="0083154E"/>
    <w:rsid w:val="00831658"/>
    <w:rsid w:val="008317A4"/>
    <w:rsid w:val="008319A0"/>
    <w:rsid w:val="00831C50"/>
    <w:rsid w:val="00831D73"/>
    <w:rsid w:val="00831D7C"/>
    <w:rsid w:val="00831E5A"/>
    <w:rsid w:val="00831F09"/>
    <w:rsid w:val="008320FB"/>
    <w:rsid w:val="00832304"/>
    <w:rsid w:val="00832387"/>
    <w:rsid w:val="00832448"/>
    <w:rsid w:val="008326EF"/>
    <w:rsid w:val="008326FF"/>
    <w:rsid w:val="00832B74"/>
    <w:rsid w:val="00832D21"/>
    <w:rsid w:val="008331AC"/>
    <w:rsid w:val="00833360"/>
    <w:rsid w:val="00833436"/>
    <w:rsid w:val="00833445"/>
    <w:rsid w:val="008339C3"/>
    <w:rsid w:val="008339E4"/>
    <w:rsid w:val="00833B14"/>
    <w:rsid w:val="00833B19"/>
    <w:rsid w:val="00833BE6"/>
    <w:rsid w:val="00833E29"/>
    <w:rsid w:val="00833FF2"/>
    <w:rsid w:val="0083400D"/>
    <w:rsid w:val="008341E3"/>
    <w:rsid w:val="008341F1"/>
    <w:rsid w:val="00834279"/>
    <w:rsid w:val="008347CB"/>
    <w:rsid w:val="00834950"/>
    <w:rsid w:val="00834B6A"/>
    <w:rsid w:val="00834C99"/>
    <w:rsid w:val="00834CE9"/>
    <w:rsid w:val="00834D0C"/>
    <w:rsid w:val="008351FA"/>
    <w:rsid w:val="00835216"/>
    <w:rsid w:val="008354C3"/>
    <w:rsid w:val="008356FD"/>
    <w:rsid w:val="0083573D"/>
    <w:rsid w:val="008357FA"/>
    <w:rsid w:val="00835856"/>
    <w:rsid w:val="0083586B"/>
    <w:rsid w:val="00835AC0"/>
    <w:rsid w:val="00835D18"/>
    <w:rsid w:val="00835D32"/>
    <w:rsid w:val="00835E64"/>
    <w:rsid w:val="00835FA2"/>
    <w:rsid w:val="00836153"/>
    <w:rsid w:val="008361DC"/>
    <w:rsid w:val="008363E8"/>
    <w:rsid w:val="00836512"/>
    <w:rsid w:val="00836677"/>
    <w:rsid w:val="00836752"/>
    <w:rsid w:val="0083689B"/>
    <w:rsid w:val="008369C6"/>
    <w:rsid w:val="00836B1F"/>
    <w:rsid w:val="00836C84"/>
    <w:rsid w:val="00836DBE"/>
    <w:rsid w:val="00836E8D"/>
    <w:rsid w:val="00836FAC"/>
    <w:rsid w:val="008371B5"/>
    <w:rsid w:val="0083723F"/>
    <w:rsid w:val="00837334"/>
    <w:rsid w:val="008373C3"/>
    <w:rsid w:val="00837509"/>
    <w:rsid w:val="00837655"/>
    <w:rsid w:val="00837861"/>
    <w:rsid w:val="00837BDE"/>
    <w:rsid w:val="00837BEE"/>
    <w:rsid w:val="00837CF2"/>
    <w:rsid w:val="0084001C"/>
    <w:rsid w:val="00840064"/>
    <w:rsid w:val="008402A0"/>
    <w:rsid w:val="00840393"/>
    <w:rsid w:val="00840400"/>
    <w:rsid w:val="008407C8"/>
    <w:rsid w:val="0084099A"/>
    <w:rsid w:val="00840B8E"/>
    <w:rsid w:val="00840CC2"/>
    <w:rsid w:val="00840EF1"/>
    <w:rsid w:val="00840FDC"/>
    <w:rsid w:val="00841068"/>
    <w:rsid w:val="00841230"/>
    <w:rsid w:val="00841251"/>
    <w:rsid w:val="008412A5"/>
    <w:rsid w:val="00841758"/>
    <w:rsid w:val="0084183D"/>
    <w:rsid w:val="0084187D"/>
    <w:rsid w:val="00841DFA"/>
    <w:rsid w:val="00841E22"/>
    <w:rsid w:val="00841ED3"/>
    <w:rsid w:val="00841FA1"/>
    <w:rsid w:val="00842055"/>
    <w:rsid w:val="008421E5"/>
    <w:rsid w:val="0084222D"/>
    <w:rsid w:val="008422F7"/>
    <w:rsid w:val="0084255D"/>
    <w:rsid w:val="00842714"/>
    <w:rsid w:val="00842755"/>
    <w:rsid w:val="00842A02"/>
    <w:rsid w:val="00842A2D"/>
    <w:rsid w:val="00842A55"/>
    <w:rsid w:val="00842E7B"/>
    <w:rsid w:val="00842F1B"/>
    <w:rsid w:val="0084326D"/>
    <w:rsid w:val="00843436"/>
    <w:rsid w:val="008438BC"/>
    <w:rsid w:val="00843928"/>
    <w:rsid w:val="00843DE9"/>
    <w:rsid w:val="00843E88"/>
    <w:rsid w:val="00843EA6"/>
    <w:rsid w:val="00843FF4"/>
    <w:rsid w:val="0084410B"/>
    <w:rsid w:val="00844201"/>
    <w:rsid w:val="0084421E"/>
    <w:rsid w:val="008443B6"/>
    <w:rsid w:val="008443F1"/>
    <w:rsid w:val="00844538"/>
    <w:rsid w:val="00844851"/>
    <w:rsid w:val="00844892"/>
    <w:rsid w:val="00844C78"/>
    <w:rsid w:val="00844C7A"/>
    <w:rsid w:val="008451B1"/>
    <w:rsid w:val="00845664"/>
    <w:rsid w:val="00845A81"/>
    <w:rsid w:val="00845AE3"/>
    <w:rsid w:val="00845AF9"/>
    <w:rsid w:val="00845BAA"/>
    <w:rsid w:val="00845D9E"/>
    <w:rsid w:val="00845EEC"/>
    <w:rsid w:val="00846133"/>
    <w:rsid w:val="00846173"/>
    <w:rsid w:val="00846186"/>
    <w:rsid w:val="008463AC"/>
    <w:rsid w:val="008463C8"/>
    <w:rsid w:val="00846C8D"/>
    <w:rsid w:val="00846D3D"/>
    <w:rsid w:val="00847127"/>
    <w:rsid w:val="00847411"/>
    <w:rsid w:val="0084745D"/>
    <w:rsid w:val="0084752A"/>
    <w:rsid w:val="008477DF"/>
    <w:rsid w:val="00847C91"/>
    <w:rsid w:val="00847E63"/>
    <w:rsid w:val="00850822"/>
    <w:rsid w:val="008509AB"/>
    <w:rsid w:val="00850D8A"/>
    <w:rsid w:val="0085134D"/>
    <w:rsid w:val="0085155E"/>
    <w:rsid w:val="008515A4"/>
    <w:rsid w:val="0085197D"/>
    <w:rsid w:val="0085197E"/>
    <w:rsid w:val="00851B45"/>
    <w:rsid w:val="00851BAD"/>
    <w:rsid w:val="00851C39"/>
    <w:rsid w:val="00851E29"/>
    <w:rsid w:val="00851F93"/>
    <w:rsid w:val="008520B5"/>
    <w:rsid w:val="00852480"/>
    <w:rsid w:val="008526C2"/>
    <w:rsid w:val="008528B7"/>
    <w:rsid w:val="00852A57"/>
    <w:rsid w:val="00852B1E"/>
    <w:rsid w:val="00852F2A"/>
    <w:rsid w:val="0085302E"/>
    <w:rsid w:val="00853036"/>
    <w:rsid w:val="008531A7"/>
    <w:rsid w:val="008537B8"/>
    <w:rsid w:val="008538F6"/>
    <w:rsid w:val="00853A36"/>
    <w:rsid w:val="00853B4C"/>
    <w:rsid w:val="00853B4D"/>
    <w:rsid w:val="00853BA0"/>
    <w:rsid w:val="00853C1F"/>
    <w:rsid w:val="00853DB2"/>
    <w:rsid w:val="00854070"/>
    <w:rsid w:val="008541AE"/>
    <w:rsid w:val="008542C4"/>
    <w:rsid w:val="008548D5"/>
    <w:rsid w:val="00854A40"/>
    <w:rsid w:val="00854C36"/>
    <w:rsid w:val="00854D4E"/>
    <w:rsid w:val="00854E1F"/>
    <w:rsid w:val="00854EA4"/>
    <w:rsid w:val="0085514B"/>
    <w:rsid w:val="0085546E"/>
    <w:rsid w:val="00855792"/>
    <w:rsid w:val="00855860"/>
    <w:rsid w:val="0085592C"/>
    <w:rsid w:val="00855B7F"/>
    <w:rsid w:val="00855CE1"/>
    <w:rsid w:val="00855E6C"/>
    <w:rsid w:val="00855FA4"/>
    <w:rsid w:val="008560C4"/>
    <w:rsid w:val="00856213"/>
    <w:rsid w:val="00856311"/>
    <w:rsid w:val="008563E5"/>
    <w:rsid w:val="008564BC"/>
    <w:rsid w:val="0085652B"/>
    <w:rsid w:val="008566DC"/>
    <w:rsid w:val="008569AA"/>
    <w:rsid w:val="00856B30"/>
    <w:rsid w:val="00856C8F"/>
    <w:rsid w:val="00856CBC"/>
    <w:rsid w:val="00856E1A"/>
    <w:rsid w:val="00856E72"/>
    <w:rsid w:val="00857733"/>
    <w:rsid w:val="00857766"/>
    <w:rsid w:val="0085786A"/>
    <w:rsid w:val="00857A54"/>
    <w:rsid w:val="00857AD2"/>
    <w:rsid w:val="00857B68"/>
    <w:rsid w:val="00857FED"/>
    <w:rsid w:val="00860025"/>
    <w:rsid w:val="008601AE"/>
    <w:rsid w:val="008604FE"/>
    <w:rsid w:val="008607E1"/>
    <w:rsid w:val="00860BDB"/>
    <w:rsid w:val="00860D95"/>
    <w:rsid w:val="00860F81"/>
    <w:rsid w:val="0086103B"/>
    <w:rsid w:val="00861067"/>
    <w:rsid w:val="008613CA"/>
    <w:rsid w:val="0086145A"/>
    <w:rsid w:val="0086186B"/>
    <w:rsid w:val="0086194B"/>
    <w:rsid w:val="00861AF8"/>
    <w:rsid w:val="00861B00"/>
    <w:rsid w:val="00861B2F"/>
    <w:rsid w:val="00861B69"/>
    <w:rsid w:val="00861C97"/>
    <w:rsid w:val="00861D9B"/>
    <w:rsid w:val="00861DA6"/>
    <w:rsid w:val="00862496"/>
    <w:rsid w:val="00862559"/>
    <w:rsid w:val="00862649"/>
    <w:rsid w:val="00862668"/>
    <w:rsid w:val="008628C1"/>
    <w:rsid w:val="00862988"/>
    <w:rsid w:val="00862E41"/>
    <w:rsid w:val="00862EE7"/>
    <w:rsid w:val="00863127"/>
    <w:rsid w:val="0086337B"/>
    <w:rsid w:val="008634FD"/>
    <w:rsid w:val="00863509"/>
    <w:rsid w:val="00863AF8"/>
    <w:rsid w:val="00863CA0"/>
    <w:rsid w:val="00863F9E"/>
    <w:rsid w:val="0086412C"/>
    <w:rsid w:val="008641EE"/>
    <w:rsid w:val="00864235"/>
    <w:rsid w:val="0086428D"/>
    <w:rsid w:val="00864412"/>
    <w:rsid w:val="00864415"/>
    <w:rsid w:val="008644E6"/>
    <w:rsid w:val="0086471A"/>
    <w:rsid w:val="00864C07"/>
    <w:rsid w:val="00864C57"/>
    <w:rsid w:val="00864C5F"/>
    <w:rsid w:val="00864D41"/>
    <w:rsid w:val="00864E40"/>
    <w:rsid w:val="0086527F"/>
    <w:rsid w:val="00865311"/>
    <w:rsid w:val="008654FA"/>
    <w:rsid w:val="00865665"/>
    <w:rsid w:val="008659D8"/>
    <w:rsid w:val="00865A85"/>
    <w:rsid w:val="00865EBF"/>
    <w:rsid w:val="008660B1"/>
    <w:rsid w:val="00866161"/>
    <w:rsid w:val="0086643C"/>
    <w:rsid w:val="00866499"/>
    <w:rsid w:val="008665AE"/>
    <w:rsid w:val="00866669"/>
    <w:rsid w:val="008668F3"/>
    <w:rsid w:val="00866939"/>
    <w:rsid w:val="00866971"/>
    <w:rsid w:val="00866A6E"/>
    <w:rsid w:val="00866A88"/>
    <w:rsid w:val="00866BAF"/>
    <w:rsid w:val="00866E29"/>
    <w:rsid w:val="00866FDD"/>
    <w:rsid w:val="00867196"/>
    <w:rsid w:val="00867292"/>
    <w:rsid w:val="00867378"/>
    <w:rsid w:val="00867394"/>
    <w:rsid w:val="00867557"/>
    <w:rsid w:val="00867668"/>
    <w:rsid w:val="00867772"/>
    <w:rsid w:val="008677EB"/>
    <w:rsid w:val="0086783B"/>
    <w:rsid w:val="008679C3"/>
    <w:rsid w:val="00867BB0"/>
    <w:rsid w:val="00867D70"/>
    <w:rsid w:val="00867FCF"/>
    <w:rsid w:val="00870442"/>
    <w:rsid w:val="008705EC"/>
    <w:rsid w:val="00870682"/>
    <w:rsid w:val="008706DE"/>
    <w:rsid w:val="00870886"/>
    <w:rsid w:val="008708FB"/>
    <w:rsid w:val="00871646"/>
    <w:rsid w:val="0087170D"/>
    <w:rsid w:val="008718CA"/>
    <w:rsid w:val="00871985"/>
    <w:rsid w:val="00871A29"/>
    <w:rsid w:val="00871B13"/>
    <w:rsid w:val="00871CEE"/>
    <w:rsid w:val="00871D92"/>
    <w:rsid w:val="00871E59"/>
    <w:rsid w:val="00871FA3"/>
    <w:rsid w:val="00871FBF"/>
    <w:rsid w:val="00872110"/>
    <w:rsid w:val="0087221E"/>
    <w:rsid w:val="0087238B"/>
    <w:rsid w:val="008725B2"/>
    <w:rsid w:val="008725F9"/>
    <w:rsid w:val="00872688"/>
    <w:rsid w:val="00872717"/>
    <w:rsid w:val="008731A6"/>
    <w:rsid w:val="00873438"/>
    <w:rsid w:val="00873626"/>
    <w:rsid w:val="00873628"/>
    <w:rsid w:val="0087385B"/>
    <w:rsid w:val="00873A88"/>
    <w:rsid w:val="00873A8A"/>
    <w:rsid w:val="00873B24"/>
    <w:rsid w:val="00873E18"/>
    <w:rsid w:val="00873E66"/>
    <w:rsid w:val="00873E8F"/>
    <w:rsid w:val="008740B0"/>
    <w:rsid w:val="008740FA"/>
    <w:rsid w:val="008742CC"/>
    <w:rsid w:val="0087456B"/>
    <w:rsid w:val="008745AA"/>
    <w:rsid w:val="00874B62"/>
    <w:rsid w:val="00874C20"/>
    <w:rsid w:val="00874C41"/>
    <w:rsid w:val="00874C84"/>
    <w:rsid w:val="00874CC0"/>
    <w:rsid w:val="00874E8F"/>
    <w:rsid w:val="00874F1B"/>
    <w:rsid w:val="00874F6B"/>
    <w:rsid w:val="0087506F"/>
    <w:rsid w:val="008750FA"/>
    <w:rsid w:val="008751F8"/>
    <w:rsid w:val="00875467"/>
    <w:rsid w:val="00875513"/>
    <w:rsid w:val="008756C7"/>
    <w:rsid w:val="008757A7"/>
    <w:rsid w:val="008759AC"/>
    <w:rsid w:val="00875EF6"/>
    <w:rsid w:val="00875FF8"/>
    <w:rsid w:val="00876120"/>
    <w:rsid w:val="00876466"/>
    <w:rsid w:val="008764C5"/>
    <w:rsid w:val="008765C8"/>
    <w:rsid w:val="008765DC"/>
    <w:rsid w:val="0087683F"/>
    <w:rsid w:val="00876914"/>
    <w:rsid w:val="00876A0C"/>
    <w:rsid w:val="00876B92"/>
    <w:rsid w:val="00876B94"/>
    <w:rsid w:val="00876C72"/>
    <w:rsid w:val="00877092"/>
    <w:rsid w:val="0087725D"/>
    <w:rsid w:val="008774F9"/>
    <w:rsid w:val="0087761F"/>
    <w:rsid w:val="00877755"/>
    <w:rsid w:val="008777F1"/>
    <w:rsid w:val="00877938"/>
    <w:rsid w:val="00877DD0"/>
    <w:rsid w:val="008801E6"/>
    <w:rsid w:val="00880213"/>
    <w:rsid w:val="00880325"/>
    <w:rsid w:val="0088047C"/>
    <w:rsid w:val="00880496"/>
    <w:rsid w:val="00880611"/>
    <w:rsid w:val="00880728"/>
    <w:rsid w:val="00880B25"/>
    <w:rsid w:val="00880B58"/>
    <w:rsid w:val="00880BDD"/>
    <w:rsid w:val="00880EFE"/>
    <w:rsid w:val="00880FE0"/>
    <w:rsid w:val="00881077"/>
    <w:rsid w:val="00881115"/>
    <w:rsid w:val="00881486"/>
    <w:rsid w:val="00881525"/>
    <w:rsid w:val="00881779"/>
    <w:rsid w:val="0088195D"/>
    <w:rsid w:val="0088199E"/>
    <w:rsid w:val="00881A43"/>
    <w:rsid w:val="00881A68"/>
    <w:rsid w:val="008820A3"/>
    <w:rsid w:val="008821CC"/>
    <w:rsid w:val="0088256D"/>
    <w:rsid w:val="00882592"/>
    <w:rsid w:val="00882A19"/>
    <w:rsid w:val="00882BB0"/>
    <w:rsid w:val="008830EA"/>
    <w:rsid w:val="008836CD"/>
    <w:rsid w:val="00883714"/>
    <w:rsid w:val="00883785"/>
    <w:rsid w:val="00883BF5"/>
    <w:rsid w:val="00883D4A"/>
    <w:rsid w:val="0088403C"/>
    <w:rsid w:val="008840FF"/>
    <w:rsid w:val="00884196"/>
    <w:rsid w:val="008844B1"/>
    <w:rsid w:val="00884596"/>
    <w:rsid w:val="008846A0"/>
    <w:rsid w:val="0088491A"/>
    <w:rsid w:val="00884931"/>
    <w:rsid w:val="0088493E"/>
    <w:rsid w:val="00884ABC"/>
    <w:rsid w:val="00884BC2"/>
    <w:rsid w:val="00884E15"/>
    <w:rsid w:val="00885425"/>
    <w:rsid w:val="008855CB"/>
    <w:rsid w:val="008855F9"/>
    <w:rsid w:val="00885688"/>
    <w:rsid w:val="00885805"/>
    <w:rsid w:val="0088586E"/>
    <w:rsid w:val="00885F46"/>
    <w:rsid w:val="00885F4B"/>
    <w:rsid w:val="00885F86"/>
    <w:rsid w:val="008864C3"/>
    <w:rsid w:val="00886718"/>
    <w:rsid w:val="00886809"/>
    <w:rsid w:val="00886A76"/>
    <w:rsid w:val="00886C59"/>
    <w:rsid w:val="00886CA4"/>
    <w:rsid w:val="00886DED"/>
    <w:rsid w:val="00886E31"/>
    <w:rsid w:val="00887016"/>
    <w:rsid w:val="00887186"/>
    <w:rsid w:val="0088738F"/>
    <w:rsid w:val="008874CE"/>
    <w:rsid w:val="00887573"/>
    <w:rsid w:val="00887AC2"/>
    <w:rsid w:val="00887B96"/>
    <w:rsid w:val="00887C18"/>
    <w:rsid w:val="00887CC2"/>
    <w:rsid w:val="00887ED2"/>
    <w:rsid w:val="0089001B"/>
    <w:rsid w:val="00890032"/>
    <w:rsid w:val="008904AF"/>
    <w:rsid w:val="008904DC"/>
    <w:rsid w:val="00890534"/>
    <w:rsid w:val="00890692"/>
    <w:rsid w:val="0089099E"/>
    <w:rsid w:val="00890B28"/>
    <w:rsid w:val="00890D49"/>
    <w:rsid w:val="0089112F"/>
    <w:rsid w:val="00891610"/>
    <w:rsid w:val="008918F1"/>
    <w:rsid w:val="008919CA"/>
    <w:rsid w:val="00891A3C"/>
    <w:rsid w:val="00891B92"/>
    <w:rsid w:val="00891CEB"/>
    <w:rsid w:val="00891E85"/>
    <w:rsid w:val="0089223F"/>
    <w:rsid w:val="00892247"/>
    <w:rsid w:val="008926C2"/>
    <w:rsid w:val="00892BDD"/>
    <w:rsid w:val="00892E04"/>
    <w:rsid w:val="00892F7B"/>
    <w:rsid w:val="00892F8D"/>
    <w:rsid w:val="00892FD1"/>
    <w:rsid w:val="0089319A"/>
    <w:rsid w:val="008931D1"/>
    <w:rsid w:val="0089323E"/>
    <w:rsid w:val="008932B6"/>
    <w:rsid w:val="00893502"/>
    <w:rsid w:val="008935D9"/>
    <w:rsid w:val="00893656"/>
    <w:rsid w:val="0089367A"/>
    <w:rsid w:val="0089371A"/>
    <w:rsid w:val="00893B4E"/>
    <w:rsid w:val="00893C76"/>
    <w:rsid w:val="00893C95"/>
    <w:rsid w:val="00893FAE"/>
    <w:rsid w:val="008941CC"/>
    <w:rsid w:val="008942E3"/>
    <w:rsid w:val="00894371"/>
    <w:rsid w:val="008943D0"/>
    <w:rsid w:val="00894540"/>
    <w:rsid w:val="008945D8"/>
    <w:rsid w:val="00894615"/>
    <w:rsid w:val="00894738"/>
    <w:rsid w:val="008947DD"/>
    <w:rsid w:val="00894ADA"/>
    <w:rsid w:val="00894B7F"/>
    <w:rsid w:val="00894C39"/>
    <w:rsid w:val="00894D16"/>
    <w:rsid w:val="00894F65"/>
    <w:rsid w:val="00894FB4"/>
    <w:rsid w:val="0089507E"/>
    <w:rsid w:val="008950B8"/>
    <w:rsid w:val="008950BC"/>
    <w:rsid w:val="00895202"/>
    <w:rsid w:val="0089544C"/>
    <w:rsid w:val="008955E8"/>
    <w:rsid w:val="00895856"/>
    <w:rsid w:val="00895B9B"/>
    <w:rsid w:val="00895BB0"/>
    <w:rsid w:val="00895EA8"/>
    <w:rsid w:val="0089609C"/>
    <w:rsid w:val="00896225"/>
    <w:rsid w:val="008964CC"/>
    <w:rsid w:val="0089652C"/>
    <w:rsid w:val="00896544"/>
    <w:rsid w:val="008965D9"/>
    <w:rsid w:val="00896752"/>
    <w:rsid w:val="008967A3"/>
    <w:rsid w:val="008967E5"/>
    <w:rsid w:val="0089682A"/>
    <w:rsid w:val="00896930"/>
    <w:rsid w:val="00896B31"/>
    <w:rsid w:val="00896C3A"/>
    <w:rsid w:val="00896D36"/>
    <w:rsid w:val="00896E03"/>
    <w:rsid w:val="00896ECE"/>
    <w:rsid w:val="00897013"/>
    <w:rsid w:val="0089707B"/>
    <w:rsid w:val="0089717F"/>
    <w:rsid w:val="0089730B"/>
    <w:rsid w:val="00897751"/>
    <w:rsid w:val="00897952"/>
    <w:rsid w:val="0089799D"/>
    <w:rsid w:val="00897C58"/>
    <w:rsid w:val="00897FE5"/>
    <w:rsid w:val="008A003E"/>
    <w:rsid w:val="008A0279"/>
    <w:rsid w:val="008A039A"/>
    <w:rsid w:val="008A0C01"/>
    <w:rsid w:val="008A0E2B"/>
    <w:rsid w:val="008A0FC9"/>
    <w:rsid w:val="008A1186"/>
    <w:rsid w:val="008A159F"/>
    <w:rsid w:val="008A16E1"/>
    <w:rsid w:val="008A18AA"/>
    <w:rsid w:val="008A1A9A"/>
    <w:rsid w:val="008A25C1"/>
    <w:rsid w:val="008A2C2A"/>
    <w:rsid w:val="008A348F"/>
    <w:rsid w:val="008A34E0"/>
    <w:rsid w:val="008A36E7"/>
    <w:rsid w:val="008A36F4"/>
    <w:rsid w:val="008A38B9"/>
    <w:rsid w:val="008A3AE4"/>
    <w:rsid w:val="008A3CD5"/>
    <w:rsid w:val="008A3CDF"/>
    <w:rsid w:val="008A3E9C"/>
    <w:rsid w:val="008A3F50"/>
    <w:rsid w:val="008A3FF1"/>
    <w:rsid w:val="008A416D"/>
    <w:rsid w:val="008A41E8"/>
    <w:rsid w:val="008A435D"/>
    <w:rsid w:val="008A4440"/>
    <w:rsid w:val="008A4471"/>
    <w:rsid w:val="008A4619"/>
    <w:rsid w:val="008A487B"/>
    <w:rsid w:val="008A4ACD"/>
    <w:rsid w:val="008A4AD9"/>
    <w:rsid w:val="008A4B9A"/>
    <w:rsid w:val="008A4D37"/>
    <w:rsid w:val="008A4EC8"/>
    <w:rsid w:val="008A4FD5"/>
    <w:rsid w:val="008A532C"/>
    <w:rsid w:val="008A5455"/>
    <w:rsid w:val="008A54A4"/>
    <w:rsid w:val="008A5875"/>
    <w:rsid w:val="008A5B17"/>
    <w:rsid w:val="008A5B5F"/>
    <w:rsid w:val="008A5BEB"/>
    <w:rsid w:val="008A5C71"/>
    <w:rsid w:val="008A6359"/>
    <w:rsid w:val="008A649A"/>
    <w:rsid w:val="008A66E7"/>
    <w:rsid w:val="008A698B"/>
    <w:rsid w:val="008A6C3D"/>
    <w:rsid w:val="008A6CB4"/>
    <w:rsid w:val="008A6F63"/>
    <w:rsid w:val="008A6FB9"/>
    <w:rsid w:val="008A6FC9"/>
    <w:rsid w:val="008A6FF5"/>
    <w:rsid w:val="008A71BD"/>
    <w:rsid w:val="008A7459"/>
    <w:rsid w:val="008A74B0"/>
    <w:rsid w:val="008A78C7"/>
    <w:rsid w:val="008A7A8A"/>
    <w:rsid w:val="008A7CB2"/>
    <w:rsid w:val="008A7DDD"/>
    <w:rsid w:val="008B034E"/>
    <w:rsid w:val="008B0378"/>
    <w:rsid w:val="008B077B"/>
    <w:rsid w:val="008B07F9"/>
    <w:rsid w:val="008B0810"/>
    <w:rsid w:val="008B0984"/>
    <w:rsid w:val="008B0CCA"/>
    <w:rsid w:val="008B0EA3"/>
    <w:rsid w:val="008B1283"/>
    <w:rsid w:val="008B134B"/>
    <w:rsid w:val="008B134C"/>
    <w:rsid w:val="008B136B"/>
    <w:rsid w:val="008B16C4"/>
    <w:rsid w:val="008B16D4"/>
    <w:rsid w:val="008B178F"/>
    <w:rsid w:val="008B180B"/>
    <w:rsid w:val="008B1A39"/>
    <w:rsid w:val="008B1BB3"/>
    <w:rsid w:val="008B1D96"/>
    <w:rsid w:val="008B223A"/>
    <w:rsid w:val="008B24CA"/>
    <w:rsid w:val="008B2617"/>
    <w:rsid w:val="008B2908"/>
    <w:rsid w:val="008B29B1"/>
    <w:rsid w:val="008B2BB8"/>
    <w:rsid w:val="008B2C77"/>
    <w:rsid w:val="008B2D9B"/>
    <w:rsid w:val="008B2E89"/>
    <w:rsid w:val="008B2EF8"/>
    <w:rsid w:val="008B2F86"/>
    <w:rsid w:val="008B3084"/>
    <w:rsid w:val="008B3506"/>
    <w:rsid w:val="008B3554"/>
    <w:rsid w:val="008B3556"/>
    <w:rsid w:val="008B36AA"/>
    <w:rsid w:val="008B389A"/>
    <w:rsid w:val="008B3CA9"/>
    <w:rsid w:val="008B3D5E"/>
    <w:rsid w:val="008B3E42"/>
    <w:rsid w:val="008B4030"/>
    <w:rsid w:val="008B41AA"/>
    <w:rsid w:val="008B426E"/>
    <w:rsid w:val="008B4313"/>
    <w:rsid w:val="008B444E"/>
    <w:rsid w:val="008B4578"/>
    <w:rsid w:val="008B48B0"/>
    <w:rsid w:val="008B492E"/>
    <w:rsid w:val="008B498D"/>
    <w:rsid w:val="008B49E7"/>
    <w:rsid w:val="008B4B02"/>
    <w:rsid w:val="008B4B51"/>
    <w:rsid w:val="008B4B6A"/>
    <w:rsid w:val="008B4E17"/>
    <w:rsid w:val="008B4E69"/>
    <w:rsid w:val="008B500B"/>
    <w:rsid w:val="008B52FE"/>
    <w:rsid w:val="008B537E"/>
    <w:rsid w:val="008B53DB"/>
    <w:rsid w:val="008B54AB"/>
    <w:rsid w:val="008B5523"/>
    <w:rsid w:val="008B559A"/>
    <w:rsid w:val="008B57C0"/>
    <w:rsid w:val="008B588D"/>
    <w:rsid w:val="008B5944"/>
    <w:rsid w:val="008B5B97"/>
    <w:rsid w:val="008B5E2F"/>
    <w:rsid w:val="008B5EF1"/>
    <w:rsid w:val="008B6016"/>
    <w:rsid w:val="008B6059"/>
    <w:rsid w:val="008B6453"/>
    <w:rsid w:val="008B645B"/>
    <w:rsid w:val="008B6655"/>
    <w:rsid w:val="008B66DF"/>
    <w:rsid w:val="008B6780"/>
    <w:rsid w:val="008B67F4"/>
    <w:rsid w:val="008B68A0"/>
    <w:rsid w:val="008B6A0A"/>
    <w:rsid w:val="008B6DF0"/>
    <w:rsid w:val="008B6E1D"/>
    <w:rsid w:val="008B6EA8"/>
    <w:rsid w:val="008B71B5"/>
    <w:rsid w:val="008B74BF"/>
    <w:rsid w:val="008B7504"/>
    <w:rsid w:val="008B760E"/>
    <w:rsid w:val="008B76D0"/>
    <w:rsid w:val="008B7746"/>
    <w:rsid w:val="008B77E1"/>
    <w:rsid w:val="008B7989"/>
    <w:rsid w:val="008B799E"/>
    <w:rsid w:val="008B7B75"/>
    <w:rsid w:val="008B7E56"/>
    <w:rsid w:val="008B7EA4"/>
    <w:rsid w:val="008B7EDB"/>
    <w:rsid w:val="008C00C3"/>
    <w:rsid w:val="008C014E"/>
    <w:rsid w:val="008C0537"/>
    <w:rsid w:val="008C0541"/>
    <w:rsid w:val="008C060D"/>
    <w:rsid w:val="008C0761"/>
    <w:rsid w:val="008C07CD"/>
    <w:rsid w:val="008C091D"/>
    <w:rsid w:val="008C0A6C"/>
    <w:rsid w:val="008C0BAD"/>
    <w:rsid w:val="008C0C95"/>
    <w:rsid w:val="008C132A"/>
    <w:rsid w:val="008C13B9"/>
    <w:rsid w:val="008C1699"/>
    <w:rsid w:val="008C16AE"/>
    <w:rsid w:val="008C1721"/>
    <w:rsid w:val="008C180C"/>
    <w:rsid w:val="008C1913"/>
    <w:rsid w:val="008C196A"/>
    <w:rsid w:val="008C196E"/>
    <w:rsid w:val="008C1B0E"/>
    <w:rsid w:val="008C1E18"/>
    <w:rsid w:val="008C245D"/>
    <w:rsid w:val="008C26FC"/>
    <w:rsid w:val="008C28FF"/>
    <w:rsid w:val="008C2F17"/>
    <w:rsid w:val="008C3351"/>
    <w:rsid w:val="008C34BA"/>
    <w:rsid w:val="008C353A"/>
    <w:rsid w:val="008C3636"/>
    <w:rsid w:val="008C3688"/>
    <w:rsid w:val="008C3722"/>
    <w:rsid w:val="008C37E0"/>
    <w:rsid w:val="008C39A1"/>
    <w:rsid w:val="008C3BF1"/>
    <w:rsid w:val="008C3C25"/>
    <w:rsid w:val="008C3D00"/>
    <w:rsid w:val="008C3D96"/>
    <w:rsid w:val="008C3E07"/>
    <w:rsid w:val="008C3EA9"/>
    <w:rsid w:val="008C45F6"/>
    <w:rsid w:val="008C4B06"/>
    <w:rsid w:val="008C4B90"/>
    <w:rsid w:val="008C4BA9"/>
    <w:rsid w:val="008C4BAE"/>
    <w:rsid w:val="008C4F3C"/>
    <w:rsid w:val="008C4FDA"/>
    <w:rsid w:val="008C5075"/>
    <w:rsid w:val="008C50BE"/>
    <w:rsid w:val="008C54A6"/>
    <w:rsid w:val="008C5517"/>
    <w:rsid w:val="008C55B2"/>
    <w:rsid w:val="008C57B6"/>
    <w:rsid w:val="008C5829"/>
    <w:rsid w:val="008C5A5F"/>
    <w:rsid w:val="008C5B82"/>
    <w:rsid w:val="008C5D21"/>
    <w:rsid w:val="008C5E4F"/>
    <w:rsid w:val="008C5F6C"/>
    <w:rsid w:val="008C5FAD"/>
    <w:rsid w:val="008C6188"/>
    <w:rsid w:val="008C6267"/>
    <w:rsid w:val="008C6590"/>
    <w:rsid w:val="008C6718"/>
    <w:rsid w:val="008C683F"/>
    <w:rsid w:val="008C6869"/>
    <w:rsid w:val="008C69DE"/>
    <w:rsid w:val="008C6A35"/>
    <w:rsid w:val="008C6A3F"/>
    <w:rsid w:val="008C6C24"/>
    <w:rsid w:val="008C6C52"/>
    <w:rsid w:val="008C7289"/>
    <w:rsid w:val="008C72B7"/>
    <w:rsid w:val="008C7642"/>
    <w:rsid w:val="008C7646"/>
    <w:rsid w:val="008C78FB"/>
    <w:rsid w:val="008C790E"/>
    <w:rsid w:val="008C7C46"/>
    <w:rsid w:val="008C7E3A"/>
    <w:rsid w:val="008D00D8"/>
    <w:rsid w:val="008D040A"/>
    <w:rsid w:val="008D047D"/>
    <w:rsid w:val="008D0710"/>
    <w:rsid w:val="008D09BF"/>
    <w:rsid w:val="008D0B21"/>
    <w:rsid w:val="008D0D25"/>
    <w:rsid w:val="008D0E10"/>
    <w:rsid w:val="008D0EEA"/>
    <w:rsid w:val="008D1225"/>
    <w:rsid w:val="008D126B"/>
    <w:rsid w:val="008D12E8"/>
    <w:rsid w:val="008D149B"/>
    <w:rsid w:val="008D1793"/>
    <w:rsid w:val="008D1C22"/>
    <w:rsid w:val="008D1D8F"/>
    <w:rsid w:val="008D21D3"/>
    <w:rsid w:val="008D220E"/>
    <w:rsid w:val="008D22FE"/>
    <w:rsid w:val="008D2411"/>
    <w:rsid w:val="008D28C2"/>
    <w:rsid w:val="008D2A1D"/>
    <w:rsid w:val="008D2AC8"/>
    <w:rsid w:val="008D2B8E"/>
    <w:rsid w:val="008D2CD8"/>
    <w:rsid w:val="008D2F1C"/>
    <w:rsid w:val="008D2F63"/>
    <w:rsid w:val="008D30B5"/>
    <w:rsid w:val="008D3186"/>
    <w:rsid w:val="008D3266"/>
    <w:rsid w:val="008D34F8"/>
    <w:rsid w:val="008D361C"/>
    <w:rsid w:val="008D3A5B"/>
    <w:rsid w:val="008D3B79"/>
    <w:rsid w:val="008D3BC4"/>
    <w:rsid w:val="008D3C80"/>
    <w:rsid w:val="008D3D63"/>
    <w:rsid w:val="008D3D8A"/>
    <w:rsid w:val="008D3DE3"/>
    <w:rsid w:val="008D42C5"/>
    <w:rsid w:val="008D4333"/>
    <w:rsid w:val="008D44F2"/>
    <w:rsid w:val="008D456A"/>
    <w:rsid w:val="008D46A4"/>
    <w:rsid w:val="008D48C1"/>
    <w:rsid w:val="008D4946"/>
    <w:rsid w:val="008D4A6C"/>
    <w:rsid w:val="008D4B2F"/>
    <w:rsid w:val="008D4BAA"/>
    <w:rsid w:val="008D4EBF"/>
    <w:rsid w:val="008D4F06"/>
    <w:rsid w:val="008D4F10"/>
    <w:rsid w:val="008D5068"/>
    <w:rsid w:val="008D5083"/>
    <w:rsid w:val="008D50AA"/>
    <w:rsid w:val="008D52A0"/>
    <w:rsid w:val="008D52AD"/>
    <w:rsid w:val="008D58D5"/>
    <w:rsid w:val="008D5B99"/>
    <w:rsid w:val="008D5CDD"/>
    <w:rsid w:val="008D5D37"/>
    <w:rsid w:val="008D5EAE"/>
    <w:rsid w:val="008D5FCD"/>
    <w:rsid w:val="008D5FCE"/>
    <w:rsid w:val="008D60C1"/>
    <w:rsid w:val="008D617B"/>
    <w:rsid w:val="008D6601"/>
    <w:rsid w:val="008D6765"/>
    <w:rsid w:val="008D6775"/>
    <w:rsid w:val="008D6865"/>
    <w:rsid w:val="008D6901"/>
    <w:rsid w:val="008D6AE4"/>
    <w:rsid w:val="008D6E81"/>
    <w:rsid w:val="008D6E88"/>
    <w:rsid w:val="008D6EEB"/>
    <w:rsid w:val="008D6FE7"/>
    <w:rsid w:val="008D7071"/>
    <w:rsid w:val="008D7379"/>
    <w:rsid w:val="008D75FB"/>
    <w:rsid w:val="008D7674"/>
    <w:rsid w:val="008D76F7"/>
    <w:rsid w:val="008D76FF"/>
    <w:rsid w:val="008D777C"/>
    <w:rsid w:val="008D77C4"/>
    <w:rsid w:val="008D7817"/>
    <w:rsid w:val="008D78E8"/>
    <w:rsid w:val="008D7965"/>
    <w:rsid w:val="008D7985"/>
    <w:rsid w:val="008D7BFD"/>
    <w:rsid w:val="008D7D94"/>
    <w:rsid w:val="008D7DEA"/>
    <w:rsid w:val="008E02DF"/>
    <w:rsid w:val="008E0397"/>
    <w:rsid w:val="008E0411"/>
    <w:rsid w:val="008E04E2"/>
    <w:rsid w:val="008E0B24"/>
    <w:rsid w:val="008E0C59"/>
    <w:rsid w:val="008E0D77"/>
    <w:rsid w:val="008E0F1A"/>
    <w:rsid w:val="008E0F79"/>
    <w:rsid w:val="008E14B1"/>
    <w:rsid w:val="008E164B"/>
    <w:rsid w:val="008E1772"/>
    <w:rsid w:val="008E18F1"/>
    <w:rsid w:val="008E19F6"/>
    <w:rsid w:val="008E1AA5"/>
    <w:rsid w:val="008E1B05"/>
    <w:rsid w:val="008E1B2D"/>
    <w:rsid w:val="008E1D87"/>
    <w:rsid w:val="008E1E14"/>
    <w:rsid w:val="008E1E72"/>
    <w:rsid w:val="008E1FBF"/>
    <w:rsid w:val="008E2139"/>
    <w:rsid w:val="008E23D4"/>
    <w:rsid w:val="008E2531"/>
    <w:rsid w:val="008E25C6"/>
    <w:rsid w:val="008E26D6"/>
    <w:rsid w:val="008E2857"/>
    <w:rsid w:val="008E2F94"/>
    <w:rsid w:val="008E325E"/>
    <w:rsid w:val="008E35E2"/>
    <w:rsid w:val="008E36E0"/>
    <w:rsid w:val="008E3B1D"/>
    <w:rsid w:val="008E3B68"/>
    <w:rsid w:val="008E3BAA"/>
    <w:rsid w:val="008E41C8"/>
    <w:rsid w:val="008E436C"/>
    <w:rsid w:val="008E43AD"/>
    <w:rsid w:val="008E43E7"/>
    <w:rsid w:val="008E4650"/>
    <w:rsid w:val="008E46BD"/>
    <w:rsid w:val="008E46F5"/>
    <w:rsid w:val="008E4929"/>
    <w:rsid w:val="008E4968"/>
    <w:rsid w:val="008E4CEC"/>
    <w:rsid w:val="008E4F95"/>
    <w:rsid w:val="008E5155"/>
    <w:rsid w:val="008E5211"/>
    <w:rsid w:val="008E551A"/>
    <w:rsid w:val="008E55DC"/>
    <w:rsid w:val="008E5627"/>
    <w:rsid w:val="008E57C0"/>
    <w:rsid w:val="008E5823"/>
    <w:rsid w:val="008E5949"/>
    <w:rsid w:val="008E5954"/>
    <w:rsid w:val="008E5A69"/>
    <w:rsid w:val="008E5A76"/>
    <w:rsid w:val="008E5AAC"/>
    <w:rsid w:val="008E5ABC"/>
    <w:rsid w:val="008E5B7C"/>
    <w:rsid w:val="008E5C21"/>
    <w:rsid w:val="008E5F88"/>
    <w:rsid w:val="008E6388"/>
    <w:rsid w:val="008E6459"/>
    <w:rsid w:val="008E64B6"/>
    <w:rsid w:val="008E651C"/>
    <w:rsid w:val="008E67B4"/>
    <w:rsid w:val="008E6880"/>
    <w:rsid w:val="008E6892"/>
    <w:rsid w:val="008E7023"/>
    <w:rsid w:val="008E7158"/>
    <w:rsid w:val="008E7362"/>
    <w:rsid w:val="008E746E"/>
    <w:rsid w:val="008E76F4"/>
    <w:rsid w:val="008E7A00"/>
    <w:rsid w:val="008E7C53"/>
    <w:rsid w:val="008E7D3B"/>
    <w:rsid w:val="008E7E25"/>
    <w:rsid w:val="008F0146"/>
    <w:rsid w:val="008F0175"/>
    <w:rsid w:val="008F01F1"/>
    <w:rsid w:val="008F02BC"/>
    <w:rsid w:val="008F0518"/>
    <w:rsid w:val="008F05C2"/>
    <w:rsid w:val="008F05DD"/>
    <w:rsid w:val="008F05FD"/>
    <w:rsid w:val="008F08D2"/>
    <w:rsid w:val="008F096C"/>
    <w:rsid w:val="008F09AE"/>
    <w:rsid w:val="008F0AB1"/>
    <w:rsid w:val="008F0AF8"/>
    <w:rsid w:val="008F0B5F"/>
    <w:rsid w:val="008F0C2A"/>
    <w:rsid w:val="008F0E3D"/>
    <w:rsid w:val="008F0EB6"/>
    <w:rsid w:val="008F0F8B"/>
    <w:rsid w:val="008F1030"/>
    <w:rsid w:val="008F10BD"/>
    <w:rsid w:val="008F12D6"/>
    <w:rsid w:val="008F1495"/>
    <w:rsid w:val="008F1591"/>
    <w:rsid w:val="008F1638"/>
    <w:rsid w:val="008F1869"/>
    <w:rsid w:val="008F1930"/>
    <w:rsid w:val="008F1AFF"/>
    <w:rsid w:val="008F1FA2"/>
    <w:rsid w:val="008F2290"/>
    <w:rsid w:val="008F238E"/>
    <w:rsid w:val="008F2398"/>
    <w:rsid w:val="008F2676"/>
    <w:rsid w:val="008F293F"/>
    <w:rsid w:val="008F296A"/>
    <w:rsid w:val="008F29EF"/>
    <w:rsid w:val="008F29FD"/>
    <w:rsid w:val="008F2E2A"/>
    <w:rsid w:val="008F2F7F"/>
    <w:rsid w:val="008F334A"/>
    <w:rsid w:val="008F33CE"/>
    <w:rsid w:val="008F363A"/>
    <w:rsid w:val="008F3737"/>
    <w:rsid w:val="008F3788"/>
    <w:rsid w:val="008F3852"/>
    <w:rsid w:val="008F3AA0"/>
    <w:rsid w:val="008F3CAF"/>
    <w:rsid w:val="008F4090"/>
    <w:rsid w:val="008F4147"/>
    <w:rsid w:val="008F41C8"/>
    <w:rsid w:val="008F4479"/>
    <w:rsid w:val="008F44F0"/>
    <w:rsid w:val="008F4587"/>
    <w:rsid w:val="008F4770"/>
    <w:rsid w:val="008F4B0C"/>
    <w:rsid w:val="008F4BD1"/>
    <w:rsid w:val="008F4D2F"/>
    <w:rsid w:val="008F4DFB"/>
    <w:rsid w:val="008F4F62"/>
    <w:rsid w:val="008F55FC"/>
    <w:rsid w:val="008F5780"/>
    <w:rsid w:val="008F58D6"/>
    <w:rsid w:val="008F5A0E"/>
    <w:rsid w:val="008F5A7B"/>
    <w:rsid w:val="008F5B26"/>
    <w:rsid w:val="008F5CC2"/>
    <w:rsid w:val="008F602E"/>
    <w:rsid w:val="008F6081"/>
    <w:rsid w:val="008F6143"/>
    <w:rsid w:val="008F6417"/>
    <w:rsid w:val="008F645A"/>
    <w:rsid w:val="008F64A6"/>
    <w:rsid w:val="008F64C3"/>
    <w:rsid w:val="008F6629"/>
    <w:rsid w:val="008F6771"/>
    <w:rsid w:val="008F6787"/>
    <w:rsid w:val="008F67B8"/>
    <w:rsid w:val="008F6ADC"/>
    <w:rsid w:val="008F6B5B"/>
    <w:rsid w:val="008F6C6D"/>
    <w:rsid w:val="008F6C72"/>
    <w:rsid w:val="008F6CA3"/>
    <w:rsid w:val="008F6CB3"/>
    <w:rsid w:val="008F6EE4"/>
    <w:rsid w:val="008F6F69"/>
    <w:rsid w:val="008F6FB7"/>
    <w:rsid w:val="008F7291"/>
    <w:rsid w:val="008F72C6"/>
    <w:rsid w:val="008F7395"/>
    <w:rsid w:val="008F74ED"/>
    <w:rsid w:val="008F75E3"/>
    <w:rsid w:val="008F7A68"/>
    <w:rsid w:val="008F7D36"/>
    <w:rsid w:val="008F7DCE"/>
    <w:rsid w:val="009001A8"/>
    <w:rsid w:val="009001D2"/>
    <w:rsid w:val="00900221"/>
    <w:rsid w:val="00900319"/>
    <w:rsid w:val="00900721"/>
    <w:rsid w:val="009007E4"/>
    <w:rsid w:val="00900872"/>
    <w:rsid w:val="00900982"/>
    <w:rsid w:val="009009A1"/>
    <w:rsid w:val="009009D5"/>
    <w:rsid w:val="00900B16"/>
    <w:rsid w:val="00900B83"/>
    <w:rsid w:val="00900CB0"/>
    <w:rsid w:val="00900E17"/>
    <w:rsid w:val="00900E75"/>
    <w:rsid w:val="00900F63"/>
    <w:rsid w:val="00900F7D"/>
    <w:rsid w:val="0090193E"/>
    <w:rsid w:val="00901949"/>
    <w:rsid w:val="00901A39"/>
    <w:rsid w:val="00901C1E"/>
    <w:rsid w:val="00901CF8"/>
    <w:rsid w:val="00901D23"/>
    <w:rsid w:val="00901D3A"/>
    <w:rsid w:val="0090202A"/>
    <w:rsid w:val="0090208A"/>
    <w:rsid w:val="009021F0"/>
    <w:rsid w:val="009023B5"/>
    <w:rsid w:val="0090246D"/>
    <w:rsid w:val="0090265D"/>
    <w:rsid w:val="0090274F"/>
    <w:rsid w:val="009029A4"/>
    <w:rsid w:val="00902BDB"/>
    <w:rsid w:val="00902C6E"/>
    <w:rsid w:val="00902D5C"/>
    <w:rsid w:val="00902E33"/>
    <w:rsid w:val="0090305B"/>
    <w:rsid w:val="0090306B"/>
    <w:rsid w:val="0090309D"/>
    <w:rsid w:val="009030F8"/>
    <w:rsid w:val="00903112"/>
    <w:rsid w:val="00903382"/>
    <w:rsid w:val="009034DD"/>
    <w:rsid w:val="009034E6"/>
    <w:rsid w:val="00903808"/>
    <w:rsid w:val="0090381E"/>
    <w:rsid w:val="00903888"/>
    <w:rsid w:val="00903947"/>
    <w:rsid w:val="00903969"/>
    <w:rsid w:val="00903B23"/>
    <w:rsid w:val="00903BB0"/>
    <w:rsid w:val="00903CA8"/>
    <w:rsid w:val="00903E2D"/>
    <w:rsid w:val="00903E8D"/>
    <w:rsid w:val="0090414C"/>
    <w:rsid w:val="00904386"/>
    <w:rsid w:val="00904961"/>
    <w:rsid w:val="00904A04"/>
    <w:rsid w:val="00904D04"/>
    <w:rsid w:val="00904E65"/>
    <w:rsid w:val="00904EBB"/>
    <w:rsid w:val="00904F81"/>
    <w:rsid w:val="00905108"/>
    <w:rsid w:val="009051BA"/>
    <w:rsid w:val="00905431"/>
    <w:rsid w:val="0090546C"/>
    <w:rsid w:val="009056DE"/>
    <w:rsid w:val="009056F5"/>
    <w:rsid w:val="00905AC3"/>
    <w:rsid w:val="00905CF6"/>
    <w:rsid w:val="00905E6F"/>
    <w:rsid w:val="00905F98"/>
    <w:rsid w:val="0090610C"/>
    <w:rsid w:val="0090612F"/>
    <w:rsid w:val="0090666B"/>
    <w:rsid w:val="00906709"/>
    <w:rsid w:val="00906785"/>
    <w:rsid w:val="009067CC"/>
    <w:rsid w:val="009067E8"/>
    <w:rsid w:val="00906840"/>
    <w:rsid w:val="009068E4"/>
    <w:rsid w:val="00906980"/>
    <w:rsid w:val="00906C8B"/>
    <w:rsid w:val="00906E37"/>
    <w:rsid w:val="00906EDA"/>
    <w:rsid w:val="00907227"/>
    <w:rsid w:val="00907326"/>
    <w:rsid w:val="00907510"/>
    <w:rsid w:val="0090794F"/>
    <w:rsid w:val="00907A68"/>
    <w:rsid w:val="00907D8E"/>
    <w:rsid w:val="00907E96"/>
    <w:rsid w:val="00907EC2"/>
    <w:rsid w:val="0091014D"/>
    <w:rsid w:val="0091046E"/>
    <w:rsid w:val="0091047A"/>
    <w:rsid w:val="009104AB"/>
    <w:rsid w:val="00910678"/>
    <w:rsid w:val="009106B9"/>
    <w:rsid w:val="00910E0B"/>
    <w:rsid w:val="0091116B"/>
    <w:rsid w:val="00911254"/>
    <w:rsid w:val="0091128C"/>
    <w:rsid w:val="00911297"/>
    <w:rsid w:val="009112A1"/>
    <w:rsid w:val="0091156D"/>
    <w:rsid w:val="0091186A"/>
    <w:rsid w:val="00911977"/>
    <w:rsid w:val="009119EC"/>
    <w:rsid w:val="00911B5A"/>
    <w:rsid w:val="00911C4D"/>
    <w:rsid w:val="00911DEB"/>
    <w:rsid w:val="00911E5F"/>
    <w:rsid w:val="00911F98"/>
    <w:rsid w:val="009120B4"/>
    <w:rsid w:val="00912131"/>
    <w:rsid w:val="009122E5"/>
    <w:rsid w:val="00912544"/>
    <w:rsid w:val="0091254E"/>
    <w:rsid w:val="009127A9"/>
    <w:rsid w:val="009129FA"/>
    <w:rsid w:val="00912E3A"/>
    <w:rsid w:val="009131D3"/>
    <w:rsid w:val="00913399"/>
    <w:rsid w:val="00913437"/>
    <w:rsid w:val="009134DA"/>
    <w:rsid w:val="00913612"/>
    <w:rsid w:val="00913740"/>
    <w:rsid w:val="00913947"/>
    <w:rsid w:val="00913B11"/>
    <w:rsid w:val="00913C95"/>
    <w:rsid w:val="00913DDB"/>
    <w:rsid w:val="00913E91"/>
    <w:rsid w:val="00913F01"/>
    <w:rsid w:val="0091414D"/>
    <w:rsid w:val="00914165"/>
    <w:rsid w:val="009142C5"/>
    <w:rsid w:val="00914384"/>
    <w:rsid w:val="009143CF"/>
    <w:rsid w:val="00914478"/>
    <w:rsid w:val="00914605"/>
    <w:rsid w:val="009146ED"/>
    <w:rsid w:val="00914F83"/>
    <w:rsid w:val="00915078"/>
    <w:rsid w:val="0091510D"/>
    <w:rsid w:val="009154D8"/>
    <w:rsid w:val="009155A0"/>
    <w:rsid w:val="00915709"/>
    <w:rsid w:val="00915B83"/>
    <w:rsid w:val="00915C47"/>
    <w:rsid w:val="00915DAD"/>
    <w:rsid w:val="00916104"/>
    <w:rsid w:val="00916108"/>
    <w:rsid w:val="00916151"/>
    <w:rsid w:val="009161A0"/>
    <w:rsid w:val="009161D3"/>
    <w:rsid w:val="00916686"/>
    <w:rsid w:val="00916806"/>
    <w:rsid w:val="00916910"/>
    <w:rsid w:val="009169B8"/>
    <w:rsid w:val="00916C17"/>
    <w:rsid w:val="00916CFA"/>
    <w:rsid w:val="00916FDD"/>
    <w:rsid w:val="009171B6"/>
    <w:rsid w:val="009171FF"/>
    <w:rsid w:val="0091749C"/>
    <w:rsid w:val="009174C3"/>
    <w:rsid w:val="00917687"/>
    <w:rsid w:val="0091786B"/>
    <w:rsid w:val="0091788A"/>
    <w:rsid w:val="00917CFF"/>
    <w:rsid w:val="00917E0A"/>
    <w:rsid w:val="00917F04"/>
    <w:rsid w:val="009200FF"/>
    <w:rsid w:val="009206F9"/>
    <w:rsid w:val="00920A06"/>
    <w:rsid w:val="00920A27"/>
    <w:rsid w:val="00920B06"/>
    <w:rsid w:val="00920C0D"/>
    <w:rsid w:val="00920E15"/>
    <w:rsid w:val="00920F00"/>
    <w:rsid w:val="00920F4E"/>
    <w:rsid w:val="009212B5"/>
    <w:rsid w:val="009213D4"/>
    <w:rsid w:val="0092140A"/>
    <w:rsid w:val="0092146C"/>
    <w:rsid w:val="009215F3"/>
    <w:rsid w:val="009216A0"/>
    <w:rsid w:val="00921A43"/>
    <w:rsid w:val="00921EF1"/>
    <w:rsid w:val="00922052"/>
    <w:rsid w:val="00922077"/>
    <w:rsid w:val="009222ED"/>
    <w:rsid w:val="0092236D"/>
    <w:rsid w:val="00922733"/>
    <w:rsid w:val="00922C87"/>
    <w:rsid w:val="00922F71"/>
    <w:rsid w:val="009230AF"/>
    <w:rsid w:val="00923113"/>
    <w:rsid w:val="00923565"/>
    <w:rsid w:val="0092359D"/>
    <w:rsid w:val="00923657"/>
    <w:rsid w:val="009236AE"/>
    <w:rsid w:val="009236C6"/>
    <w:rsid w:val="009236CB"/>
    <w:rsid w:val="00923756"/>
    <w:rsid w:val="0092382E"/>
    <w:rsid w:val="009239BC"/>
    <w:rsid w:val="00923B07"/>
    <w:rsid w:val="00923C56"/>
    <w:rsid w:val="00923C57"/>
    <w:rsid w:val="00923D0D"/>
    <w:rsid w:val="00923D4B"/>
    <w:rsid w:val="00923E4C"/>
    <w:rsid w:val="00923F95"/>
    <w:rsid w:val="00924086"/>
    <w:rsid w:val="009240E7"/>
    <w:rsid w:val="0092412D"/>
    <w:rsid w:val="00924136"/>
    <w:rsid w:val="009243D5"/>
    <w:rsid w:val="00924484"/>
    <w:rsid w:val="009247A2"/>
    <w:rsid w:val="00924A39"/>
    <w:rsid w:val="00924CBE"/>
    <w:rsid w:val="00924CFE"/>
    <w:rsid w:val="00924F55"/>
    <w:rsid w:val="00925027"/>
    <w:rsid w:val="009252E5"/>
    <w:rsid w:val="00925357"/>
    <w:rsid w:val="00925651"/>
    <w:rsid w:val="0092581D"/>
    <w:rsid w:val="00925B40"/>
    <w:rsid w:val="00925D3C"/>
    <w:rsid w:val="00925DBD"/>
    <w:rsid w:val="00925DD5"/>
    <w:rsid w:val="0092614B"/>
    <w:rsid w:val="0092633B"/>
    <w:rsid w:val="00926395"/>
    <w:rsid w:val="009263F2"/>
    <w:rsid w:val="009264AA"/>
    <w:rsid w:val="0092670C"/>
    <w:rsid w:val="009268EC"/>
    <w:rsid w:val="00926CE0"/>
    <w:rsid w:val="00926D3C"/>
    <w:rsid w:val="00926D84"/>
    <w:rsid w:val="00926DC3"/>
    <w:rsid w:val="00926FCC"/>
    <w:rsid w:val="009270CF"/>
    <w:rsid w:val="00927107"/>
    <w:rsid w:val="00927401"/>
    <w:rsid w:val="009275B8"/>
    <w:rsid w:val="0092792D"/>
    <w:rsid w:val="00927952"/>
    <w:rsid w:val="00927B90"/>
    <w:rsid w:val="00927C12"/>
    <w:rsid w:val="00927CA2"/>
    <w:rsid w:val="0093017F"/>
    <w:rsid w:val="00930359"/>
    <w:rsid w:val="009306DB"/>
    <w:rsid w:val="00930937"/>
    <w:rsid w:val="00930964"/>
    <w:rsid w:val="00930F0F"/>
    <w:rsid w:val="00931112"/>
    <w:rsid w:val="00931531"/>
    <w:rsid w:val="00931667"/>
    <w:rsid w:val="00931A0E"/>
    <w:rsid w:val="00931A42"/>
    <w:rsid w:val="009323B2"/>
    <w:rsid w:val="00932517"/>
    <w:rsid w:val="0093257E"/>
    <w:rsid w:val="009325CD"/>
    <w:rsid w:val="00932623"/>
    <w:rsid w:val="00932672"/>
    <w:rsid w:val="009326D8"/>
    <w:rsid w:val="00932709"/>
    <w:rsid w:val="0093271A"/>
    <w:rsid w:val="00932A20"/>
    <w:rsid w:val="00932AFC"/>
    <w:rsid w:val="00932D82"/>
    <w:rsid w:val="00932DE9"/>
    <w:rsid w:val="00932E6B"/>
    <w:rsid w:val="00932E7D"/>
    <w:rsid w:val="00933004"/>
    <w:rsid w:val="009332A4"/>
    <w:rsid w:val="00933312"/>
    <w:rsid w:val="009333A1"/>
    <w:rsid w:val="0093340C"/>
    <w:rsid w:val="00933514"/>
    <w:rsid w:val="00933EE5"/>
    <w:rsid w:val="00934002"/>
    <w:rsid w:val="0093455C"/>
    <w:rsid w:val="00934890"/>
    <w:rsid w:val="0093489D"/>
    <w:rsid w:val="0093496A"/>
    <w:rsid w:val="00934974"/>
    <w:rsid w:val="0093498A"/>
    <w:rsid w:val="00934B47"/>
    <w:rsid w:val="00934D8F"/>
    <w:rsid w:val="00934DE6"/>
    <w:rsid w:val="00934E86"/>
    <w:rsid w:val="0093560E"/>
    <w:rsid w:val="0093561B"/>
    <w:rsid w:val="00935788"/>
    <w:rsid w:val="00935993"/>
    <w:rsid w:val="00935A88"/>
    <w:rsid w:val="00935BF1"/>
    <w:rsid w:val="00935C28"/>
    <w:rsid w:val="00935C74"/>
    <w:rsid w:val="00935CA6"/>
    <w:rsid w:val="00935EDB"/>
    <w:rsid w:val="00935EF7"/>
    <w:rsid w:val="00936180"/>
    <w:rsid w:val="00936254"/>
    <w:rsid w:val="0093631E"/>
    <w:rsid w:val="00936561"/>
    <w:rsid w:val="009365EE"/>
    <w:rsid w:val="00936631"/>
    <w:rsid w:val="00936697"/>
    <w:rsid w:val="0093669F"/>
    <w:rsid w:val="00936957"/>
    <w:rsid w:val="009369AD"/>
    <w:rsid w:val="00936CF0"/>
    <w:rsid w:val="00936DEE"/>
    <w:rsid w:val="00936E20"/>
    <w:rsid w:val="0093716D"/>
    <w:rsid w:val="00937182"/>
    <w:rsid w:val="00937343"/>
    <w:rsid w:val="00937479"/>
    <w:rsid w:val="009374DE"/>
    <w:rsid w:val="0093768F"/>
    <w:rsid w:val="00937799"/>
    <w:rsid w:val="00937A2B"/>
    <w:rsid w:val="00937C15"/>
    <w:rsid w:val="00937D38"/>
    <w:rsid w:val="00937EAF"/>
    <w:rsid w:val="0094005C"/>
    <w:rsid w:val="00940312"/>
    <w:rsid w:val="0094037C"/>
    <w:rsid w:val="009404CF"/>
    <w:rsid w:val="009407E8"/>
    <w:rsid w:val="00940945"/>
    <w:rsid w:val="00940AB5"/>
    <w:rsid w:val="00940B1D"/>
    <w:rsid w:val="00940C0B"/>
    <w:rsid w:val="00940DB9"/>
    <w:rsid w:val="00940E56"/>
    <w:rsid w:val="00940FF5"/>
    <w:rsid w:val="0094115E"/>
    <w:rsid w:val="00941181"/>
    <w:rsid w:val="00941726"/>
    <w:rsid w:val="0094174F"/>
    <w:rsid w:val="009419F7"/>
    <w:rsid w:val="00941AB6"/>
    <w:rsid w:val="00941AF5"/>
    <w:rsid w:val="00941B54"/>
    <w:rsid w:val="00941F17"/>
    <w:rsid w:val="00941FFF"/>
    <w:rsid w:val="0094208D"/>
    <w:rsid w:val="009425CB"/>
    <w:rsid w:val="009426D5"/>
    <w:rsid w:val="00942B5D"/>
    <w:rsid w:val="00942BBC"/>
    <w:rsid w:val="00942E78"/>
    <w:rsid w:val="00943075"/>
    <w:rsid w:val="00943181"/>
    <w:rsid w:val="009431FD"/>
    <w:rsid w:val="00943237"/>
    <w:rsid w:val="00943261"/>
    <w:rsid w:val="0094337D"/>
    <w:rsid w:val="00943607"/>
    <w:rsid w:val="00943631"/>
    <w:rsid w:val="00943914"/>
    <w:rsid w:val="00943A6C"/>
    <w:rsid w:val="00943AA0"/>
    <w:rsid w:val="00943C3E"/>
    <w:rsid w:val="00943F0E"/>
    <w:rsid w:val="00943F24"/>
    <w:rsid w:val="00943F40"/>
    <w:rsid w:val="00944048"/>
    <w:rsid w:val="0094412C"/>
    <w:rsid w:val="009441D4"/>
    <w:rsid w:val="0094459F"/>
    <w:rsid w:val="009446E1"/>
    <w:rsid w:val="00944931"/>
    <w:rsid w:val="00944942"/>
    <w:rsid w:val="00944A2A"/>
    <w:rsid w:val="00944C30"/>
    <w:rsid w:val="00944F37"/>
    <w:rsid w:val="009452B0"/>
    <w:rsid w:val="009452FF"/>
    <w:rsid w:val="009454B3"/>
    <w:rsid w:val="00945585"/>
    <w:rsid w:val="0094562B"/>
    <w:rsid w:val="009456AE"/>
    <w:rsid w:val="009456C3"/>
    <w:rsid w:val="009456DC"/>
    <w:rsid w:val="0094570B"/>
    <w:rsid w:val="00945812"/>
    <w:rsid w:val="00945900"/>
    <w:rsid w:val="0094597E"/>
    <w:rsid w:val="00945BBC"/>
    <w:rsid w:val="00945CB8"/>
    <w:rsid w:val="00945E9E"/>
    <w:rsid w:val="0094619A"/>
    <w:rsid w:val="009461FA"/>
    <w:rsid w:val="0094620E"/>
    <w:rsid w:val="00946583"/>
    <w:rsid w:val="0094660C"/>
    <w:rsid w:val="00946888"/>
    <w:rsid w:val="00946998"/>
    <w:rsid w:val="00947229"/>
    <w:rsid w:val="0094796C"/>
    <w:rsid w:val="00947CF4"/>
    <w:rsid w:val="0095005F"/>
    <w:rsid w:val="00950152"/>
    <w:rsid w:val="009502FB"/>
    <w:rsid w:val="009502FD"/>
    <w:rsid w:val="00950997"/>
    <w:rsid w:val="00950B10"/>
    <w:rsid w:val="00950EC7"/>
    <w:rsid w:val="00950F3E"/>
    <w:rsid w:val="009511CB"/>
    <w:rsid w:val="00951206"/>
    <w:rsid w:val="009512FB"/>
    <w:rsid w:val="00951553"/>
    <w:rsid w:val="00951576"/>
    <w:rsid w:val="00951737"/>
    <w:rsid w:val="00951B65"/>
    <w:rsid w:val="00951BA0"/>
    <w:rsid w:val="00951DF1"/>
    <w:rsid w:val="00951DFB"/>
    <w:rsid w:val="00951F4D"/>
    <w:rsid w:val="00951FCA"/>
    <w:rsid w:val="00952044"/>
    <w:rsid w:val="00952358"/>
    <w:rsid w:val="00952951"/>
    <w:rsid w:val="009529D9"/>
    <w:rsid w:val="00952A38"/>
    <w:rsid w:val="00952AAB"/>
    <w:rsid w:val="00952DFB"/>
    <w:rsid w:val="00952DFC"/>
    <w:rsid w:val="00952ED3"/>
    <w:rsid w:val="00953001"/>
    <w:rsid w:val="00953156"/>
    <w:rsid w:val="00953507"/>
    <w:rsid w:val="00953557"/>
    <w:rsid w:val="009537BF"/>
    <w:rsid w:val="00953C53"/>
    <w:rsid w:val="00953D06"/>
    <w:rsid w:val="00953D20"/>
    <w:rsid w:val="00953D3E"/>
    <w:rsid w:val="00953DDD"/>
    <w:rsid w:val="00953E23"/>
    <w:rsid w:val="00953E3E"/>
    <w:rsid w:val="009540C5"/>
    <w:rsid w:val="00954178"/>
    <w:rsid w:val="00954312"/>
    <w:rsid w:val="009543FF"/>
    <w:rsid w:val="0095450E"/>
    <w:rsid w:val="00954522"/>
    <w:rsid w:val="0095455C"/>
    <w:rsid w:val="0095498E"/>
    <w:rsid w:val="00954A32"/>
    <w:rsid w:val="00954A4C"/>
    <w:rsid w:val="00954B27"/>
    <w:rsid w:val="00954C29"/>
    <w:rsid w:val="009550BB"/>
    <w:rsid w:val="0095539A"/>
    <w:rsid w:val="0095543B"/>
    <w:rsid w:val="00955A1E"/>
    <w:rsid w:val="00955A25"/>
    <w:rsid w:val="00955CFC"/>
    <w:rsid w:val="00955D3C"/>
    <w:rsid w:val="00955D69"/>
    <w:rsid w:val="00955E8F"/>
    <w:rsid w:val="00955EA7"/>
    <w:rsid w:val="00955F65"/>
    <w:rsid w:val="00955FB2"/>
    <w:rsid w:val="00956018"/>
    <w:rsid w:val="00956154"/>
    <w:rsid w:val="009561E4"/>
    <w:rsid w:val="00956858"/>
    <w:rsid w:val="00956952"/>
    <w:rsid w:val="00956975"/>
    <w:rsid w:val="00956BA2"/>
    <w:rsid w:val="00956BAE"/>
    <w:rsid w:val="00956C5B"/>
    <w:rsid w:val="00956CAF"/>
    <w:rsid w:val="00956D38"/>
    <w:rsid w:val="00956EB4"/>
    <w:rsid w:val="00956F60"/>
    <w:rsid w:val="0095719B"/>
    <w:rsid w:val="00957475"/>
    <w:rsid w:val="0095763F"/>
    <w:rsid w:val="00957711"/>
    <w:rsid w:val="00957716"/>
    <w:rsid w:val="00957844"/>
    <w:rsid w:val="009579E6"/>
    <w:rsid w:val="00957B30"/>
    <w:rsid w:val="00957D9A"/>
    <w:rsid w:val="00957DE4"/>
    <w:rsid w:val="00957DFC"/>
    <w:rsid w:val="0096055C"/>
    <w:rsid w:val="009605E7"/>
    <w:rsid w:val="00960890"/>
    <w:rsid w:val="00960C58"/>
    <w:rsid w:val="00960C75"/>
    <w:rsid w:val="00960CD6"/>
    <w:rsid w:val="00960D35"/>
    <w:rsid w:val="00961049"/>
    <w:rsid w:val="00961190"/>
    <w:rsid w:val="009616B4"/>
    <w:rsid w:val="009618AE"/>
    <w:rsid w:val="00961924"/>
    <w:rsid w:val="00961A6A"/>
    <w:rsid w:val="00961B55"/>
    <w:rsid w:val="00961C15"/>
    <w:rsid w:val="00961DC2"/>
    <w:rsid w:val="00961E27"/>
    <w:rsid w:val="0096223C"/>
    <w:rsid w:val="00962285"/>
    <w:rsid w:val="0096229C"/>
    <w:rsid w:val="00962360"/>
    <w:rsid w:val="00962382"/>
    <w:rsid w:val="009627BA"/>
    <w:rsid w:val="00962842"/>
    <w:rsid w:val="009628C6"/>
    <w:rsid w:val="00962AB1"/>
    <w:rsid w:val="00962AB2"/>
    <w:rsid w:val="00962C16"/>
    <w:rsid w:val="00962C4D"/>
    <w:rsid w:val="00962CAF"/>
    <w:rsid w:val="00962E08"/>
    <w:rsid w:val="00962EE0"/>
    <w:rsid w:val="0096304A"/>
    <w:rsid w:val="00963063"/>
    <w:rsid w:val="009631A1"/>
    <w:rsid w:val="00963322"/>
    <w:rsid w:val="00963601"/>
    <w:rsid w:val="0096377C"/>
    <w:rsid w:val="0096380F"/>
    <w:rsid w:val="0096394C"/>
    <w:rsid w:val="00963996"/>
    <w:rsid w:val="00963A81"/>
    <w:rsid w:val="00963D88"/>
    <w:rsid w:val="00963E35"/>
    <w:rsid w:val="00963E9C"/>
    <w:rsid w:val="0096426D"/>
    <w:rsid w:val="009646CE"/>
    <w:rsid w:val="00964823"/>
    <w:rsid w:val="00964834"/>
    <w:rsid w:val="00964CF0"/>
    <w:rsid w:val="00965073"/>
    <w:rsid w:val="009654DB"/>
    <w:rsid w:val="0096561A"/>
    <w:rsid w:val="009656EE"/>
    <w:rsid w:val="00965A29"/>
    <w:rsid w:val="00965B1A"/>
    <w:rsid w:val="00965BF9"/>
    <w:rsid w:val="00965E21"/>
    <w:rsid w:val="009660B3"/>
    <w:rsid w:val="00966163"/>
    <w:rsid w:val="00966479"/>
    <w:rsid w:val="009667F0"/>
    <w:rsid w:val="00966859"/>
    <w:rsid w:val="00966F0B"/>
    <w:rsid w:val="00967004"/>
    <w:rsid w:val="00967133"/>
    <w:rsid w:val="0096723B"/>
    <w:rsid w:val="00967440"/>
    <w:rsid w:val="00967517"/>
    <w:rsid w:val="009678C6"/>
    <w:rsid w:val="00967ACF"/>
    <w:rsid w:val="00967BE5"/>
    <w:rsid w:val="00967C80"/>
    <w:rsid w:val="00970272"/>
    <w:rsid w:val="009707E3"/>
    <w:rsid w:val="00970880"/>
    <w:rsid w:val="00970FAF"/>
    <w:rsid w:val="00971255"/>
    <w:rsid w:val="00971291"/>
    <w:rsid w:val="009712D3"/>
    <w:rsid w:val="0097136F"/>
    <w:rsid w:val="00971645"/>
    <w:rsid w:val="0097179C"/>
    <w:rsid w:val="009717CC"/>
    <w:rsid w:val="00971914"/>
    <w:rsid w:val="00971AAB"/>
    <w:rsid w:val="00971B68"/>
    <w:rsid w:val="00971BEF"/>
    <w:rsid w:val="00971C60"/>
    <w:rsid w:val="00971D94"/>
    <w:rsid w:val="00971E3D"/>
    <w:rsid w:val="00971FFC"/>
    <w:rsid w:val="00972065"/>
    <w:rsid w:val="009721B4"/>
    <w:rsid w:val="00972500"/>
    <w:rsid w:val="00972554"/>
    <w:rsid w:val="00972668"/>
    <w:rsid w:val="009728CF"/>
    <w:rsid w:val="009729BC"/>
    <w:rsid w:val="009729F2"/>
    <w:rsid w:val="00972A4B"/>
    <w:rsid w:val="00972D34"/>
    <w:rsid w:val="00972F28"/>
    <w:rsid w:val="00972FDE"/>
    <w:rsid w:val="009732AA"/>
    <w:rsid w:val="009733FF"/>
    <w:rsid w:val="00973410"/>
    <w:rsid w:val="009735E6"/>
    <w:rsid w:val="009736A7"/>
    <w:rsid w:val="009736EA"/>
    <w:rsid w:val="00973765"/>
    <w:rsid w:val="0097394C"/>
    <w:rsid w:val="009739BA"/>
    <w:rsid w:val="00973A9B"/>
    <w:rsid w:val="00973CD6"/>
    <w:rsid w:val="00973E3A"/>
    <w:rsid w:val="0097411D"/>
    <w:rsid w:val="0097416E"/>
    <w:rsid w:val="00974854"/>
    <w:rsid w:val="0097499A"/>
    <w:rsid w:val="00974A06"/>
    <w:rsid w:val="00974ACB"/>
    <w:rsid w:val="00974E48"/>
    <w:rsid w:val="00974E5A"/>
    <w:rsid w:val="00974F47"/>
    <w:rsid w:val="00974FAB"/>
    <w:rsid w:val="00975083"/>
    <w:rsid w:val="00975280"/>
    <w:rsid w:val="00975503"/>
    <w:rsid w:val="009758A8"/>
    <w:rsid w:val="00975A1F"/>
    <w:rsid w:val="00975C96"/>
    <w:rsid w:val="00975D72"/>
    <w:rsid w:val="00976203"/>
    <w:rsid w:val="0097628A"/>
    <w:rsid w:val="009762B6"/>
    <w:rsid w:val="00976357"/>
    <w:rsid w:val="009764E5"/>
    <w:rsid w:val="009766D6"/>
    <w:rsid w:val="0097677C"/>
    <w:rsid w:val="00976A29"/>
    <w:rsid w:val="00976A77"/>
    <w:rsid w:val="00976A99"/>
    <w:rsid w:val="00976CE9"/>
    <w:rsid w:val="00976DCC"/>
    <w:rsid w:val="00976DE8"/>
    <w:rsid w:val="00976E92"/>
    <w:rsid w:val="00976FAD"/>
    <w:rsid w:val="009773A5"/>
    <w:rsid w:val="0097741A"/>
    <w:rsid w:val="00977548"/>
    <w:rsid w:val="00977741"/>
    <w:rsid w:val="00977A4D"/>
    <w:rsid w:val="00977ADD"/>
    <w:rsid w:val="00977B5E"/>
    <w:rsid w:val="00977B77"/>
    <w:rsid w:val="00977CF1"/>
    <w:rsid w:val="00977F65"/>
    <w:rsid w:val="00977F6B"/>
    <w:rsid w:val="0098005D"/>
    <w:rsid w:val="00980223"/>
    <w:rsid w:val="0098022B"/>
    <w:rsid w:val="009807EA"/>
    <w:rsid w:val="0098085E"/>
    <w:rsid w:val="009808A5"/>
    <w:rsid w:val="0098093F"/>
    <w:rsid w:val="00980982"/>
    <w:rsid w:val="00980AB3"/>
    <w:rsid w:val="00980B2F"/>
    <w:rsid w:val="00980BC7"/>
    <w:rsid w:val="00980BCA"/>
    <w:rsid w:val="00980BFD"/>
    <w:rsid w:val="00980C5E"/>
    <w:rsid w:val="00980D6C"/>
    <w:rsid w:val="00980DAF"/>
    <w:rsid w:val="00980E18"/>
    <w:rsid w:val="00980EC8"/>
    <w:rsid w:val="0098129B"/>
    <w:rsid w:val="0098184A"/>
    <w:rsid w:val="009818DA"/>
    <w:rsid w:val="009819C3"/>
    <w:rsid w:val="00981E9B"/>
    <w:rsid w:val="009820B7"/>
    <w:rsid w:val="0098213E"/>
    <w:rsid w:val="00982224"/>
    <w:rsid w:val="00982356"/>
    <w:rsid w:val="0098238D"/>
    <w:rsid w:val="0098250E"/>
    <w:rsid w:val="00982547"/>
    <w:rsid w:val="0098256B"/>
    <w:rsid w:val="00982661"/>
    <w:rsid w:val="009827C1"/>
    <w:rsid w:val="009829E4"/>
    <w:rsid w:val="00982A2D"/>
    <w:rsid w:val="00982B84"/>
    <w:rsid w:val="00982C93"/>
    <w:rsid w:val="00982D6A"/>
    <w:rsid w:val="00982E3F"/>
    <w:rsid w:val="00982F34"/>
    <w:rsid w:val="0098303C"/>
    <w:rsid w:val="009830AB"/>
    <w:rsid w:val="009830FE"/>
    <w:rsid w:val="00983112"/>
    <w:rsid w:val="0098317B"/>
    <w:rsid w:val="00983182"/>
    <w:rsid w:val="009833F3"/>
    <w:rsid w:val="009835BD"/>
    <w:rsid w:val="009835F0"/>
    <w:rsid w:val="00983615"/>
    <w:rsid w:val="009837AE"/>
    <w:rsid w:val="00984026"/>
    <w:rsid w:val="00984181"/>
    <w:rsid w:val="0098418B"/>
    <w:rsid w:val="009842F6"/>
    <w:rsid w:val="009843CB"/>
    <w:rsid w:val="009844DB"/>
    <w:rsid w:val="0098492D"/>
    <w:rsid w:val="00984A65"/>
    <w:rsid w:val="00984BD4"/>
    <w:rsid w:val="00984F38"/>
    <w:rsid w:val="0098527C"/>
    <w:rsid w:val="00985524"/>
    <w:rsid w:val="0098556D"/>
    <w:rsid w:val="009856EF"/>
    <w:rsid w:val="0098571F"/>
    <w:rsid w:val="00985964"/>
    <w:rsid w:val="00985ADE"/>
    <w:rsid w:val="00985AFE"/>
    <w:rsid w:val="00985C44"/>
    <w:rsid w:val="00985D09"/>
    <w:rsid w:val="00985D9D"/>
    <w:rsid w:val="00985E2C"/>
    <w:rsid w:val="00986007"/>
    <w:rsid w:val="009863B6"/>
    <w:rsid w:val="0098640B"/>
    <w:rsid w:val="009864E9"/>
    <w:rsid w:val="00986A8F"/>
    <w:rsid w:val="00986B57"/>
    <w:rsid w:val="00986BC2"/>
    <w:rsid w:val="00986D7C"/>
    <w:rsid w:val="00986DEB"/>
    <w:rsid w:val="00986EC5"/>
    <w:rsid w:val="0098736C"/>
    <w:rsid w:val="009873E2"/>
    <w:rsid w:val="00987403"/>
    <w:rsid w:val="009876F6"/>
    <w:rsid w:val="00987EBB"/>
    <w:rsid w:val="00990077"/>
    <w:rsid w:val="00990237"/>
    <w:rsid w:val="00990397"/>
    <w:rsid w:val="00990438"/>
    <w:rsid w:val="0099058E"/>
    <w:rsid w:val="009905EA"/>
    <w:rsid w:val="009906AC"/>
    <w:rsid w:val="0099074D"/>
    <w:rsid w:val="009909F7"/>
    <w:rsid w:val="00990A15"/>
    <w:rsid w:val="00990F3B"/>
    <w:rsid w:val="00991107"/>
    <w:rsid w:val="009911A2"/>
    <w:rsid w:val="009911EE"/>
    <w:rsid w:val="00991241"/>
    <w:rsid w:val="00991406"/>
    <w:rsid w:val="00991415"/>
    <w:rsid w:val="009914EC"/>
    <w:rsid w:val="00991509"/>
    <w:rsid w:val="00991533"/>
    <w:rsid w:val="009917C8"/>
    <w:rsid w:val="009918DC"/>
    <w:rsid w:val="009919C3"/>
    <w:rsid w:val="00991A2D"/>
    <w:rsid w:val="00992160"/>
    <w:rsid w:val="00992219"/>
    <w:rsid w:val="00992305"/>
    <w:rsid w:val="00992335"/>
    <w:rsid w:val="009923BB"/>
    <w:rsid w:val="00992535"/>
    <w:rsid w:val="00992773"/>
    <w:rsid w:val="00992795"/>
    <w:rsid w:val="009927D9"/>
    <w:rsid w:val="009927DA"/>
    <w:rsid w:val="00992A1C"/>
    <w:rsid w:val="00992A58"/>
    <w:rsid w:val="00992BEC"/>
    <w:rsid w:val="00992E97"/>
    <w:rsid w:val="00992F26"/>
    <w:rsid w:val="00993075"/>
    <w:rsid w:val="00993124"/>
    <w:rsid w:val="009932A7"/>
    <w:rsid w:val="009933BA"/>
    <w:rsid w:val="00993468"/>
    <w:rsid w:val="009935D3"/>
    <w:rsid w:val="00993903"/>
    <w:rsid w:val="00993A79"/>
    <w:rsid w:val="00993B40"/>
    <w:rsid w:val="00993E15"/>
    <w:rsid w:val="00993EB0"/>
    <w:rsid w:val="00993F20"/>
    <w:rsid w:val="00994108"/>
    <w:rsid w:val="009944B3"/>
    <w:rsid w:val="009944C9"/>
    <w:rsid w:val="009944D5"/>
    <w:rsid w:val="00994707"/>
    <w:rsid w:val="00994904"/>
    <w:rsid w:val="00994946"/>
    <w:rsid w:val="0099498D"/>
    <w:rsid w:val="00994A2E"/>
    <w:rsid w:val="00994BF0"/>
    <w:rsid w:val="00994CD9"/>
    <w:rsid w:val="00994E11"/>
    <w:rsid w:val="0099517E"/>
    <w:rsid w:val="00995452"/>
    <w:rsid w:val="009954C8"/>
    <w:rsid w:val="0099585D"/>
    <w:rsid w:val="00995956"/>
    <w:rsid w:val="00995978"/>
    <w:rsid w:val="00995A5B"/>
    <w:rsid w:val="00995A78"/>
    <w:rsid w:val="00995B95"/>
    <w:rsid w:val="00995EFF"/>
    <w:rsid w:val="00995F65"/>
    <w:rsid w:val="0099600C"/>
    <w:rsid w:val="00996315"/>
    <w:rsid w:val="00996361"/>
    <w:rsid w:val="0099642D"/>
    <w:rsid w:val="00996445"/>
    <w:rsid w:val="00996726"/>
    <w:rsid w:val="00996DB5"/>
    <w:rsid w:val="00996FAD"/>
    <w:rsid w:val="00997265"/>
    <w:rsid w:val="009972E0"/>
    <w:rsid w:val="009973D9"/>
    <w:rsid w:val="009975E5"/>
    <w:rsid w:val="0099760E"/>
    <w:rsid w:val="009977D8"/>
    <w:rsid w:val="00997A27"/>
    <w:rsid w:val="00997A89"/>
    <w:rsid w:val="00997AD1"/>
    <w:rsid w:val="00997B1F"/>
    <w:rsid w:val="00997B8C"/>
    <w:rsid w:val="00997E45"/>
    <w:rsid w:val="00997E68"/>
    <w:rsid w:val="00997FE9"/>
    <w:rsid w:val="009A0090"/>
    <w:rsid w:val="009A00EB"/>
    <w:rsid w:val="009A0144"/>
    <w:rsid w:val="009A029B"/>
    <w:rsid w:val="009A03E5"/>
    <w:rsid w:val="009A04E4"/>
    <w:rsid w:val="009A0658"/>
    <w:rsid w:val="009A0761"/>
    <w:rsid w:val="009A0767"/>
    <w:rsid w:val="009A0932"/>
    <w:rsid w:val="009A0A0A"/>
    <w:rsid w:val="009A0B66"/>
    <w:rsid w:val="009A0C0C"/>
    <w:rsid w:val="009A0E8A"/>
    <w:rsid w:val="009A0EB0"/>
    <w:rsid w:val="009A0F17"/>
    <w:rsid w:val="009A0FC4"/>
    <w:rsid w:val="009A101D"/>
    <w:rsid w:val="009A11F1"/>
    <w:rsid w:val="009A1549"/>
    <w:rsid w:val="009A1671"/>
    <w:rsid w:val="009A167E"/>
    <w:rsid w:val="009A1770"/>
    <w:rsid w:val="009A1A50"/>
    <w:rsid w:val="009A1A6D"/>
    <w:rsid w:val="009A1BCA"/>
    <w:rsid w:val="009A1D8A"/>
    <w:rsid w:val="009A1DEA"/>
    <w:rsid w:val="009A1FEF"/>
    <w:rsid w:val="009A2087"/>
    <w:rsid w:val="009A209E"/>
    <w:rsid w:val="009A2427"/>
    <w:rsid w:val="009A2554"/>
    <w:rsid w:val="009A262A"/>
    <w:rsid w:val="009A26E1"/>
    <w:rsid w:val="009A28EF"/>
    <w:rsid w:val="009A2919"/>
    <w:rsid w:val="009A2AA2"/>
    <w:rsid w:val="009A2AEE"/>
    <w:rsid w:val="009A2C39"/>
    <w:rsid w:val="009A30BF"/>
    <w:rsid w:val="009A321E"/>
    <w:rsid w:val="009A3395"/>
    <w:rsid w:val="009A379B"/>
    <w:rsid w:val="009A3C57"/>
    <w:rsid w:val="009A3CE2"/>
    <w:rsid w:val="009A4104"/>
    <w:rsid w:val="009A415F"/>
    <w:rsid w:val="009A4206"/>
    <w:rsid w:val="009A44F4"/>
    <w:rsid w:val="009A46A2"/>
    <w:rsid w:val="009A473A"/>
    <w:rsid w:val="009A494A"/>
    <w:rsid w:val="009A4A7F"/>
    <w:rsid w:val="009A4B33"/>
    <w:rsid w:val="009A4D13"/>
    <w:rsid w:val="009A4DC7"/>
    <w:rsid w:val="009A4EEC"/>
    <w:rsid w:val="009A514D"/>
    <w:rsid w:val="009A51FA"/>
    <w:rsid w:val="009A52D1"/>
    <w:rsid w:val="009A54A9"/>
    <w:rsid w:val="009A54CE"/>
    <w:rsid w:val="009A55BA"/>
    <w:rsid w:val="009A594D"/>
    <w:rsid w:val="009A5B0C"/>
    <w:rsid w:val="009A5B6F"/>
    <w:rsid w:val="009A5F3C"/>
    <w:rsid w:val="009A5F7B"/>
    <w:rsid w:val="009A614B"/>
    <w:rsid w:val="009A66F1"/>
    <w:rsid w:val="009A6769"/>
    <w:rsid w:val="009A6829"/>
    <w:rsid w:val="009A68EF"/>
    <w:rsid w:val="009A69ED"/>
    <w:rsid w:val="009A6A1C"/>
    <w:rsid w:val="009A6E43"/>
    <w:rsid w:val="009A6EB7"/>
    <w:rsid w:val="009A742A"/>
    <w:rsid w:val="009A7430"/>
    <w:rsid w:val="009A7687"/>
    <w:rsid w:val="009A772F"/>
    <w:rsid w:val="009A7784"/>
    <w:rsid w:val="009A7873"/>
    <w:rsid w:val="009A79D8"/>
    <w:rsid w:val="009A7B04"/>
    <w:rsid w:val="009A7DE5"/>
    <w:rsid w:val="009B010A"/>
    <w:rsid w:val="009B0843"/>
    <w:rsid w:val="009B09D3"/>
    <w:rsid w:val="009B09F1"/>
    <w:rsid w:val="009B0B46"/>
    <w:rsid w:val="009B0C9C"/>
    <w:rsid w:val="009B0E22"/>
    <w:rsid w:val="009B0E32"/>
    <w:rsid w:val="009B0FA3"/>
    <w:rsid w:val="009B1075"/>
    <w:rsid w:val="009B1160"/>
    <w:rsid w:val="009B1197"/>
    <w:rsid w:val="009B122F"/>
    <w:rsid w:val="009B126D"/>
    <w:rsid w:val="009B1478"/>
    <w:rsid w:val="009B14B2"/>
    <w:rsid w:val="009B1664"/>
    <w:rsid w:val="009B1666"/>
    <w:rsid w:val="009B169F"/>
    <w:rsid w:val="009B182C"/>
    <w:rsid w:val="009B1AB2"/>
    <w:rsid w:val="009B1BAA"/>
    <w:rsid w:val="009B1C55"/>
    <w:rsid w:val="009B1C89"/>
    <w:rsid w:val="009B1CC7"/>
    <w:rsid w:val="009B1F63"/>
    <w:rsid w:val="009B218A"/>
    <w:rsid w:val="009B21A7"/>
    <w:rsid w:val="009B225B"/>
    <w:rsid w:val="009B24F1"/>
    <w:rsid w:val="009B256D"/>
    <w:rsid w:val="009B256F"/>
    <w:rsid w:val="009B2835"/>
    <w:rsid w:val="009B2887"/>
    <w:rsid w:val="009B28AB"/>
    <w:rsid w:val="009B2986"/>
    <w:rsid w:val="009B2AE6"/>
    <w:rsid w:val="009B2B5C"/>
    <w:rsid w:val="009B2EE0"/>
    <w:rsid w:val="009B2FC4"/>
    <w:rsid w:val="009B3062"/>
    <w:rsid w:val="009B32A1"/>
    <w:rsid w:val="009B3348"/>
    <w:rsid w:val="009B359B"/>
    <w:rsid w:val="009B35D8"/>
    <w:rsid w:val="009B3803"/>
    <w:rsid w:val="009B3A58"/>
    <w:rsid w:val="009B3BB5"/>
    <w:rsid w:val="009B3CE5"/>
    <w:rsid w:val="009B3D59"/>
    <w:rsid w:val="009B3F84"/>
    <w:rsid w:val="009B41C5"/>
    <w:rsid w:val="009B42D3"/>
    <w:rsid w:val="009B44B5"/>
    <w:rsid w:val="009B46EC"/>
    <w:rsid w:val="009B47FF"/>
    <w:rsid w:val="009B4B4F"/>
    <w:rsid w:val="009B4B75"/>
    <w:rsid w:val="009B4DD9"/>
    <w:rsid w:val="009B4FB8"/>
    <w:rsid w:val="009B528A"/>
    <w:rsid w:val="009B52E5"/>
    <w:rsid w:val="009B55CE"/>
    <w:rsid w:val="009B5743"/>
    <w:rsid w:val="009B5B66"/>
    <w:rsid w:val="009B5CDF"/>
    <w:rsid w:val="009B5DE2"/>
    <w:rsid w:val="009B5E7F"/>
    <w:rsid w:val="009B5E97"/>
    <w:rsid w:val="009B62B7"/>
    <w:rsid w:val="009B6429"/>
    <w:rsid w:val="009B653F"/>
    <w:rsid w:val="009B65DE"/>
    <w:rsid w:val="009B6626"/>
    <w:rsid w:val="009B664D"/>
    <w:rsid w:val="009B67EE"/>
    <w:rsid w:val="009B6880"/>
    <w:rsid w:val="009B6E51"/>
    <w:rsid w:val="009B6E6D"/>
    <w:rsid w:val="009B6FBC"/>
    <w:rsid w:val="009B7197"/>
    <w:rsid w:val="009B760F"/>
    <w:rsid w:val="009B77A4"/>
    <w:rsid w:val="009B7883"/>
    <w:rsid w:val="009B7A00"/>
    <w:rsid w:val="009B7A12"/>
    <w:rsid w:val="009B7A31"/>
    <w:rsid w:val="009B7BA0"/>
    <w:rsid w:val="009B7DDC"/>
    <w:rsid w:val="009B7EF5"/>
    <w:rsid w:val="009C01F9"/>
    <w:rsid w:val="009C0207"/>
    <w:rsid w:val="009C0425"/>
    <w:rsid w:val="009C05CC"/>
    <w:rsid w:val="009C070A"/>
    <w:rsid w:val="009C0993"/>
    <w:rsid w:val="009C09A1"/>
    <w:rsid w:val="009C0E16"/>
    <w:rsid w:val="009C122E"/>
    <w:rsid w:val="009C125E"/>
    <w:rsid w:val="009C1764"/>
    <w:rsid w:val="009C19A7"/>
    <w:rsid w:val="009C1A38"/>
    <w:rsid w:val="009C1ABF"/>
    <w:rsid w:val="009C1C1F"/>
    <w:rsid w:val="009C1CAD"/>
    <w:rsid w:val="009C1D6B"/>
    <w:rsid w:val="009C1FF6"/>
    <w:rsid w:val="009C21A3"/>
    <w:rsid w:val="009C22AC"/>
    <w:rsid w:val="009C23BA"/>
    <w:rsid w:val="009C26C3"/>
    <w:rsid w:val="009C27AD"/>
    <w:rsid w:val="009C305B"/>
    <w:rsid w:val="009C311D"/>
    <w:rsid w:val="009C31D2"/>
    <w:rsid w:val="009C31DA"/>
    <w:rsid w:val="009C3200"/>
    <w:rsid w:val="009C3696"/>
    <w:rsid w:val="009C383F"/>
    <w:rsid w:val="009C38C7"/>
    <w:rsid w:val="009C394D"/>
    <w:rsid w:val="009C3AD6"/>
    <w:rsid w:val="009C3D61"/>
    <w:rsid w:val="009C40CA"/>
    <w:rsid w:val="009C4365"/>
    <w:rsid w:val="009C4563"/>
    <w:rsid w:val="009C45D7"/>
    <w:rsid w:val="009C47CF"/>
    <w:rsid w:val="009C48A3"/>
    <w:rsid w:val="009C4AD8"/>
    <w:rsid w:val="009C4AEE"/>
    <w:rsid w:val="009C4D2D"/>
    <w:rsid w:val="009C4E47"/>
    <w:rsid w:val="009C4F65"/>
    <w:rsid w:val="009C4FCD"/>
    <w:rsid w:val="009C5011"/>
    <w:rsid w:val="009C52B4"/>
    <w:rsid w:val="009C52B6"/>
    <w:rsid w:val="009C52FC"/>
    <w:rsid w:val="009C5313"/>
    <w:rsid w:val="009C54A3"/>
    <w:rsid w:val="009C5536"/>
    <w:rsid w:val="009C56AB"/>
    <w:rsid w:val="009C59BA"/>
    <w:rsid w:val="009C5D26"/>
    <w:rsid w:val="009C5E95"/>
    <w:rsid w:val="009C5FE9"/>
    <w:rsid w:val="009C6118"/>
    <w:rsid w:val="009C6324"/>
    <w:rsid w:val="009C63DF"/>
    <w:rsid w:val="009C6669"/>
    <w:rsid w:val="009C66CF"/>
    <w:rsid w:val="009C672B"/>
    <w:rsid w:val="009C6848"/>
    <w:rsid w:val="009C6879"/>
    <w:rsid w:val="009C698F"/>
    <w:rsid w:val="009C6C35"/>
    <w:rsid w:val="009C6C40"/>
    <w:rsid w:val="009C7560"/>
    <w:rsid w:val="009C7725"/>
    <w:rsid w:val="009C77E5"/>
    <w:rsid w:val="009C7EA5"/>
    <w:rsid w:val="009C7F8B"/>
    <w:rsid w:val="009D0121"/>
    <w:rsid w:val="009D0160"/>
    <w:rsid w:val="009D0306"/>
    <w:rsid w:val="009D036D"/>
    <w:rsid w:val="009D0555"/>
    <w:rsid w:val="009D0574"/>
    <w:rsid w:val="009D0580"/>
    <w:rsid w:val="009D05C3"/>
    <w:rsid w:val="009D083F"/>
    <w:rsid w:val="009D09AB"/>
    <w:rsid w:val="009D0AD5"/>
    <w:rsid w:val="009D0C5A"/>
    <w:rsid w:val="009D0CAD"/>
    <w:rsid w:val="009D0DD2"/>
    <w:rsid w:val="009D0FCF"/>
    <w:rsid w:val="009D1205"/>
    <w:rsid w:val="009D132D"/>
    <w:rsid w:val="009D1742"/>
    <w:rsid w:val="009D18B6"/>
    <w:rsid w:val="009D19DF"/>
    <w:rsid w:val="009D1AC3"/>
    <w:rsid w:val="009D1B03"/>
    <w:rsid w:val="009D1CB7"/>
    <w:rsid w:val="009D1FDB"/>
    <w:rsid w:val="009D2071"/>
    <w:rsid w:val="009D21DD"/>
    <w:rsid w:val="009D21E9"/>
    <w:rsid w:val="009D2485"/>
    <w:rsid w:val="009D2581"/>
    <w:rsid w:val="009D259C"/>
    <w:rsid w:val="009D283D"/>
    <w:rsid w:val="009D28C2"/>
    <w:rsid w:val="009D2D31"/>
    <w:rsid w:val="009D2D37"/>
    <w:rsid w:val="009D2E27"/>
    <w:rsid w:val="009D2FD9"/>
    <w:rsid w:val="009D32D7"/>
    <w:rsid w:val="009D3330"/>
    <w:rsid w:val="009D345D"/>
    <w:rsid w:val="009D37D6"/>
    <w:rsid w:val="009D3AB3"/>
    <w:rsid w:val="009D3AC1"/>
    <w:rsid w:val="009D40A0"/>
    <w:rsid w:val="009D4332"/>
    <w:rsid w:val="009D463E"/>
    <w:rsid w:val="009D4714"/>
    <w:rsid w:val="009D4884"/>
    <w:rsid w:val="009D48ED"/>
    <w:rsid w:val="009D4B4D"/>
    <w:rsid w:val="009D4D18"/>
    <w:rsid w:val="009D4D4B"/>
    <w:rsid w:val="009D4EFF"/>
    <w:rsid w:val="009D500E"/>
    <w:rsid w:val="009D508F"/>
    <w:rsid w:val="009D5139"/>
    <w:rsid w:val="009D5209"/>
    <w:rsid w:val="009D5503"/>
    <w:rsid w:val="009D566E"/>
    <w:rsid w:val="009D571B"/>
    <w:rsid w:val="009D587B"/>
    <w:rsid w:val="009D5A3E"/>
    <w:rsid w:val="009D5A97"/>
    <w:rsid w:val="009D5B93"/>
    <w:rsid w:val="009D5CBB"/>
    <w:rsid w:val="009D5F65"/>
    <w:rsid w:val="009D6270"/>
    <w:rsid w:val="009D62FD"/>
    <w:rsid w:val="009D6458"/>
    <w:rsid w:val="009D6508"/>
    <w:rsid w:val="009D67AF"/>
    <w:rsid w:val="009D6A1B"/>
    <w:rsid w:val="009D6C90"/>
    <w:rsid w:val="009D6DE2"/>
    <w:rsid w:val="009D6E33"/>
    <w:rsid w:val="009D6E82"/>
    <w:rsid w:val="009D6FE8"/>
    <w:rsid w:val="009D70C2"/>
    <w:rsid w:val="009D70DE"/>
    <w:rsid w:val="009D7447"/>
    <w:rsid w:val="009D7562"/>
    <w:rsid w:val="009D75F2"/>
    <w:rsid w:val="009D7712"/>
    <w:rsid w:val="009D7745"/>
    <w:rsid w:val="009D78FD"/>
    <w:rsid w:val="009D799C"/>
    <w:rsid w:val="009D7BCE"/>
    <w:rsid w:val="009D7CD6"/>
    <w:rsid w:val="009D7D23"/>
    <w:rsid w:val="009E00F6"/>
    <w:rsid w:val="009E0216"/>
    <w:rsid w:val="009E032C"/>
    <w:rsid w:val="009E0572"/>
    <w:rsid w:val="009E0775"/>
    <w:rsid w:val="009E078F"/>
    <w:rsid w:val="009E0865"/>
    <w:rsid w:val="009E0A60"/>
    <w:rsid w:val="009E0E46"/>
    <w:rsid w:val="009E102B"/>
    <w:rsid w:val="009E1102"/>
    <w:rsid w:val="009E1379"/>
    <w:rsid w:val="009E15BE"/>
    <w:rsid w:val="009E1656"/>
    <w:rsid w:val="009E1B12"/>
    <w:rsid w:val="009E21F3"/>
    <w:rsid w:val="009E22F5"/>
    <w:rsid w:val="009E2366"/>
    <w:rsid w:val="009E267D"/>
    <w:rsid w:val="009E295D"/>
    <w:rsid w:val="009E2E94"/>
    <w:rsid w:val="009E2ED6"/>
    <w:rsid w:val="009E300B"/>
    <w:rsid w:val="009E30F9"/>
    <w:rsid w:val="009E3445"/>
    <w:rsid w:val="009E377F"/>
    <w:rsid w:val="009E3D00"/>
    <w:rsid w:val="009E4123"/>
    <w:rsid w:val="009E452D"/>
    <w:rsid w:val="009E4691"/>
    <w:rsid w:val="009E48DE"/>
    <w:rsid w:val="009E4D59"/>
    <w:rsid w:val="009E4D60"/>
    <w:rsid w:val="009E4F43"/>
    <w:rsid w:val="009E500A"/>
    <w:rsid w:val="009E5120"/>
    <w:rsid w:val="009E524F"/>
    <w:rsid w:val="009E52D8"/>
    <w:rsid w:val="009E560F"/>
    <w:rsid w:val="009E57CF"/>
    <w:rsid w:val="009E58E8"/>
    <w:rsid w:val="009E5A8D"/>
    <w:rsid w:val="009E61B1"/>
    <w:rsid w:val="009E64ED"/>
    <w:rsid w:val="009E65B4"/>
    <w:rsid w:val="009E69DA"/>
    <w:rsid w:val="009E6A98"/>
    <w:rsid w:val="009E6DB8"/>
    <w:rsid w:val="009E6DBB"/>
    <w:rsid w:val="009E6EEF"/>
    <w:rsid w:val="009E6F27"/>
    <w:rsid w:val="009E7079"/>
    <w:rsid w:val="009E7116"/>
    <w:rsid w:val="009E7173"/>
    <w:rsid w:val="009E725A"/>
    <w:rsid w:val="009E72CA"/>
    <w:rsid w:val="009E7497"/>
    <w:rsid w:val="009E7669"/>
    <w:rsid w:val="009E784F"/>
    <w:rsid w:val="009E7944"/>
    <w:rsid w:val="009E7AB4"/>
    <w:rsid w:val="009E7DB6"/>
    <w:rsid w:val="009F0188"/>
    <w:rsid w:val="009F01D8"/>
    <w:rsid w:val="009F039A"/>
    <w:rsid w:val="009F0552"/>
    <w:rsid w:val="009F0940"/>
    <w:rsid w:val="009F0E32"/>
    <w:rsid w:val="009F1113"/>
    <w:rsid w:val="009F11E9"/>
    <w:rsid w:val="009F1962"/>
    <w:rsid w:val="009F1A3E"/>
    <w:rsid w:val="009F1B2B"/>
    <w:rsid w:val="009F1B8C"/>
    <w:rsid w:val="009F1E8A"/>
    <w:rsid w:val="009F1F12"/>
    <w:rsid w:val="009F1F19"/>
    <w:rsid w:val="009F2356"/>
    <w:rsid w:val="009F23A6"/>
    <w:rsid w:val="009F23E5"/>
    <w:rsid w:val="009F2508"/>
    <w:rsid w:val="009F2C9B"/>
    <w:rsid w:val="009F2E10"/>
    <w:rsid w:val="009F3272"/>
    <w:rsid w:val="009F32C8"/>
    <w:rsid w:val="009F33EC"/>
    <w:rsid w:val="009F34DD"/>
    <w:rsid w:val="009F37CA"/>
    <w:rsid w:val="009F38C8"/>
    <w:rsid w:val="009F3D17"/>
    <w:rsid w:val="009F4077"/>
    <w:rsid w:val="009F433C"/>
    <w:rsid w:val="009F43BE"/>
    <w:rsid w:val="009F43F7"/>
    <w:rsid w:val="009F4CD4"/>
    <w:rsid w:val="009F5492"/>
    <w:rsid w:val="009F54B1"/>
    <w:rsid w:val="009F54B9"/>
    <w:rsid w:val="009F56B4"/>
    <w:rsid w:val="009F587C"/>
    <w:rsid w:val="009F5909"/>
    <w:rsid w:val="009F5943"/>
    <w:rsid w:val="009F5A37"/>
    <w:rsid w:val="009F6084"/>
    <w:rsid w:val="009F6213"/>
    <w:rsid w:val="009F63D3"/>
    <w:rsid w:val="009F6720"/>
    <w:rsid w:val="009F6850"/>
    <w:rsid w:val="009F6AFB"/>
    <w:rsid w:val="009F6E02"/>
    <w:rsid w:val="009F6F69"/>
    <w:rsid w:val="009F7060"/>
    <w:rsid w:val="009F748A"/>
    <w:rsid w:val="009F74F9"/>
    <w:rsid w:val="009F7632"/>
    <w:rsid w:val="009F76B7"/>
    <w:rsid w:val="009F7775"/>
    <w:rsid w:val="009F7B53"/>
    <w:rsid w:val="00A000CB"/>
    <w:rsid w:val="00A004D7"/>
    <w:rsid w:val="00A008F0"/>
    <w:rsid w:val="00A00CAC"/>
    <w:rsid w:val="00A00D8A"/>
    <w:rsid w:val="00A01153"/>
    <w:rsid w:val="00A014E3"/>
    <w:rsid w:val="00A0165B"/>
    <w:rsid w:val="00A018A9"/>
    <w:rsid w:val="00A01C3D"/>
    <w:rsid w:val="00A01D17"/>
    <w:rsid w:val="00A01E9A"/>
    <w:rsid w:val="00A020DB"/>
    <w:rsid w:val="00A0213E"/>
    <w:rsid w:val="00A02165"/>
    <w:rsid w:val="00A02398"/>
    <w:rsid w:val="00A025F8"/>
    <w:rsid w:val="00A02804"/>
    <w:rsid w:val="00A02944"/>
    <w:rsid w:val="00A029C7"/>
    <w:rsid w:val="00A02E3D"/>
    <w:rsid w:val="00A02EAE"/>
    <w:rsid w:val="00A02EE2"/>
    <w:rsid w:val="00A03252"/>
    <w:rsid w:val="00A034F5"/>
    <w:rsid w:val="00A03510"/>
    <w:rsid w:val="00A03930"/>
    <w:rsid w:val="00A0393D"/>
    <w:rsid w:val="00A03A66"/>
    <w:rsid w:val="00A03B9E"/>
    <w:rsid w:val="00A03DF1"/>
    <w:rsid w:val="00A03F6A"/>
    <w:rsid w:val="00A03FE1"/>
    <w:rsid w:val="00A040C4"/>
    <w:rsid w:val="00A040D0"/>
    <w:rsid w:val="00A044E2"/>
    <w:rsid w:val="00A04589"/>
    <w:rsid w:val="00A04D76"/>
    <w:rsid w:val="00A04E10"/>
    <w:rsid w:val="00A04EA0"/>
    <w:rsid w:val="00A04EA8"/>
    <w:rsid w:val="00A04FC2"/>
    <w:rsid w:val="00A04FE6"/>
    <w:rsid w:val="00A051A6"/>
    <w:rsid w:val="00A05298"/>
    <w:rsid w:val="00A052BA"/>
    <w:rsid w:val="00A0544C"/>
    <w:rsid w:val="00A054C5"/>
    <w:rsid w:val="00A054DA"/>
    <w:rsid w:val="00A0561B"/>
    <w:rsid w:val="00A0599B"/>
    <w:rsid w:val="00A05D90"/>
    <w:rsid w:val="00A06368"/>
    <w:rsid w:val="00A063F9"/>
    <w:rsid w:val="00A066D3"/>
    <w:rsid w:val="00A067F5"/>
    <w:rsid w:val="00A06822"/>
    <w:rsid w:val="00A06AB8"/>
    <w:rsid w:val="00A06D64"/>
    <w:rsid w:val="00A06FC6"/>
    <w:rsid w:val="00A07186"/>
    <w:rsid w:val="00A07289"/>
    <w:rsid w:val="00A072E7"/>
    <w:rsid w:val="00A0738A"/>
    <w:rsid w:val="00A073CC"/>
    <w:rsid w:val="00A07473"/>
    <w:rsid w:val="00A074AD"/>
    <w:rsid w:val="00A0777E"/>
    <w:rsid w:val="00A078BA"/>
    <w:rsid w:val="00A07C07"/>
    <w:rsid w:val="00A07D62"/>
    <w:rsid w:val="00A07DDF"/>
    <w:rsid w:val="00A07EE6"/>
    <w:rsid w:val="00A100FD"/>
    <w:rsid w:val="00A1014D"/>
    <w:rsid w:val="00A1015B"/>
    <w:rsid w:val="00A1017E"/>
    <w:rsid w:val="00A1030E"/>
    <w:rsid w:val="00A106E6"/>
    <w:rsid w:val="00A10A36"/>
    <w:rsid w:val="00A10ACB"/>
    <w:rsid w:val="00A10B4C"/>
    <w:rsid w:val="00A10B84"/>
    <w:rsid w:val="00A10C1A"/>
    <w:rsid w:val="00A10EA2"/>
    <w:rsid w:val="00A10EE1"/>
    <w:rsid w:val="00A11578"/>
    <w:rsid w:val="00A115B2"/>
    <w:rsid w:val="00A1161D"/>
    <w:rsid w:val="00A11677"/>
    <w:rsid w:val="00A1189B"/>
    <w:rsid w:val="00A118CC"/>
    <w:rsid w:val="00A1195E"/>
    <w:rsid w:val="00A11976"/>
    <w:rsid w:val="00A11A47"/>
    <w:rsid w:val="00A11B61"/>
    <w:rsid w:val="00A11EB1"/>
    <w:rsid w:val="00A1256F"/>
    <w:rsid w:val="00A126F8"/>
    <w:rsid w:val="00A12765"/>
    <w:rsid w:val="00A1284E"/>
    <w:rsid w:val="00A12A3A"/>
    <w:rsid w:val="00A12AF7"/>
    <w:rsid w:val="00A12DA5"/>
    <w:rsid w:val="00A12DD9"/>
    <w:rsid w:val="00A12DFE"/>
    <w:rsid w:val="00A12FF1"/>
    <w:rsid w:val="00A1310B"/>
    <w:rsid w:val="00A1318E"/>
    <w:rsid w:val="00A13242"/>
    <w:rsid w:val="00A134D5"/>
    <w:rsid w:val="00A13684"/>
    <w:rsid w:val="00A138A7"/>
    <w:rsid w:val="00A1398A"/>
    <w:rsid w:val="00A13C94"/>
    <w:rsid w:val="00A142AC"/>
    <w:rsid w:val="00A14314"/>
    <w:rsid w:val="00A14364"/>
    <w:rsid w:val="00A14474"/>
    <w:rsid w:val="00A14517"/>
    <w:rsid w:val="00A14A7E"/>
    <w:rsid w:val="00A14E4C"/>
    <w:rsid w:val="00A14EF2"/>
    <w:rsid w:val="00A151CC"/>
    <w:rsid w:val="00A15422"/>
    <w:rsid w:val="00A1554C"/>
    <w:rsid w:val="00A159C8"/>
    <w:rsid w:val="00A15A76"/>
    <w:rsid w:val="00A15BFE"/>
    <w:rsid w:val="00A15D3F"/>
    <w:rsid w:val="00A15E15"/>
    <w:rsid w:val="00A15F3B"/>
    <w:rsid w:val="00A1607F"/>
    <w:rsid w:val="00A16105"/>
    <w:rsid w:val="00A16153"/>
    <w:rsid w:val="00A1623C"/>
    <w:rsid w:val="00A162D7"/>
    <w:rsid w:val="00A1630C"/>
    <w:rsid w:val="00A16395"/>
    <w:rsid w:val="00A1654F"/>
    <w:rsid w:val="00A1675F"/>
    <w:rsid w:val="00A16793"/>
    <w:rsid w:val="00A16F16"/>
    <w:rsid w:val="00A16F36"/>
    <w:rsid w:val="00A1707F"/>
    <w:rsid w:val="00A17150"/>
    <w:rsid w:val="00A176B7"/>
    <w:rsid w:val="00A176FE"/>
    <w:rsid w:val="00A177A4"/>
    <w:rsid w:val="00A17C0F"/>
    <w:rsid w:val="00A17CF3"/>
    <w:rsid w:val="00A17EBF"/>
    <w:rsid w:val="00A17F6C"/>
    <w:rsid w:val="00A2007C"/>
    <w:rsid w:val="00A2018B"/>
    <w:rsid w:val="00A2032C"/>
    <w:rsid w:val="00A20402"/>
    <w:rsid w:val="00A207E6"/>
    <w:rsid w:val="00A2080D"/>
    <w:rsid w:val="00A208B7"/>
    <w:rsid w:val="00A208F2"/>
    <w:rsid w:val="00A20903"/>
    <w:rsid w:val="00A20A6F"/>
    <w:rsid w:val="00A20A8D"/>
    <w:rsid w:val="00A20C80"/>
    <w:rsid w:val="00A20F02"/>
    <w:rsid w:val="00A21142"/>
    <w:rsid w:val="00A2140A"/>
    <w:rsid w:val="00A214BE"/>
    <w:rsid w:val="00A21785"/>
    <w:rsid w:val="00A21829"/>
    <w:rsid w:val="00A21BDA"/>
    <w:rsid w:val="00A21F3D"/>
    <w:rsid w:val="00A22445"/>
    <w:rsid w:val="00A225D3"/>
    <w:rsid w:val="00A22A7F"/>
    <w:rsid w:val="00A22D29"/>
    <w:rsid w:val="00A2306E"/>
    <w:rsid w:val="00A232AD"/>
    <w:rsid w:val="00A2346D"/>
    <w:rsid w:val="00A237B7"/>
    <w:rsid w:val="00A2389D"/>
    <w:rsid w:val="00A23907"/>
    <w:rsid w:val="00A23B4E"/>
    <w:rsid w:val="00A23B74"/>
    <w:rsid w:val="00A23CE8"/>
    <w:rsid w:val="00A23FBB"/>
    <w:rsid w:val="00A23FD2"/>
    <w:rsid w:val="00A24137"/>
    <w:rsid w:val="00A24582"/>
    <w:rsid w:val="00A247E8"/>
    <w:rsid w:val="00A248A3"/>
    <w:rsid w:val="00A24AD6"/>
    <w:rsid w:val="00A24BF2"/>
    <w:rsid w:val="00A24D97"/>
    <w:rsid w:val="00A24E78"/>
    <w:rsid w:val="00A250F0"/>
    <w:rsid w:val="00A251B2"/>
    <w:rsid w:val="00A251F4"/>
    <w:rsid w:val="00A25260"/>
    <w:rsid w:val="00A2547D"/>
    <w:rsid w:val="00A254C0"/>
    <w:rsid w:val="00A254CE"/>
    <w:rsid w:val="00A2585B"/>
    <w:rsid w:val="00A258BE"/>
    <w:rsid w:val="00A25B26"/>
    <w:rsid w:val="00A25CC1"/>
    <w:rsid w:val="00A25D2C"/>
    <w:rsid w:val="00A25D83"/>
    <w:rsid w:val="00A26196"/>
    <w:rsid w:val="00A2619A"/>
    <w:rsid w:val="00A2622F"/>
    <w:rsid w:val="00A26343"/>
    <w:rsid w:val="00A2634A"/>
    <w:rsid w:val="00A265F9"/>
    <w:rsid w:val="00A26693"/>
    <w:rsid w:val="00A268D0"/>
    <w:rsid w:val="00A270FE"/>
    <w:rsid w:val="00A27995"/>
    <w:rsid w:val="00A27BCC"/>
    <w:rsid w:val="00A27C9F"/>
    <w:rsid w:val="00A3006E"/>
    <w:rsid w:val="00A305EA"/>
    <w:rsid w:val="00A306A7"/>
    <w:rsid w:val="00A3078F"/>
    <w:rsid w:val="00A30861"/>
    <w:rsid w:val="00A308AD"/>
    <w:rsid w:val="00A308C6"/>
    <w:rsid w:val="00A30A6A"/>
    <w:rsid w:val="00A30AF7"/>
    <w:rsid w:val="00A30C03"/>
    <w:rsid w:val="00A30DA8"/>
    <w:rsid w:val="00A3109C"/>
    <w:rsid w:val="00A311EC"/>
    <w:rsid w:val="00A31293"/>
    <w:rsid w:val="00A3137F"/>
    <w:rsid w:val="00A31444"/>
    <w:rsid w:val="00A315A5"/>
    <w:rsid w:val="00A31732"/>
    <w:rsid w:val="00A31866"/>
    <w:rsid w:val="00A31898"/>
    <w:rsid w:val="00A31967"/>
    <w:rsid w:val="00A31CDA"/>
    <w:rsid w:val="00A321CA"/>
    <w:rsid w:val="00A321D2"/>
    <w:rsid w:val="00A3225A"/>
    <w:rsid w:val="00A322E2"/>
    <w:rsid w:val="00A32592"/>
    <w:rsid w:val="00A327E8"/>
    <w:rsid w:val="00A32FD1"/>
    <w:rsid w:val="00A32FDC"/>
    <w:rsid w:val="00A33106"/>
    <w:rsid w:val="00A33217"/>
    <w:rsid w:val="00A33254"/>
    <w:rsid w:val="00A3342B"/>
    <w:rsid w:val="00A33629"/>
    <w:rsid w:val="00A338B5"/>
    <w:rsid w:val="00A33A31"/>
    <w:rsid w:val="00A33ADF"/>
    <w:rsid w:val="00A33F8A"/>
    <w:rsid w:val="00A33FA9"/>
    <w:rsid w:val="00A340A3"/>
    <w:rsid w:val="00A3428D"/>
    <w:rsid w:val="00A3437A"/>
    <w:rsid w:val="00A3444A"/>
    <w:rsid w:val="00A347EE"/>
    <w:rsid w:val="00A34957"/>
    <w:rsid w:val="00A34AB8"/>
    <w:rsid w:val="00A34CE6"/>
    <w:rsid w:val="00A34E20"/>
    <w:rsid w:val="00A34FF9"/>
    <w:rsid w:val="00A351A5"/>
    <w:rsid w:val="00A35732"/>
    <w:rsid w:val="00A35AE8"/>
    <w:rsid w:val="00A35AE9"/>
    <w:rsid w:val="00A35BDB"/>
    <w:rsid w:val="00A35BE2"/>
    <w:rsid w:val="00A35C52"/>
    <w:rsid w:val="00A35F49"/>
    <w:rsid w:val="00A35F7E"/>
    <w:rsid w:val="00A360EF"/>
    <w:rsid w:val="00A36268"/>
    <w:rsid w:val="00A3645C"/>
    <w:rsid w:val="00A36C93"/>
    <w:rsid w:val="00A36CBF"/>
    <w:rsid w:val="00A36DB3"/>
    <w:rsid w:val="00A36DDB"/>
    <w:rsid w:val="00A36DF5"/>
    <w:rsid w:val="00A36E2E"/>
    <w:rsid w:val="00A36F75"/>
    <w:rsid w:val="00A3711C"/>
    <w:rsid w:val="00A37201"/>
    <w:rsid w:val="00A3798C"/>
    <w:rsid w:val="00A379D6"/>
    <w:rsid w:val="00A37A33"/>
    <w:rsid w:val="00A37C68"/>
    <w:rsid w:val="00A37EF6"/>
    <w:rsid w:val="00A37EF9"/>
    <w:rsid w:val="00A37FCA"/>
    <w:rsid w:val="00A40005"/>
    <w:rsid w:val="00A403EB"/>
    <w:rsid w:val="00A40580"/>
    <w:rsid w:val="00A405B8"/>
    <w:rsid w:val="00A4066E"/>
    <w:rsid w:val="00A40852"/>
    <w:rsid w:val="00A408E5"/>
    <w:rsid w:val="00A409F6"/>
    <w:rsid w:val="00A40A8E"/>
    <w:rsid w:val="00A40B40"/>
    <w:rsid w:val="00A41075"/>
    <w:rsid w:val="00A41164"/>
    <w:rsid w:val="00A4132D"/>
    <w:rsid w:val="00A41339"/>
    <w:rsid w:val="00A41573"/>
    <w:rsid w:val="00A41762"/>
    <w:rsid w:val="00A41804"/>
    <w:rsid w:val="00A4180E"/>
    <w:rsid w:val="00A41891"/>
    <w:rsid w:val="00A41BB6"/>
    <w:rsid w:val="00A41C5D"/>
    <w:rsid w:val="00A41F1E"/>
    <w:rsid w:val="00A42133"/>
    <w:rsid w:val="00A42338"/>
    <w:rsid w:val="00A42560"/>
    <w:rsid w:val="00A428F1"/>
    <w:rsid w:val="00A42ACA"/>
    <w:rsid w:val="00A42B27"/>
    <w:rsid w:val="00A42B2E"/>
    <w:rsid w:val="00A42B78"/>
    <w:rsid w:val="00A42C61"/>
    <w:rsid w:val="00A42C6D"/>
    <w:rsid w:val="00A42D4B"/>
    <w:rsid w:val="00A42FB5"/>
    <w:rsid w:val="00A43043"/>
    <w:rsid w:val="00A43094"/>
    <w:rsid w:val="00A430C2"/>
    <w:rsid w:val="00A43145"/>
    <w:rsid w:val="00A43155"/>
    <w:rsid w:val="00A43459"/>
    <w:rsid w:val="00A43613"/>
    <w:rsid w:val="00A438FE"/>
    <w:rsid w:val="00A43A28"/>
    <w:rsid w:val="00A43E55"/>
    <w:rsid w:val="00A43E84"/>
    <w:rsid w:val="00A43FA3"/>
    <w:rsid w:val="00A43FE8"/>
    <w:rsid w:val="00A441D9"/>
    <w:rsid w:val="00A44516"/>
    <w:rsid w:val="00A446BD"/>
    <w:rsid w:val="00A44944"/>
    <w:rsid w:val="00A44CC1"/>
    <w:rsid w:val="00A44D6C"/>
    <w:rsid w:val="00A44E1E"/>
    <w:rsid w:val="00A45298"/>
    <w:rsid w:val="00A453D9"/>
    <w:rsid w:val="00A45503"/>
    <w:rsid w:val="00A45768"/>
    <w:rsid w:val="00A45829"/>
    <w:rsid w:val="00A4589A"/>
    <w:rsid w:val="00A45B59"/>
    <w:rsid w:val="00A45D92"/>
    <w:rsid w:val="00A45DFE"/>
    <w:rsid w:val="00A45EE0"/>
    <w:rsid w:val="00A46197"/>
    <w:rsid w:val="00A4650B"/>
    <w:rsid w:val="00A466C6"/>
    <w:rsid w:val="00A46D17"/>
    <w:rsid w:val="00A46F74"/>
    <w:rsid w:val="00A46F8F"/>
    <w:rsid w:val="00A47133"/>
    <w:rsid w:val="00A471A3"/>
    <w:rsid w:val="00A4722A"/>
    <w:rsid w:val="00A47334"/>
    <w:rsid w:val="00A4745F"/>
    <w:rsid w:val="00A476FC"/>
    <w:rsid w:val="00A47787"/>
    <w:rsid w:val="00A478C0"/>
    <w:rsid w:val="00A47B22"/>
    <w:rsid w:val="00A47B54"/>
    <w:rsid w:val="00A47EE9"/>
    <w:rsid w:val="00A501D6"/>
    <w:rsid w:val="00A50442"/>
    <w:rsid w:val="00A504FE"/>
    <w:rsid w:val="00A5067A"/>
    <w:rsid w:val="00A50895"/>
    <w:rsid w:val="00A50A79"/>
    <w:rsid w:val="00A50AD6"/>
    <w:rsid w:val="00A50B4B"/>
    <w:rsid w:val="00A50C44"/>
    <w:rsid w:val="00A50CAA"/>
    <w:rsid w:val="00A50CD8"/>
    <w:rsid w:val="00A50E0E"/>
    <w:rsid w:val="00A51092"/>
    <w:rsid w:val="00A5148E"/>
    <w:rsid w:val="00A5158D"/>
    <w:rsid w:val="00A51731"/>
    <w:rsid w:val="00A5174E"/>
    <w:rsid w:val="00A517C4"/>
    <w:rsid w:val="00A51865"/>
    <w:rsid w:val="00A51880"/>
    <w:rsid w:val="00A51951"/>
    <w:rsid w:val="00A519A9"/>
    <w:rsid w:val="00A519CD"/>
    <w:rsid w:val="00A51EEC"/>
    <w:rsid w:val="00A51F92"/>
    <w:rsid w:val="00A523DB"/>
    <w:rsid w:val="00A52615"/>
    <w:rsid w:val="00A52826"/>
    <w:rsid w:val="00A52947"/>
    <w:rsid w:val="00A529AD"/>
    <w:rsid w:val="00A529E7"/>
    <w:rsid w:val="00A52A40"/>
    <w:rsid w:val="00A52A8D"/>
    <w:rsid w:val="00A52AA8"/>
    <w:rsid w:val="00A52BC8"/>
    <w:rsid w:val="00A53043"/>
    <w:rsid w:val="00A530F8"/>
    <w:rsid w:val="00A5315D"/>
    <w:rsid w:val="00A53261"/>
    <w:rsid w:val="00A53403"/>
    <w:rsid w:val="00A5349A"/>
    <w:rsid w:val="00A5383D"/>
    <w:rsid w:val="00A539BB"/>
    <w:rsid w:val="00A53B91"/>
    <w:rsid w:val="00A53E39"/>
    <w:rsid w:val="00A53FCA"/>
    <w:rsid w:val="00A54087"/>
    <w:rsid w:val="00A541EC"/>
    <w:rsid w:val="00A5423D"/>
    <w:rsid w:val="00A54327"/>
    <w:rsid w:val="00A54538"/>
    <w:rsid w:val="00A545B4"/>
    <w:rsid w:val="00A546E7"/>
    <w:rsid w:val="00A547B3"/>
    <w:rsid w:val="00A5488E"/>
    <w:rsid w:val="00A54902"/>
    <w:rsid w:val="00A5490B"/>
    <w:rsid w:val="00A54B1C"/>
    <w:rsid w:val="00A54D37"/>
    <w:rsid w:val="00A5517B"/>
    <w:rsid w:val="00A55187"/>
    <w:rsid w:val="00A551B3"/>
    <w:rsid w:val="00A5526D"/>
    <w:rsid w:val="00A55315"/>
    <w:rsid w:val="00A5532C"/>
    <w:rsid w:val="00A553CC"/>
    <w:rsid w:val="00A554E5"/>
    <w:rsid w:val="00A55595"/>
    <w:rsid w:val="00A556AF"/>
    <w:rsid w:val="00A55967"/>
    <w:rsid w:val="00A55B17"/>
    <w:rsid w:val="00A55B34"/>
    <w:rsid w:val="00A55DC4"/>
    <w:rsid w:val="00A56087"/>
    <w:rsid w:val="00A56440"/>
    <w:rsid w:val="00A564A4"/>
    <w:rsid w:val="00A56926"/>
    <w:rsid w:val="00A56B0C"/>
    <w:rsid w:val="00A56B54"/>
    <w:rsid w:val="00A56EAE"/>
    <w:rsid w:val="00A56FC7"/>
    <w:rsid w:val="00A5725F"/>
    <w:rsid w:val="00A5738F"/>
    <w:rsid w:val="00A574BE"/>
    <w:rsid w:val="00A574F4"/>
    <w:rsid w:val="00A57DAB"/>
    <w:rsid w:val="00A57E0C"/>
    <w:rsid w:val="00A57EC0"/>
    <w:rsid w:val="00A57F01"/>
    <w:rsid w:val="00A604F2"/>
    <w:rsid w:val="00A60672"/>
    <w:rsid w:val="00A606EF"/>
    <w:rsid w:val="00A607CB"/>
    <w:rsid w:val="00A607CE"/>
    <w:rsid w:val="00A607DC"/>
    <w:rsid w:val="00A609BE"/>
    <w:rsid w:val="00A60A7B"/>
    <w:rsid w:val="00A60D1C"/>
    <w:rsid w:val="00A60D33"/>
    <w:rsid w:val="00A60DB2"/>
    <w:rsid w:val="00A60E0E"/>
    <w:rsid w:val="00A61170"/>
    <w:rsid w:val="00A61178"/>
    <w:rsid w:val="00A61421"/>
    <w:rsid w:val="00A615A3"/>
    <w:rsid w:val="00A6182D"/>
    <w:rsid w:val="00A6195B"/>
    <w:rsid w:val="00A61A5E"/>
    <w:rsid w:val="00A61B13"/>
    <w:rsid w:val="00A61C51"/>
    <w:rsid w:val="00A61D59"/>
    <w:rsid w:val="00A61D87"/>
    <w:rsid w:val="00A61E1C"/>
    <w:rsid w:val="00A61F86"/>
    <w:rsid w:val="00A61F9D"/>
    <w:rsid w:val="00A621DA"/>
    <w:rsid w:val="00A62219"/>
    <w:rsid w:val="00A623CE"/>
    <w:rsid w:val="00A6280D"/>
    <w:rsid w:val="00A62838"/>
    <w:rsid w:val="00A62841"/>
    <w:rsid w:val="00A62950"/>
    <w:rsid w:val="00A62958"/>
    <w:rsid w:val="00A629C0"/>
    <w:rsid w:val="00A63005"/>
    <w:rsid w:val="00A630A8"/>
    <w:rsid w:val="00A6313E"/>
    <w:rsid w:val="00A63341"/>
    <w:rsid w:val="00A6336B"/>
    <w:rsid w:val="00A63592"/>
    <w:rsid w:val="00A63779"/>
    <w:rsid w:val="00A637B3"/>
    <w:rsid w:val="00A6392F"/>
    <w:rsid w:val="00A639E0"/>
    <w:rsid w:val="00A63D60"/>
    <w:rsid w:val="00A63EA5"/>
    <w:rsid w:val="00A63EC9"/>
    <w:rsid w:val="00A64050"/>
    <w:rsid w:val="00A6436D"/>
    <w:rsid w:val="00A64460"/>
    <w:rsid w:val="00A64500"/>
    <w:rsid w:val="00A64886"/>
    <w:rsid w:val="00A64A10"/>
    <w:rsid w:val="00A64A6D"/>
    <w:rsid w:val="00A64AB8"/>
    <w:rsid w:val="00A64B2C"/>
    <w:rsid w:val="00A64BF9"/>
    <w:rsid w:val="00A64DE7"/>
    <w:rsid w:val="00A6527D"/>
    <w:rsid w:val="00A65391"/>
    <w:rsid w:val="00A65464"/>
    <w:rsid w:val="00A6548D"/>
    <w:rsid w:val="00A65621"/>
    <w:rsid w:val="00A658B3"/>
    <w:rsid w:val="00A658E6"/>
    <w:rsid w:val="00A65CC6"/>
    <w:rsid w:val="00A65E32"/>
    <w:rsid w:val="00A65E85"/>
    <w:rsid w:val="00A6605C"/>
    <w:rsid w:val="00A661E7"/>
    <w:rsid w:val="00A6629D"/>
    <w:rsid w:val="00A66371"/>
    <w:rsid w:val="00A6640A"/>
    <w:rsid w:val="00A66420"/>
    <w:rsid w:val="00A6665E"/>
    <w:rsid w:val="00A6678C"/>
    <w:rsid w:val="00A6695D"/>
    <w:rsid w:val="00A66A0A"/>
    <w:rsid w:val="00A66C7F"/>
    <w:rsid w:val="00A6700B"/>
    <w:rsid w:val="00A67127"/>
    <w:rsid w:val="00A672F1"/>
    <w:rsid w:val="00A6746C"/>
    <w:rsid w:val="00A67592"/>
    <w:rsid w:val="00A675D1"/>
    <w:rsid w:val="00A675EF"/>
    <w:rsid w:val="00A67762"/>
    <w:rsid w:val="00A678BA"/>
    <w:rsid w:val="00A67936"/>
    <w:rsid w:val="00A67A00"/>
    <w:rsid w:val="00A67A60"/>
    <w:rsid w:val="00A67C4B"/>
    <w:rsid w:val="00A67D27"/>
    <w:rsid w:val="00A67F6B"/>
    <w:rsid w:val="00A70117"/>
    <w:rsid w:val="00A70930"/>
    <w:rsid w:val="00A70DFC"/>
    <w:rsid w:val="00A70E3A"/>
    <w:rsid w:val="00A70F91"/>
    <w:rsid w:val="00A70FA7"/>
    <w:rsid w:val="00A71259"/>
    <w:rsid w:val="00A712F5"/>
    <w:rsid w:val="00A7161B"/>
    <w:rsid w:val="00A7162D"/>
    <w:rsid w:val="00A716D1"/>
    <w:rsid w:val="00A717E4"/>
    <w:rsid w:val="00A719B6"/>
    <w:rsid w:val="00A71B3F"/>
    <w:rsid w:val="00A71C1D"/>
    <w:rsid w:val="00A71E78"/>
    <w:rsid w:val="00A71E85"/>
    <w:rsid w:val="00A720CE"/>
    <w:rsid w:val="00A720DF"/>
    <w:rsid w:val="00A7216C"/>
    <w:rsid w:val="00A724DB"/>
    <w:rsid w:val="00A72685"/>
    <w:rsid w:val="00A729A1"/>
    <w:rsid w:val="00A729C0"/>
    <w:rsid w:val="00A72AB0"/>
    <w:rsid w:val="00A72E79"/>
    <w:rsid w:val="00A72F53"/>
    <w:rsid w:val="00A73451"/>
    <w:rsid w:val="00A739D1"/>
    <w:rsid w:val="00A73B3D"/>
    <w:rsid w:val="00A73C6B"/>
    <w:rsid w:val="00A73DE6"/>
    <w:rsid w:val="00A7423E"/>
    <w:rsid w:val="00A74B8D"/>
    <w:rsid w:val="00A74CC6"/>
    <w:rsid w:val="00A74E9E"/>
    <w:rsid w:val="00A74F11"/>
    <w:rsid w:val="00A75593"/>
    <w:rsid w:val="00A75706"/>
    <w:rsid w:val="00A75819"/>
    <w:rsid w:val="00A75866"/>
    <w:rsid w:val="00A7593F"/>
    <w:rsid w:val="00A75E87"/>
    <w:rsid w:val="00A75EF5"/>
    <w:rsid w:val="00A76057"/>
    <w:rsid w:val="00A76400"/>
    <w:rsid w:val="00A768C4"/>
    <w:rsid w:val="00A76D59"/>
    <w:rsid w:val="00A76E8D"/>
    <w:rsid w:val="00A76EB1"/>
    <w:rsid w:val="00A7746C"/>
    <w:rsid w:val="00A77999"/>
    <w:rsid w:val="00A779F8"/>
    <w:rsid w:val="00A77D70"/>
    <w:rsid w:val="00A8023C"/>
    <w:rsid w:val="00A803EB"/>
    <w:rsid w:val="00A805FE"/>
    <w:rsid w:val="00A80787"/>
    <w:rsid w:val="00A80B2E"/>
    <w:rsid w:val="00A80BBA"/>
    <w:rsid w:val="00A80DB5"/>
    <w:rsid w:val="00A80DEA"/>
    <w:rsid w:val="00A8154F"/>
    <w:rsid w:val="00A815B7"/>
    <w:rsid w:val="00A815BB"/>
    <w:rsid w:val="00A815F9"/>
    <w:rsid w:val="00A816AC"/>
    <w:rsid w:val="00A81879"/>
    <w:rsid w:val="00A8189C"/>
    <w:rsid w:val="00A8193D"/>
    <w:rsid w:val="00A81B3B"/>
    <w:rsid w:val="00A81DED"/>
    <w:rsid w:val="00A82002"/>
    <w:rsid w:val="00A820FE"/>
    <w:rsid w:val="00A82191"/>
    <w:rsid w:val="00A821C3"/>
    <w:rsid w:val="00A82255"/>
    <w:rsid w:val="00A82389"/>
    <w:rsid w:val="00A82431"/>
    <w:rsid w:val="00A8253D"/>
    <w:rsid w:val="00A825DA"/>
    <w:rsid w:val="00A82758"/>
    <w:rsid w:val="00A82958"/>
    <w:rsid w:val="00A82982"/>
    <w:rsid w:val="00A829B8"/>
    <w:rsid w:val="00A829F8"/>
    <w:rsid w:val="00A82B5A"/>
    <w:rsid w:val="00A82BFD"/>
    <w:rsid w:val="00A82CB9"/>
    <w:rsid w:val="00A82D0D"/>
    <w:rsid w:val="00A82DD8"/>
    <w:rsid w:val="00A82E02"/>
    <w:rsid w:val="00A82E68"/>
    <w:rsid w:val="00A82E97"/>
    <w:rsid w:val="00A8334C"/>
    <w:rsid w:val="00A8364A"/>
    <w:rsid w:val="00A83715"/>
    <w:rsid w:val="00A83837"/>
    <w:rsid w:val="00A83AB7"/>
    <w:rsid w:val="00A83CBB"/>
    <w:rsid w:val="00A83CE9"/>
    <w:rsid w:val="00A8407A"/>
    <w:rsid w:val="00A843EC"/>
    <w:rsid w:val="00A84BD7"/>
    <w:rsid w:val="00A84D17"/>
    <w:rsid w:val="00A84D90"/>
    <w:rsid w:val="00A84E1C"/>
    <w:rsid w:val="00A8524B"/>
    <w:rsid w:val="00A8528B"/>
    <w:rsid w:val="00A857D3"/>
    <w:rsid w:val="00A85969"/>
    <w:rsid w:val="00A85A5C"/>
    <w:rsid w:val="00A85A8D"/>
    <w:rsid w:val="00A85C97"/>
    <w:rsid w:val="00A85D27"/>
    <w:rsid w:val="00A85DEE"/>
    <w:rsid w:val="00A85FE7"/>
    <w:rsid w:val="00A86105"/>
    <w:rsid w:val="00A861EB"/>
    <w:rsid w:val="00A8620F"/>
    <w:rsid w:val="00A86260"/>
    <w:rsid w:val="00A863C0"/>
    <w:rsid w:val="00A86646"/>
    <w:rsid w:val="00A86655"/>
    <w:rsid w:val="00A869B8"/>
    <w:rsid w:val="00A86B07"/>
    <w:rsid w:val="00A86D2C"/>
    <w:rsid w:val="00A86DB9"/>
    <w:rsid w:val="00A86F6F"/>
    <w:rsid w:val="00A8700C"/>
    <w:rsid w:val="00A870CE"/>
    <w:rsid w:val="00A871E2"/>
    <w:rsid w:val="00A872C9"/>
    <w:rsid w:val="00A87493"/>
    <w:rsid w:val="00A875CE"/>
    <w:rsid w:val="00A87736"/>
    <w:rsid w:val="00A87885"/>
    <w:rsid w:val="00A87A00"/>
    <w:rsid w:val="00A87C62"/>
    <w:rsid w:val="00A87D50"/>
    <w:rsid w:val="00A87E1F"/>
    <w:rsid w:val="00A87E8E"/>
    <w:rsid w:val="00A9005A"/>
    <w:rsid w:val="00A90174"/>
    <w:rsid w:val="00A9020C"/>
    <w:rsid w:val="00A902D5"/>
    <w:rsid w:val="00A902F0"/>
    <w:rsid w:val="00A90319"/>
    <w:rsid w:val="00A90383"/>
    <w:rsid w:val="00A9052B"/>
    <w:rsid w:val="00A9079C"/>
    <w:rsid w:val="00A907A5"/>
    <w:rsid w:val="00A90846"/>
    <w:rsid w:val="00A9088A"/>
    <w:rsid w:val="00A90945"/>
    <w:rsid w:val="00A90CED"/>
    <w:rsid w:val="00A90DD2"/>
    <w:rsid w:val="00A90E82"/>
    <w:rsid w:val="00A910F4"/>
    <w:rsid w:val="00A91135"/>
    <w:rsid w:val="00A9132D"/>
    <w:rsid w:val="00A913DA"/>
    <w:rsid w:val="00A914B3"/>
    <w:rsid w:val="00A914BF"/>
    <w:rsid w:val="00A91583"/>
    <w:rsid w:val="00A91954"/>
    <w:rsid w:val="00A91C3A"/>
    <w:rsid w:val="00A91C7C"/>
    <w:rsid w:val="00A92033"/>
    <w:rsid w:val="00A92100"/>
    <w:rsid w:val="00A92313"/>
    <w:rsid w:val="00A92503"/>
    <w:rsid w:val="00A9270D"/>
    <w:rsid w:val="00A928D1"/>
    <w:rsid w:val="00A92ACF"/>
    <w:rsid w:val="00A92B79"/>
    <w:rsid w:val="00A92C2E"/>
    <w:rsid w:val="00A92C88"/>
    <w:rsid w:val="00A92F52"/>
    <w:rsid w:val="00A92FF7"/>
    <w:rsid w:val="00A93002"/>
    <w:rsid w:val="00A930C9"/>
    <w:rsid w:val="00A931B7"/>
    <w:rsid w:val="00A93519"/>
    <w:rsid w:val="00A93598"/>
    <w:rsid w:val="00A938A9"/>
    <w:rsid w:val="00A93AC9"/>
    <w:rsid w:val="00A93ADB"/>
    <w:rsid w:val="00A93BDF"/>
    <w:rsid w:val="00A940E9"/>
    <w:rsid w:val="00A94297"/>
    <w:rsid w:val="00A943DF"/>
    <w:rsid w:val="00A94560"/>
    <w:rsid w:val="00A94593"/>
    <w:rsid w:val="00A94639"/>
    <w:rsid w:val="00A94759"/>
    <w:rsid w:val="00A94789"/>
    <w:rsid w:val="00A9481B"/>
    <w:rsid w:val="00A94AA5"/>
    <w:rsid w:val="00A94AA7"/>
    <w:rsid w:val="00A94D48"/>
    <w:rsid w:val="00A94F76"/>
    <w:rsid w:val="00A9522B"/>
    <w:rsid w:val="00A9523F"/>
    <w:rsid w:val="00A95441"/>
    <w:rsid w:val="00A95681"/>
    <w:rsid w:val="00A956E4"/>
    <w:rsid w:val="00A9597B"/>
    <w:rsid w:val="00A960A6"/>
    <w:rsid w:val="00A9610B"/>
    <w:rsid w:val="00A961D6"/>
    <w:rsid w:val="00A962B5"/>
    <w:rsid w:val="00A96518"/>
    <w:rsid w:val="00A96836"/>
    <w:rsid w:val="00A96AA7"/>
    <w:rsid w:val="00A96D7E"/>
    <w:rsid w:val="00A96DA0"/>
    <w:rsid w:val="00A9702D"/>
    <w:rsid w:val="00A970BF"/>
    <w:rsid w:val="00A97118"/>
    <w:rsid w:val="00A971B0"/>
    <w:rsid w:val="00A972EB"/>
    <w:rsid w:val="00A973FB"/>
    <w:rsid w:val="00A97498"/>
    <w:rsid w:val="00A97817"/>
    <w:rsid w:val="00A978EE"/>
    <w:rsid w:val="00A979A4"/>
    <w:rsid w:val="00A97A6C"/>
    <w:rsid w:val="00A97B4E"/>
    <w:rsid w:val="00A97CD9"/>
    <w:rsid w:val="00A97DA3"/>
    <w:rsid w:val="00AA0194"/>
    <w:rsid w:val="00AA0370"/>
    <w:rsid w:val="00AA03B4"/>
    <w:rsid w:val="00AA03BF"/>
    <w:rsid w:val="00AA044F"/>
    <w:rsid w:val="00AA08F1"/>
    <w:rsid w:val="00AA08FE"/>
    <w:rsid w:val="00AA0B5D"/>
    <w:rsid w:val="00AA0E4E"/>
    <w:rsid w:val="00AA0E98"/>
    <w:rsid w:val="00AA0FA5"/>
    <w:rsid w:val="00AA101D"/>
    <w:rsid w:val="00AA10EE"/>
    <w:rsid w:val="00AA1325"/>
    <w:rsid w:val="00AA135F"/>
    <w:rsid w:val="00AA13AC"/>
    <w:rsid w:val="00AA13FF"/>
    <w:rsid w:val="00AA1730"/>
    <w:rsid w:val="00AA17B7"/>
    <w:rsid w:val="00AA180F"/>
    <w:rsid w:val="00AA19D4"/>
    <w:rsid w:val="00AA1C50"/>
    <w:rsid w:val="00AA1CC9"/>
    <w:rsid w:val="00AA2035"/>
    <w:rsid w:val="00AA206A"/>
    <w:rsid w:val="00AA20AC"/>
    <w:rsid w:val="00AA2384"/>
    <w:rsid w:val="00AA2386"/>
    <w:rsid w:val="00AA243E"/>
    <w:rsid w:val="00AA258E"/>
    <w:rsid w:val="00AA25A0"/>
    <w:rsid w:val="00AA2819"/>
    <w:rsid w:val="00AA2901"/>
    <w:rsid w:val="00AA2CD2"/>
    <w:rsid w:val="00AA2F2A"/>
    <w:rsid w:val="00AA2FF8"/>
    <w:rsid w:val="00AA3093"/>
    <w:rsid w:val="00AA317D"/>
    <w:rsid w:val="00AA323D"/>
    <w:rsid w:val="00AA348C"/>
    <w:rsid w:val="00AA34AD"/>
    <w:rsid w:val="00AA3664"/>
    <w:rsid w:val="00AA3807"/>
    <w:rsid w:val="00AA385A"/>
    <w:rsid w:val="00AA3D13"/>
    <w:rsid w:val="00AA3E2A"/>
    <w:rsid w:val="00AA3F7F"/>
    <w:rsid w:val="00AA409C"/>
    <w:rsid w:val="00AA41F1"/>
    <w:rsid w:val="00AA420F"/>
    <w:rsid w:val="00AA4566"/>
    <w:rsid w:val="00AA469B"/>
    <w:rsid w:val="00AA47AB"/>
    <w:rsid w:val="00AA4845"/>
    <w:rsid w:val="00AA48C2"/>
    <w:rsid w:val="00AA4AA7"/>
    <w:rsid w:val="00AA4B33"/>
    <w:rsid w:val="00AA4C34"/>
    <w:rsid w:val="00AA4CB2"/>
    <w:rsid w:val="00AA4D89"/>
    <w:rsid w:val="00AA4E34"/>
    <w:rsid w:val="00AA4E6C"/>
    <w:rsid w:val="00AA5114"/>
    <w:rsid w:val="00AA544B"/>
    <w:rsid w:val="00AA549F"/>
    <w:rsid w:val="00AA56C3"/>
    <w:rsid w:val="00AA5891"/>
    <w:rsid w:val="00AA597D"/>
    <w:rsid w:val="00AA5B03"/>
    <w:rsid w:val="00AA5B50"/>
    <w:rsid w:val="00AA5C14"/>
    <w:rsid w:val="00AA5D6B"/>
    <w:rsid w:val="00AA5ED1"/>
    <w:rsid w:val="00AA5F6C"/>
    <w:rsid w:val="00AA6074"/>
    <w:rsid w:val="00AA61C4"/>
    <w:rsid w:val="00AA63EB"/>
    <w:rsid w:val="00AA64C3"/>
    <w:rsid w:val="00AA6840"/>
    <w:rsid w:val="00AA6BF2"/>
    <w:rsid w:val="00AA6D6B"/>
    <w:rsid w:val="00AA6DBB"/>
    <w:rsid w:val="00AA6E61"/>
    <w:rsid w:val="00AA6EF2"/>
    <w:rsid w:val="00AA6F72"/>
    <w:rsid w:val="00AA70C3"/>
    <w:rsid w:val="00AA714B"/>
    <w:rsid w:val="00AA7341"/>
    <w:rsid w:val="00AA73C7"/>
    <w:rsid w:val="00AA73CB"/>
    <w:rsid w:val="00AA7475"/>
    <w:rsid w:val="00AA74E6"/>
    <w:rsid w:val="00AA753E"/>
    <w:rsid w:val="00AA759E"/>
    <w:rsid w:val="00AA75D7"/>
    <w:rsid w:val="00AA762C"/>
    <w:rsid w:val="00AA764C"/>
    <w:rsid w:val="00AA7752"/>
    <w:rsid w:val="00AA7930"/>
    <w:rsid w:val="00AA7B8F"/>
    <w:rsid w:val="00AA7E8E"/>
    <w:rsid w:val="00AA7F6A"/>
    <w:rsid w:val="00AB017C"/>
    <w:rsid w:val="00AB0483"/>
    <w:rsid w:val="00AB04D5"/>
    <w:rsid w:val="00AB05CC"/>
    <w:rsid w:val="00AB0677"/>
    <w:rsid w:val="00AB0710"/>
    <w:rsid w:val="00AB0831"/>
    <w:rsid w:val="00AB0899"/>
    <w:rsid w:val="00AB0A03"/>
    <w:rsid w:val="00AB0A9A"/>
    <w:rsid w:val="00AB0B65"/>
    <w:rsid w:val="00AB0DA7"/>
    <w:rsid w:val="00AB0F0C"/>
    <w:rsid w:val="00AB1173"/>
    <w:rsid w:val="00AB1356"/>
    <w:rsid w:val="00AB136D"/>
    <w:rsid w:val="00AB15B5"/>
    <w:rsid w:val="00AB15CC"/>
    <w:rsid w:val="00AB16E1"/>
    <w:rsid w:val="00AB19B6"/>
    <w:rsid w:val="00AB1BA3"/>
    <w:rsid w:val="00AB1EA8"/>
    <w:rsid w:val="00AB1ED6"/>
    <w:rsid w:val="00AB1F8E"/>
    <w:rsid w:val="00AB20B1"/>
    <w:rsid w:val="00AB2235"/>
    <w:rsid w:val="00AB22AC"/>
    <w:rsid w:val="00AB2398"/>
    <w:rsid w:val="00AB2696"/>
    <w:rsid w:val="00AB2A1D"/>
    <w:rsid w:val="00AB2B5D"/>
    <w:rsid w:val="00AB2C08"/>
    <w:rsid w:val="00AB2D11"/>
    <w:rsid w:val="00AB2D9B"/>
    <w:rsid w:val="00AB3165"/>
    <w:rsid w:val="00AB356D"/>
    <w:rsid w:val="00AB3625"/>
    <w:rsid w:val="00AB3936"/>
    <w:rsid w:val="00AB4080"/>
    <w:rsid w:val="00AB418E"/>
    <w:rsid w:val="00AB41A1"/>
    <w:rsid w:val="00AB42B7"/>
    <w:rsid w:val="00AB4352"/>
    <w:rsid w:val="00AB446B"/>
    <w:rsid w:val="00AB447B"/>
    <w:rsid w:val="00AB44EE"/>
    <w:rsid w:val="00AB4730"/>
    <w:rsid w:val="00AB485D"/>
    <w:rsid w:val="00AB4913"/>
    <w:rsid w:val="00AB4A31"/>
    <w:rsid w:val="00AB4D8F"/>
    <w:rsid w:val="00AB504D"/>
    <w:rsid w:val="00AB5171"/>
    <w:rsid w:val="00AB52D3"/>
    <w:rsid w:val="00AB5460"/>
    <w:rsid w:val="00AB55F2"/>
    <w:rsid w:val="00AB5910"/>
    <w:rsid w:val="00AB5993"/>
    <w:rsid w:val="00AB5A4A"/>
    <w:rsid w:val="00AB5B76"/>
    <w:rsid w:val="00AB5CF8"/>
    <w:rsid w:val="00AB5E4B"/>
    <w:rsid w:val="00AB6034"/>
    <w:rsid w:val="00AB60BA"/>
    <w:rsid w:val="00AB60D4"/>
    <w:rsid w:val="00AB61C1"/>
    <w:rsid w:val="00AB6265"/>
    <w:rsid w:val="00AB62D0"/>
    <w:rsid w:val="00AB62EE"/>
    <w:rsid w:val="00AB64E1"/>
    <w:rsid w:val="00AB6826"/>
    <w:rsid w:val="00AB6B44"/>
    <w:rsid w:val="00AB6B6A"/>
    <w:rsid w:val="00AB6BAF"/>
    <w:rsid w:val="00AB6E3B"/>
    <w:rsid w:val="00AB6EB5"/>
    <w:rsid w:val="00AB6F50"/>
    <w:rsid w:val="00AB6F98"/>
    <w:rsid w:val="00AB7024"/>
    <w:rsid w:val="00AB71CE"/>
    <w:rsid w:val="00AB7409"/>
    <w:rsid w:val="00AB7486"/>
    <w:rsid w:val="00AB74E1"/>
    <w:rsid w:val="00AB769D"/>
    <w:rsid w:val="00AB76F4"/>
    <w:rsid w:val="00AB7757"/>
    <w:rsid w:val="00AB798F"/>
    <w:rsid w:val="00AB79F4"/>
    <w:rsid w:val="00AB7AD2"/>
    <w:rsid w:val="00AB7D81"/>
    <w:rsid w:val="00AC0067"/>
    <w:rsid w:val="00AC0285"/>
    <w:rsid w:val="00AC03E0"/>
    <w:rsid w:val="00AC056F"/>
    <w:rsid w:val="00AC05AA"/>
    <w:rsid w:val="00AC0650"/>
    <w:rsid w:val="00AC0723"/>
    <w:rsid w:val="00AC0825"/>
    <w:rsid w:val="00AC08AF"/>
    <w:rsid w:val="00AC0911"/>
    <w:rsid w:val="00AC09B7"/>
    <w:rsid w:val="00AC0B62"/>
    <w:rsid w:val="00AC0BED"/>
    <w:rsid w:val="00AC0C48"/>
    <w:rsid w:val="00AC0CDA"/>
    <w:rsid w:val="00AC0E00"/>
    <w:rsid w:val="00AC0E70"/>
    <w:rsid w:val="00AC0E86"/>
    <w:rsid w:val="00AC1221"/>
    <w:rsid w:val="00AC128A"/>
    <w:rsid w:val="00AC1327"/>
    <w:rsid w:val="00AC1372"/>
    <w:rsid w:val="00AC13B8"/>
    <w:rsid w:val="00AC13D4"/>
    <w:rsid w:val="00AC1781"/>
    <w:rsid w:val="00AC198D"/>
    <w:rsid w:val="00AC1C4D"/>
    <w:rsid w:val="00AC2004"/>
    <w:rsid w:val="00AC21FB"/>
    <w:rsid w:val="00AC24E7"/>
    <w:rsid w:val="00AC2772"/>
    <w:rsid w:val="00AC285F"/>
    <w:rsid w:val="00AC2BA1"/>
    <w:rsid w:val="00AC2C1B"/>
    <w:rsid w:val="00AC334C"/>
    <w:rsid w:val="00AC3427"/>
    <w:rsid w:val="00AC359B"/>
    <w:rsid w:val="00AC36A4"/>
    <w:rsid w:val="00AC37A5"/>
    <w:rsid w:val="00AC37CE"/>
    <w:rsid w:val="00AC3829"/>
    <w:rsid w:val="00AC3B79"/>
    <w:rsid w:val="00AC3D3E"/>
    <w:rsid w:val="00AC3E28"/>
    <w:rsid w:val="00AC3E29"/>
    <w:rsid w:val="00AC3E49"/>
    <w:rsid w:val="00AC3EFE"/>
    <w:rsid w:val="00AC428F"/>
    <w:rsid w:val="00AC43D5"/>
    <w:rsid w:val="00AC4412"/>
    <w:rsid w:val="00AC444C"/>
    <w:rsid w:val="00AC468D"/>
    <w:rsid w:val="00AC4886"/>
    <w:rsid w:val="00AC4991"/>
    <w:rsid w:val="00AC4BFC"/>
    <w:rsid w:val="00AC4CD9"/>
    <w:rsid w:val="00AC4D7E"/>
    <w:rsid w:val="00AC4DE2"/>
    <w:rsid w:val="00AC4F96"/>
    <w:rsid w:val="00AC519A"/>
    <w:rsid w:val="00AC5209"/>
    <w:rsid w:val="00AC54DD"/>
    <w:rsid w:val="00AC5702"/>
    <w:rsid w:val="00AC5737"/>
    <w:rsid w:val="00AC5C29"/>
    <w:rsid w:val="00AC5D30"/>
    <w:rsid w:val="00AC5F0E"/>
    <w:rsid w:val="00AC6197"/>
    <w:rsid w:val="00AC6315"/>
    <w:rsid w:val="00AC647F"/>
    <w:rsid w:val="00AC651F"/>
    <w:rsid w:val="00AC669D"/>
    <w:rsid w:val="00AC6B1C"/>
    <w:rsid w:val="00AC71B7"/>
    <w:rsid w:val="00AC734F"/>
    <w:rsid w:val="00AC7470"/>
    <w:rsid w:val="00AC74AA"/>
    <w:rsid w:val="00AC754D"/>
    <w:rsid w:val="00AC77DB"/>
    <w:rsid w:val="00AC7842"/>
    <w:rsid w:val="00AC7AF2"/>
    <w:rsid w:val="00AC7B0E"/>
    <w:rsid w:val="00AC7B6A"/>
    <w:rsid w:val="00AC7D7A"/>
    <w:rsid w:val="00AD0240"/>
    <w:rsid w:val="00AD036B"/>
    <w:rsid w:val="00AD04BD"/>
    <w:rsid w:val="00AD0501"/>
    <w:rsid w:val="00AD070D"/>
    <w:rsid w:val="00AD09AC"/>
    <w:rsid w:val="00AD0A8B"/>
    <w:rsid w:val="00AD0D01"/>
    <w:rsid w:val="00AD0D0D"/>
    <w:rsid w:val="00AD0F57"/>
    <w:rsid w:val="00AD0F68"/>
    <w:rsid w:val="00AD0F72"/>
    <w:rsid w:val="00AD10D1"/>
    <w:rsid w:val="00AD12D5"/>
    <w:rsid w:val="00AD12DA"/>
    <w:rsid w:val="00AD1419"/>
    <w:rsid w:val="00AD1487"/>
    <w:rsid w:val="00AD1598"/>
    <w:rsid w:val="00AD1687"/>
    <w:rsid w:val="00AD17A1"/>
    <w:rsid w:val="00AD1847"/>
    <w:rsid w:val="00AD1CF2"/>
    <w:rsid w:val="00AD1DC9"/>
    <w:rsid w:val="00AD20DB"/>
    <w:rsid w:val="00AD21A0"/>
    <w:rsid w:val="00AD21F3"/>
    <w:rsid w:val="00AD22D8"/>
    <w:rsid w:val="00AD23A3"/>
    <w:rsid w:val="00AD24C1"/>
    <w:rsid w:val="00AD2520"/>
    <w:rsid w:val="00AD2561"/>
    <w:rsid w:val="00AD2608"/>
    <w:rsid w:val="00AD278B"/>
    <w:rsid w:val="00AD2866"/>
    <w:rsid w:val="00AD2F4E"/>
    <w:rsid w:val="00AD3004"/>
    <w:rsid w:val="00AD32D0"/>
    <w:rsid w:val="00AD372C"/>
    <w:rsid w:val="00AD3792"/>
    <w:rsid w:val="00AD39CE"/>
    <w:rsid w:val="00AD3A95"/>
    <w:rsid w:val="00AD3BCF"/>
    <w:rsid w:val="00AD403F"/>
    <w:rsid w:val="00AD41A8"/>
    <w:rsid w:val="00AD42C7"/>
    <w:rsid w:val="00AD42CE"/>
    <w:rsid w:val="00AD4354"/>
    <w:rsid w:val="00AD4597"/>
    <w:rsid w:val="00AD467D"/>
    <w:rsid w:val="00AD490B"/>
    <w:rsid w:val="00AD491F"/>
    <w:rsid w:val="00AD4961"/>
    <w:rsid w:val="00AD4A0C"/>
    <w:rsid w:val="00AD4A5A"/>
    <w:rsid w:val="00AD4C00"/>
    <w:rsid w:val="00AD4C43"/>
    <w:rsid w:val="00AD4D94"/>
    <w:rsid w:val="00AD4FD2"/>
    <w:rsid w:val="00AD5029"/>
    <w:rsid w:val="00AD514A"/>
    <w:rsid w:val="00AD57F4"/>
    <w:rsid w:val="00AD58A0"/>
    <w:rsid w:val="00AD5A1C"/>
    <w:rsid w:val="00AD5AB0"/>
    <w:rsid w:val="00AD5C0F"/>
    <w:rsid w:val="00AD5F58"/>
    <w:rsid w:val="00AD60D3"/>
    <w:rsid w:val="00AD64B4"/>
    <w:rsid w:val="00AD668C"/>
    <w:rsid w:val="00AD67D7"/>
    <w:rsid w:val="00AD690F"/>
    <w:rsid w:val="00AD6A7C"/>
    <w:rsid w:val="00AD6AAD"/>
    <w:rsid w:val="00AD74F7"/>
    <w:rsid w:val="00AD79A0"/>
    <w:rsid w:val="00AD7BA0"/>
    <w:rsid w:val="00AD7C6E"/>
    <w:rsid w:val="00AD7CC8"/>
    <w:rsid w:val="00AD7D9E"/>
    <w:rsid w:val="00AE02B4"/>
    <w:rsid w:val="00AE0386"/>
    <w:rsid w:val="00AE03CD"/>
    <w:rsid w:val="00AE04FD"/>
    <w:rsid w:val="00AE079A"/>
    <w:rsid w:val="00AE0896"/>
    <w:rsid w:val="00AE08AB"/>
    <w:rsid w:val="00AE094C"/>
    <w:rsid w:val="00AE0A82"/>
    <w:rsid w:val="00AE0B2D"/>
    <w:rsid w:val="00AE0B66"/>
    <w:rsid w:val="00AE1006"/>
    <w:rsid w:val="00AE11E3"/>
    <w:rsid w:val="00AE139C"/>
    <w:rsid w:val="00AE13F3"/>
    <w:rsid w:val="00AE1443"/>
    <w:rsid w:val="00AE16E7"/>
    <w:rsid w:val="00AE1C5C"/>
    <w:rsid w:val="00AE1CB6"/>
    <w:rsid w:val="00AE1FD5"/>
    <w:rsid w:val="00AE2048"/>
    <w:rsid w:val="00AE2299"/>
    <w:rsid w:val="00AE2368"/>
    <w:rsid w:val="00AE2416"/>
    <w:rsid w:val="00AE24B2"/>
    <w:rsid w:val="00AE27E0"/>
    <w:rsid w:val="00AE2876"/>
    <w:rsid w:val="00AE29BD"/>
    <w:rsid w:val="00AE2A29"/>
    <w:rsid w:val="00AE2CDA"/>
    <w:rsid w:val="00AE2E0E"/>
    <w:rsid w:val="00AE2F4E"/>
    <w:rsid w:val="00AE309E"/>
    <w:rsid w:val="00AE3583"/>
    <w:rsid w:val="00AE364E"/>
    <w:rsid w:val="00AE3729"/>
    <w:rsid w:val="00AE3BBC"/>
    <w:rsid w:val="00AE43CB"/>
    <w:rsid w:val="00AE492D"/>
    <w:rsid w:val="00AE4B58"/>
    <w:rsid w:val="00AE4B61"/>
    <w:rsid w:val="00AE4BFE"/>
    <w:rsid w:val="00AE4D7F"/>
    <w:rsid w:val="00AE5142"/>
    <w:rsid w:val="00AE53A1"/>
    <w:rsid w:val="00AE53DB"/>
    <w:rsid w:val="00AE5424"/>
    <w:rsid w:val="00AE55A9"/>
    <w:rsid w:val="00AE56F3"/>
    <w:rsid w:val="00AE5761"/>
    <w:rsid w:val="00AE58AD"/>
    <w:rsid w:val="00AE59D3"/>
    <w:rsid w:val="00AE5B1E"/>
    <w:rsid w:val="00AE5B44"/>
    <w:rsid w:val="00AE5B75"/>
    <w:rsid w:val="00AE5CFB"/>
    <w:rsid w:val="00AE5FB2"/>
    <w:rsid w:val="00AE6063"/>
    <w:rsid w:val="00AE664D"/>
    <w:rsid w:val="00AE68FB"/>
    <w:rsid w:val="00AE693F"/>
    <w:rsid w:val="00AE6D7C"/>
    <w:rsid w:val="00AE6DCA"/>
    <w:rsid w:val="00AE6ECA"/>
    <w:rsid w:val="00AE7086"/>
    <w:rsid w:val="00AE70A8"/>
    <w:rsid w:val="00AE71D3"/>
    <w:rsid w:val="00AE74B2"/>
    <w:rsid w:val="00AE7587"/>
    <w:rsid w:val="00AE76B1"/>
    <w:rsid w:val="00AE781B"/>
    <w:rsid w:val="00AE7931"/>
    <w:rsid w:val="00AE795B"/>
    <w:rsid w:val="00AE7AB8"/>
    <w:rsid w:val="00AF005E"/>
    <w:rsid w:val="00AF00C8"/>
    <w:rsid w:val="00AF0207"/>
    <w:rsid w:val="00AF02AE"/>
    <w:rsid w:val="00AF042A"/>
    <w:rsid w:val="00AF054C"/>
    <w:rsid w:val="00AF096B"/>
    <w:rsid w:val="00AF0AC2"/>
    <w:rsid w:val="00AF0C61"/>
    <w:rsid w:val="00AF1188"/>
    <w:rsid w:val="00AF14F1"/>
    <w:rsid w:val="00AF1521"/>
    <w:rsid w:val="00AF15A9"/>
    <w:rsid w:val="00AF15E5"/>
    <w:rsid w:val="00AF16FB"/>
    <w:rsid w:val="00AF1761"/>
    <w:rsid w:val="00AF17E4"/>
    <w:rsid w:val="00AF1A5F"/>
    <w:rsid w:val="00AF1C41"/>
    <w:rsid w:val="00AF1E6E"/>
    <w:rsid w:val="00AF1E88"/>
    <w:rsid w:val="00AF1EC0"/>
    <w:rsid w:val="00AF2019"/>
    <w:rsid w:val="00AF203C"/>
    <w:rsid w:val="00AF2188"/>
    <w:rsid w:val="00AF2335"/>
    <w:rsid w:val="00AF23E6"/>
    <w:rsid w:val="00AF2C0B"/>
    <w:rsid w:val="00AF2DDB"/>
    <w:rsid w:val="00AF2E4C"/>
    <w:rsid w:val="00AF2FB3"/>
    <w:rsid w:val="00AF301B"/>
    <w:rsid w:val="00AF309F"/>
    <w:rsid w:val="00AF33EB"/>
    <w:rsid w:val="00AF34E7"/>
    <w:rsid w:val="00AF3594"/>
    <w:rsid w:val="00AF366E"/>
    <w:rsid w:val="00AF382C"/>
    <w:rsid w:val="00AF38B4"/>
    <w:rsid w:val="00AF3922"/>
    <w:rsid w:val="00AF3ACB"/>
    <w:rsid w:val="00AF3CF8"/>
    <w:rsid w:val="00AF3D52"/>
    <w:rsid w:val="00AF3E3E"/>
    <w:rsid w:val="00AF3ECA"/>
    <w:rsid w:val="00AF4184"/>
    <w:rsid w:val="00AF41A6"/>
    <w:rsid w:val="00AF42C9"/>
    <w:rsid w:val="00AF434B"/>
    <w:rsid w:val="00AF44C3"/>
    <w:rsid w:val="00AF454E"/>
    <w:rsid w:val="00AF4C76"/>
    <w:rsid w:val="00AF4ED6"/>
    <w:rsid w:val="00AF5052"/>
    <w:rsid w:val="00AF5074"/>
    <w:rsid w:val="00AF5077"/>
    <w:rsid w:val="00AF50F5"/>
    <w:rsid w:val="00AF50FC"/>
    <w:rsid w:val="00AF5100"/>
    <w:rsid w:val="00AF51F6"/>
    <w:rsid w:val="00AF5670"/>
    <w:rsid w:val="00AF58A7"/>
    <w:rsid w:val="00AF5C22"/>
    <w:rsid w:val="00AF5C8E"/>
    <w:rsid w:val="00AF5F7C"/>
    <w:rsid w:val="00AF61E7"/>
    <w:rsid w:val="00AF62FC"/>
    <w:rsid w:val="00AF6458"/>
    <w:rsid w:val="00AF6615"/>
    <w:rsid w:val="00AF6758"/>
    <w:rsid w:val="00AF6C0C"/>
    <w:rsid w:val="00AF6CFC"/>
    <w:rsid w:val="00AF6E1C"/>
    <w:rsid w:val="00AF6E9B"/>
    <w:rsid w:val="00AF70A8"/>
    <w:rsid w:val="00AF730A"/>
    <w:rsid w:val="00AF731C"/>
    <w:rsid w:val="00AF79A3"/>
    <w:rsid w:val="00AF7DA4"/>
    <w:rsid w:val="00AF7FE9"/>
    <w:rsid w:val="00B000D3"/>
    <w:rsid w:val="00B00290"/>
    <w:rsid w:val="00B002FB"/>
    <w:rsid w:val="00B00599"/>
    <w:rsid w:val="00B00956"/>
    <w:rsid w:val="00B0099F"/>
    <w:rsid w:val="00B00A34"/>
    <w:rsid w:val="00B00A9B"/>
    <w:rsid w:val="00B00B0C"/>
    <w:rsid w:val="00B00C37"/>
    <w:rsid w:val="00B01068"/>
    <w:rsid w:val="00B014DA"/>
    <w:rsid w:val="00B01688"/>
    <w:rsid w:val="00B016B6"/>
    <w:rsid w:val="00B0179F"/>
    <w:rsid w:val="00B01AAB"/>
    <w:rsid w:val="00B01B2E"/>
    <w:rsid w:val="00B01D8A"/>
    <w:rsid w:val="00B01FA3"/>
    <w:rsid w:val="00B01FDE"/>
    <w:rsid w:val="00B02169"/>
    <w:rsid w:val="00B023F6"/>
    <w:rsid w:val="00B024FF"/>
    <w:rsid w:val="00B02529"/>
    <w:rsid w:val="00B0255C"/>
    <w:rsid w:val="00B0261A"/>
    <w:rsid w:val="00B0262A"/>
    <w:rsid w:val="00B02774"/>
    <w:rsid w:val="00B029CA"/>
    <w:rsid w:val="00B029EC"/>
    <w:rsid w:val="00B02D21"/>
    <w:rsid w:val="00B02F5E"/>
    <w:rsid w:val="00B02F95"/>
    <w:rsid w:val="00B02FF2"/>
    <w:rsid w:val="00B030B3"/>
    <w:rsid w:val="00B0319B"/>
    <w:rsid w:val="00B03D25"/>
    <w:rsid w:val="00B03FFB"/>
    <w:rsid w:val="00B0400D"/>
    <w:rsid w:val="00B04038"/>
    <w:rsid w:val="00B0418F"/>
    <w:rsid w:val="00B043FA"/>
    <w:rsid w:val="00B045FB"/>
    <w:rsid w:val="00B04762"/>
    <w:rsid w:val="00B049CE"/>
    <w:rsid w:val="00B04BE5"/>
    <w:rsid w:val="00B04C90"/>
    <w:rsid w:val="00B04D27"/>
    <w:rsid w:val="00B04E2C"/>
    <w:rsid w:val="00B05132"/>
    <w:rsid w:val="00B05409"/>
    <w:rsid w:val="00B0575C"/>
    <w:rsid w:val="00B05A6C"/>
    <w:rsid w:val="00B05DBA"/>
    <w:rsid w:val="00B05E3D"/>
    <w:rsid w:val="00B05E84"/>
    <w:rsid w:val="00B061A6"/>
    <w:rsid w:val="00B061A9"/>
    <w:rsid w:val="00B0621C"/>
    <w:rsid w:val="00B06373"/>
    <w:rsid w:val="00B06528"/>
    <w:rsid w:val="00B066B1"/>
    <w:rsid w:val="00B0674F"/>
    <w:rsid w:val="00B06849"/>
    <w:rsid w:val="00B06AF4"/>
    <w:rsid w:val="00B06C33"/>
    <w:rsid w:val="00B06D24"/>
    <w:rsid w:val="00B06D7C"/>
    <w:rsid w:val="00B06E6A"/>
    <w:rsid w:val="00B06ED8"/>
    <w:rsid w:val="00B06F0E"/>
    <w:rsid w:val="00B06FF1"/>
    <w:rsid w:val="00B070AF"/>
    <w:rsid w:val="00B073D0"/>
    <w:rsid w:val="00B07494"/>
    <w:rsid w:val="00B07497"/>
    <w:rsid w:val="00B07668"/>
    <w:rsid w:val="00B076F2"/>
    <w:rsid w:val="00B07B9C"/>
    <w:rsid w:val="00B07BB1"/>
    <w:rsid w:val="00B07BBE"/>
    <w:rsid w:val="00B07E36"/>
    <w:rsid w:val="00B10001"/>
    <w:rsid w:val="00B10065"/>
    <w:rsid w:val="00B102B1"/>
    <w:rsid w:val="00B10458"/>
    <w:rsid w:val="00B10562"/>
    <w:rsid w:val="00B10570"/>
    <w:rsid w:val="00B107EA"/>
    <w:rsid w:val="00B10856"/>
    <w:rsid w:val="00B1088C"/>
    <w:rsid w:val="00B108E3"/>
    <w:rsid w:val="00B10945"/>
    <w:rsid w:val="00B10971"/>
    <w:rsid w:val="00B1097C"/>
    <w:rsid w:val="00B10A49"/>
    <w:rsid w:val="00B10A6F"/>
    <w:rsid w:val="00B10D76"/>
    <w:rsid w:val="00B10F3C"/>
    <w:rsid w:val="00B10FD1"/>
    <w:rsid w:val="00B11239"/>
    <w:rsid w:val="00B11292"/>
    <w:rsid w:val="00B113CC"/>
    <w:rsid w:val="00B11570"/>
    <w:rsid w:val="00B117A9"/>
    <w:rsid w:val="00B1181C"/>
    <w:rsid w:val="00B118E9"/>
    <w:rsid w:val="00B118FB"/>
    <w:rsid w:val="00B119D4"/>
    <w:rsid w:val="00B1212C"/>
    <w:rsid w:val="00B124CF"/>
    <w:rsid w:val="00B12501"/>
    <w:rsid w:val="00B1298C"/>
    <w:rsid w:val="00B12999"/>
    <w:rsid w:val="00B129FF"/>
    <w:rsid w:val="00B12A41"/>
    <w:rsid w:val="00B12E7B"/>
    <w:rsid w:val="00B12F19"/>
    <w:rsid w:val="00B12F91"/>
    <w:rsid w:val="00B130C4"/>
    <w:rsid w:val="00B13701"/>
    <w:rsid w:val="00B1383F"/>
    <w:rsid w:val="00B13A13"/>
    <w:rsid w:val="00B13B1C"/>
    <w:rsid w:val="00B13D01"/>
    <w:rsid w:val="00B13E2C"/>
    <w:rsid w:val="00B14258"/>
    <w:rsid w:val="00B143C6"/>
    <w:rsid w:val="00B145EB"/>
    <w:rsid w:val="00B14629"/>
    <w:rsid w:val="00B146A3"/>
    <w:rsid w:val="00B14960"/>
    <w:rsid w:val="00B14A6B"/>
    <w:rsid w:val="00B14CD3"/>
    <w:rsid w:val="00B14DB4"/>
    <w:rsid w:val="00B14EF7"/>
    <w:rsid w:val="00B1519E"/>
    <w:rsid w:val="00B1540F"/>
    <w:rsid w:val="00B15414"/>
    <w:rsid w:val="00B155BD"/>
    <w:rsid w:val="00B15679"/>
    <w:rsid w:val="00B156EE"/>
    <w:rsid w:val="00B15743"/>
    <w:rsid w:val="00B15951"/>
    <w:rsid w:val="00B159EA"/>
    <w:rsid w:val="00B15BC4"/>
    <w:rsid w:val="00B15DE1"/>
    <w:rsid w:val="00B162CA"/>
    <w:rsid w:val="00B1646E"/>
    <w:rsid w:val="00B1659D"/>
    <w:rsid w:val="00B165C6"/>
    <w:rsid w:val="00B1667D"/>
    <w:rsid w:val="00B166A1"/>
    <w:rsid w:val="00B166E7"/>
    <w:rsid w:val="00B1671A"/>
    <w:rsid w:val="00B167DC"/>
    <w:rsid w:val="00B167F8"/>
    <w:rsid w:val="00B1680A"/>
    <w:rsid w:val="00B168A8"/>
    <w:rsid w:val="00B16974"/>
    <w:rsid w:val="00B169ED"/>
    <w:rsid w:val="00B16A04"/>
    <w:rsid w:val="00B16A9C"/>
    <w:rsid w:val="00B1715C"/>
    <w:rsid w:val="00B17308"/>
    <w:rsid w:val="00B1730D"/>
    <w:rsid w:val="00B175A2"/>
    <w:rsid w:val="00B1793E"/>
    <w:rsid w:val="00B17A91"/>
    <w:rsid w:val="00B17ECD"/>
    <w:rsid w:val="00B17F78"/>
    <w:rsid w:val="00B17F81"/>
    <w:rsid w:val="00B200FB"/>
    <w:rsid w:val="00B202B1"/>
    <w:rsid w:val="00B20554"/>
    <w:rsid w:val="00B20624"/>
    <w:rsid w:val="00B20898"/>
    <w:rsid w:val="00B208E7"/>
    <w:rsid w:val="00B20A37"/>
    <w:rsid w:val="00B20A4B"/>
    <w:rsid w:val="00B20F7E"/>
    <w:rsid w:val="00B210B0"/>
    <w:rsid w:val="00B210D2"/>
    <w:rsid w:val="00B2124F"/>
    <w:rsid w:val="00B212F1"/>
    <w:rsid w:val="00B213B2"/>
    <w:rsid w:val="00B2145A"/>
    <w:rsid w:val="00B215C9"/>
    <w:rsid w:val="00B21897"/>
    <w:rsid w:val="00B218F9"/>
    <w:rsid w:val="00B219FF"/>
    <w:rsid w:val="00B21B56"/>
    <w:rsid w:val="00B21F8A"/>
    <w:rsid w:val="00B223CD"/>
    <w:rsid w:val="00B224A0"/>
    <w:rsid w:val="00B224F2"/>
    <w:rsid w:val="00B2264F"/>
    <w:rsid w:val="00B226AD"/>
    <w:rsid w:val="00B22941"/>
    <w:rsid w:val="00B229A5"/>
    <w:rsid w:val="00B22BD0"/>
    <w:rsid w:val="00B22D4B"/>
    <w:rsid w:val="00B22DBE"/>
    <w:rsid w:val="00B22E7D"/>
    <w:rsid w:val="00B22FF1"/>
    <w:rsid w:val="00B2303E"/>
    <w:rsid w:val="00B23159"/>
    <w:rsid w:val="00B233D3"/>
    <w:rsid w:val="00B23640"/>
    <w:rsid w:val="00B237E8"/>
    <w:rsid w:val="00B238EF"/>
    <w:rsid w:val="00B23C48"/>
    <w:rsid w:val="00B23F8E"/>
    <w:rsid w:val="00B24054"/>
    <w:rsid w:val="00B240BA"/>
    <w:rsid w:val="00B240D2"/>
    <w:rsid w:val="00B24253"/>
    <w:rsid w:val="00B242B6"/>
    <w:rsid w:val="00B24338"/>
    <w:rsid w:val="00B24455"/>
    <w:rsid w:val="00B2479C"/>
    <w:rsid w:val="00B24863"/>
    <w:rsid w:val="00B248AF"/>
    <w:rsid w:val="00B24D66"/>
    <w:rsid w:val="00B25001"/>
    <w:rsid w:val="00B25140"/>
    <w:rsid w:val="00B2522D"/>
    <w:rsid w:val="00B25391"/>
    <w:rsid w:val="00B253BA"/>
    <w:rsid w:val="00B2555B"/>
    <w:rsid w:val="00B257B6"/>
    <w:rsid w:val="00B257DC"/>
    <w:rsid w:val="00B25858"/>
    <w:rsid w:val="00B259E5"/>
    <w:rsid w:val="00B25B61"/>
    <w:rsid w:val="00B25C63"/>
    <w:rsid w:val="00B25CAD"/>
    <w:rsid w:val="00B25F3E"/>
    <w:rsid w:val="00B260A7"/>
    <w:rsid w:val="00B2613F"/>
    <w:rsid w:val="00B262B2"/>
    <w:rsid w:val="00B262EC"/>
    <w:rsid w:val="00B26813"/>
    <w:rsid w:val="00B26C85"/>
    <w:rsid w:val="00B26E46"/>
    <w:rsid w:val="00B26F4C"/>
    <w:rsid w:val="00B27115"/>
    <w:rsid w:val="00B27520"/>
    <w:rsid w:val="00B2771C"/>
    <w:rsid w:val="00B27827"/>
    <w:rsid w:val="00B2799F"/>
    <w:rsid w:val="00B27A28"/>
    <w:rsid w:val="00B27BF2"/>
    <w:rsid w:val="00B27E96"/>
    <w:rsid w:val="00B30115"/>
    <w:rsid w:val="00B3088F"/>
    <w:rsid w:val="00B30A0F"/>
    <w:rsid w:val="00B30AE1"/>
    <w:rsid w:val="00B30CC0"/>
    <w:rsid w:val="00B30CCC"/>
    <w:rsid w:val="00B311C8"/>
    <w:rsid w:val="00B3126F"/>
    <w:rsid w:val="00B312A0"/>
    <w:rsid w:val="00B31493"/>
    <w:rsid w:val="00B3163C"/>
    <w:rsid w:val="00B316E7"/>
    <w:rsid w:val="00B31839"/>
    <w:rsid w:val="00B319E8"/>
    <w:rsid w:val="00B32390"/>
    <w:rsid w:val="00B32443"/>
    <w:rsid w:val="00B3259A"/>
    <w:rsid w:val="00B327A4"/>
    <w:rsid w:val="00B3283F"/>
    <w:rsid w:val="00B32850"/>
    <w:rsid w:val="00B329F3"/>
    <w:rsid w:val="00B32C8A"/>
    <w:rsid w:val="00B32D81"/>
    <w:rsid w:val="00B32F23"/>
    <w:rsid w:val="00B33146"/>
    <w:rsid w:val="00B33618"/>
    <w:rsid w:val="00B338BB"/>
    <w:rsid w:val="00B33B5B"/>
    <w:rsid w:val="00B33F30"/>
    <w:rsid w:val="00B340D8"/>
    <w:rsid w:val="00B341BD"/>
    <w:rsid w:val="00B3433A"/>
    <w:rsid w:val="00B343BF"/>
    <w:rsid w:val="00B344D0"/>
    <w:rsid w:val="00B34635"/>
    <w:rsid w:val="00B34974"/>
    <w:rsid w:val="00B34C9D"/>
    <w:rsid w:val="00B35113"/>
    <w:rsid w:val="00B3519F"/>
    <w:rsid w:val="00B35238"/>
    <w:rsid w:val="00B35240"/>
    <w:rsid w:val="00B353FB"/>
    <w:rsid w:val="00B35406"/>
    <w:rsid w:val="00B354D9"/>
    <w:rsid w:val="00B35B91"/>
    <w:rsid w:val="00B35C45"/>
    <w:rsid w:val="00B35D78"/>
    <w:rsid w:val="00B35E0E"/>
    <w:rsid w:val="00B360FA"/>
    <w:rsid w:val="00B3635A"/>
    <w:rsid w:val="00B3648D"/>
    <w:rsid w:val="00B3665D"/>
    <w:rsid w:val="00B36748"/>
    <w:rsid w:val="00B36940"/>
    <w:rsid w:val="00B369E2"/>
    <w:rsid w:val="00B36A1A"/>
    <w:rsid w:val="00B36A63"/>
    <w:rsid w:val="00B36B22"/>
    <w:rsid w:val="00B36BA1"/>
    <w:rsid w:val="00B36CE4"/>
    <w:rsid w:val="00B36D68"/>
    <w:rsid w:val="00B3720D"/>
    <w:rsid w:val="00B37543"/>
    <w:rsid w:val="00B37633"/>
    <w:rsid w:val="00B376BD"/>
    <w:rsid w:val="00B379C7"/>
    <w:rsid w:val="00B37C7D"/>
    <w:rsid w:val="00B37F59"/>
    <w:rsid w:val="00B40098"/>
    <w:rsid w:val="00B40110"/>
    <w:rsid w:val="00B403E9"/>
    <w:rsid w:val="00B40627"/>
    <w:rsid w:val="00B406D4"/>
    <w:rsid w:val="00B407B1"/>
    <w:rsid w:val="00B40A09"/>
    <w:rsid w:val="00B40A3D"/>
    <w:rsid w:val="00B40C59"/>
    <w:rsid w:val="00B40CFD"/>
    <w:rsid w:val="00B40D35"/>
    <w:rsid w:val="00B40E70"/>
    <w:rsid w:val="00B41013"/>
    <w:rsid w:val="00B413B1"/>
    <w:rsid w:val="00B41409"/>
    <w:rsid w:val="00B41469"/>
    <w:rsid w:val="00B41765"/>
    <w:rsid w:val="00B41831"/>
    <w:rsid w:val="00B419D5"/>
    <w:rsid w:val="00B41A31"/>
    <w:rsid w:val="00B41A82"/>
    <w:rsid w:val="00B41D3D"/>
    <w:rsid w:val="00B421EA"/>
    <w:rsid w:val="00B4233F"/>
    <w:rsid w:val="00B424FC"/>
    <w:rsid w:val="00B42641"/>
    <w:rsid w:val="00B42A96"/>
    <w:rsid w:val="00B42E05"/>
    <w:rsid w:val="00B42E75"/>
    <w:rsid w:val="00B42ED3"/>
    <w:rsid w:val="00B432AE"/>
    <w:rsid w:val="00B432E6"/>
    <w:rsid w:val="00B43413"/>
    <w:rsid w:val="00B4344E"/>
    <w:rsid w:val="00B436B9"/>
    <w:rsid w:val="00B436F6"/>
    <w:rsid w:val="00B437E0"/>
    <w:rsid w:val="00B43814"/>
    <w:rsid w:val="00B43896"/>
    <w:rsid w:val="00B438DA"/>
    <w:rsid w:val="00B43A14"/>
    <w:rsid w:val="00B43AD9"/>
    <w:rsid w:val="00B43C10"/>
    <w:rsid w:val="00B43C63"/>
    <w:rsid w:val="00B440DB"/>
    <w:rsid w:val="00B449B9"/>
    <w:rsid w:val="00B44AE7"/>
    <w:rsid w:val="00B44CAD"/>
    <w:rsid w:val="00B44E62"/>
    <w:rsid w:val="00B44F96"/>
    <w:rsid w:val="00B45211"/>
    <w:rsid w:val="00B45726"/>
    <w:rsid w:val="00B4592C"/>
    <w:rsid w:val="00B4594D"/>
    <w:rsid w:val="00B45BBA"/>
    <w:rsid w:val="00B45BF0"/>
    <w:rsid w:val="00B45C1E"/>
    <w:rsid w:val="00B45D02"/>
    <w:rsid w:val="00B45E1D"/>
    <w:rsid w:val="00B46672"/>
    <w:rsid w:val="00B46712"/>
    <w:rsid w:val="00B46737"/>
    <w:rsid w:val="00B46855"/>
    <w:rsid w:val="00B4686B"/>
    <w:rsid w:val="00B46A5D"/>
    <w:rsid w:val="00B46B59"/>
    <w:rsid w:val="00B46EBA"/>
    <w:rsid w:val="00B46F64"/>
    <w:rsid w:val="00B46F80"/>
    <w:rsid w:val="00B46F96"/>
    <w:rsid w:val="00B4719C"/>
    <w:rsid w:val="00B4734E"/>
    <w:rsid w:val="00B4736C"/>
    <w:rsid w:val="00B473E5"/>
    <w:rsid w:val="00B473E8"/>
    <w:rsid w:val="00B4746F"/>
    <w:rsid w:val="00B474D1"/>
    <w:rsid w:val="00B4758F"/>
    <w:rsid w:val="00B47597"/>
    <w:rsid w:val="00B479BB"/>
    <w:rsid w:val="00B479C6"/>
    <w:rsid w:val="00B47B64"/>
    <w:rsid w:val="00B47BE0"/>
    <w:rsid w:val="00B500B4"/>
    <w:rsid w:val="00B5058C"/>
    <w:rsid w:val="00B50791"/>
    <w:rsid w:val="00B50903"/>
    <w:rsid w:val="00B50932"/>
    <w:rsid w:val="00B50A10"/>
    <w:rsid w:val="00B50BB5"/>
    <w:rsid w:val="00B50E80"/>
    <w:rsid w:val="00B50FFD"/>
    <w:rsid w:val="00B5103F"/>
    <w:rsid w:val="00B512EA"/>
    <w:rsid w:val="00B512FE"/>
    <w:rsid w:val="00B51366"/>
    <w:rsid w:val="00B51398"/>
    <w:rsid w:val="00B51844"/>
    <w:rsid w:val="00B519C2"/>
    <w:rsid w:val="00B519F3"/>
    <w:rsid w:val="00B51A5D"/>
    <w:rsid w:val="00B51A90"/>
    <w:rsid w:val="00B51B18"/>
    <w:rsid w:val="00B51C37"/>
    <w:rsid w:val="00B52064"/>
    <w:rsid w:val="00B520E2"/>
    <w:rsid w:val="00B52157"/>
    <w:rsid w:val="00B52342"/>
    <w:rsid w:val="00B523C6"/>
    <w:rsid w:val="00B52487"/>
    <w:rsid w:val="00B526D1"/>
    <w:rsid w:val="00B526E7"/>
    <w:rsid w:val="00B526E8"/>
    <w:rsid w:val="00B527C7"/>
    <w:rsid w:val="00B52C6C"/>
    <w:rsid w:val="00B52FFB"/>
    <w:rsid w:val="00B53076"/>
    <w:rsid w:val="00B530CB"/>
    <w:rsid w:val="00B5320B"/>
    <w:rsid w:val="00B5324C"/>
    <w:rsid w:val="00B53274"/>
    <w:rsid w:val="00B533F4"/>
    <w:rsid w:val="00B535A7"/>
    <w:rsid w:val="00B538B9"/>
    <w:rsid w:val="00B53912"/>
    <w:rsid w:val="00B53CA0"/>
    <w:rsid w:val="00B53FCC"/>
    <w:rsid w:val="00B54097"/>
    <w:rsid w:val="00B54408"/>
    <w:rsid w:val="00B54487"/>
    <w:rsid w:val="00B544A6"/>
    <w:rsid w:val="00B54749"/>
    <w:rsid w:val="00B54CE9"/>
    <w:rsid w:val="00B54EFE"/>
    <w:rsid w:val="00B54F80"/>
    <w:rsid w:val="00B5509D"/>
    <w:rsid w:val="00B5534F"/>
    <w:rsid w:val="00B55479"/>
    <w:rsid w:val="00B554E9"/>
    <w:rsid w:val="00B556B5"/>
    <w:rsid w:val="00B557E6"/>
    <w:rsid w:val="00B55B6A"/>
    <w:rsid w:val="00B55C88"/>
    <w:rsid w:val="00B55F1D"/>
    <w:rsid w:val="00B56186"/>
    <w:rsid w:val="00B56285"/>
    <w:rsid w:val="00B562BE"/>
    <w:rsid w:val="00B563D6"/>
    <w:rsid w:val="00B56633"/>
    <w:rsid w:val="00B5666F"/>
    <w:rsid w:val="00B56885"/>
    <w:rsid w:val="00B569CB"/>
    <w:rsid w:val="00B56AB8"/>
    <w:rsid w:val="00B56B7F"/>
    <w:rsid w:val="00B56CFD"/>
    <w:rsid w:val="00B56D03"/>
    <w:rsid w:val="00B56F7B"/>
    <w:rsid w:val="00B56FAC"/>
    <w:rsid w:val="00B571DA"/>
    <w:rsid w:val="00B571EE"/>
    <w:rsid w:val="00B57391"/>
    <w:rsid w:val="00B5748B"/>
    <w:rsid w:val="00B57693"/>
    <w:rsid w:val="00B5781D"/>
    <w:rsid w:val="00B57845"/>
    <w:rsid w:val="00B57882"/>
    <w:rsid w:val="00B5795A"/>
    <w:rsid w:val="00B57CA6"/>
    <w:rsid w:val="00B57DC4"/>
    <w:rsid w:val="00B6017A"/>
    <w:rsid w:val="00B6017D"/>
    <w:rsid w:val="00B601A9"/>
    <w:rsid w:val="00B602CE"/>
    <w:rsid w:val="00B606E9"/>
    <w:rsid w:val="00B6071E"/>
    <w:rsid w:val="00B60756"/>
    <w:rsid w:val="00B60A71"/>
    <w:rsid w:val="00B60A9B"/>
    <w:rsid w:val="00B60CFC"/>
    <w:rsid w:val="00B60DF9"/>
    <w:rsid w:val="00B6117B"/>
    <w:rsid w:val="00B61336"/>
    <w:rsid w:val="00B613CA"/>
    <w:rsid w:val="00B61479"/>
    <w:rsid w:val="00B61558"/>
    <w:rsid w:val="00B616AE"/>
    <w:rsid w:val="00B61829"/>
    <w:rsid w:val="00B619AD"/>
    <w:rsid w:val="00B61AA6"/>
    <w:rsid w:val="00B61B12"/>
    <w:rsid w:val="00B61D83"/>
    <w:rsid w:val="00B61F04"/>
    <w:rsid w:val="00B62018"/>
    <w:rsid w:val="00B622FE"/>
    <w:rsid w:val="00B62402"/>
    <w:rsid w:val="00B62686"/>
    <w:rsid w:val="00B627BF"/>
    <w:rsid w:val="00B62877"/>
    <w:rsid w:val="00B628EF"/>
    <w:rsid w:val="00B629C9"/>
    <w:rsid w:val="00B62AE9"/>
    <w:rsid w:val="00B62B03"/>
    <w:rsid w:val="00B62B68"/>
    <w:rsid w:val="00B62D22"/>
    <w:rsid w:val="00B62D47"/>
    <w:rsid w:val="00B62F86"/>
    <w:rsid w:val="00B6321B"/>
    <w:rsid w:val="00B6329E"/>
    <w:rsid w:val="00B63406"/>
    <w:rsid w:val="00B636D7"/>
    <w:rsid w:val="00B6379C"/>
    <w:rsid w:val="00B639C1"/>
    <w:rsid w:val="00B63A75"/>
    <w:rsid w:val="00B63AD0"/>
    <w:rsid w:val="00B63ED4"/>
    <w:rsid w:val="00B64020"/>
    <w:rsid w:val="00B640C9"/>
    <w:rsid w:val="00B64157"/>
    <w:rsid w:val="00B64323"/>
    <w:rsid w:val="00B643ED"/>
    <w:rsid w:val="00B64466"/>
    <w:rsid w:val="00B644CE"/>
    <w:rsid w:val="00B64534"/>
    <w:rsid w:val="00B6455E"/>
    <w:rsid w:val="00B645AE"/>
    <w:rsid w:val="00B645B6"/>
    <w:rsid w:val="00B646FF"/>
    <w:rsid w:val="00B648F2"/>
    <w:rsid w:val="00B64A92"/>
    <w:rsid w:val="00B64B55"/>
    <w:rsid w:val="00B64CC0"/>
    <w:rsid w:val="00B64CC2"/>
    <w:rsid w:val="00B64CCC"/>
    <w:rsid w:val="00B64DEE"/>
    <w:rsid w:val="00B650C3"/>
    <w:rsid w:val="00B65188"/>
    <w:rsid w:val="00B6526E"/>
    <w:rsid w:val="00B65653"/>
    <w:rsid w:val="00B6568B"/>
    <w:rsid w:val="00B6574B"/>
    <w:rsid w:val="00B657C7"/>
    <w:rsid w:val="00B657F4"/>
    <w:rsid w:val="00B6583E"/>
    <w:rsid w:val="00B659F0"/>
    <w:rsid w:val="00B65AE6"/>
    <w:rsid w:val="00B65D1C"/>
    <w:rsid w:val="00B65E17"/>
    <w:rsid w:val="00B660AF"/>
    <w:rsid w:val="00B664A9"/>
    <w:rsid w:val="00B66578"/>
    <w:rsid w:val="00B667A0"/>
    <w:rsid w:val="00B66B0D"/>
    <w:rsid w:val="00B66D30"/>
    <w:rsid w:val="00B66D8F"/>
    <w:rsid w:val="00B66E47"/>
    <w:rsid w:val="00B66EAB"/>
    <w:rsid w:val="00B66F18"/>
    <w:rsid w:val="00B67116"/>
    <w:rsid w:val="00B67124"/>
    <w:rsid w:val="00B67205"/>
    <w:rsid w:val="00B6739D"/>
    <w:rsid w:val="00B67973"/>
    <w:rsid w:val="00B67B11"/>
    <w:rsid w:val="00B700DB"/>
    <w:rsid w:val="00B702C4"/>
    <w:rsid w:val="00B70452"/>
    <w:rsid w:val="00B7076C"/>
    <w:rsid w:val="00B70791"/>
    <w:rsid w:val="00B7083C"/>
    <w:rsid w:val="00B708F4"/>
    <w:rsid w:val="00B7099A"/>
    <w:rsid w:val="00B70A40"/>
    <w:rsid w:val="00B70AD1"/>
    <w:rsid w:val="00B70B16"/>
    <w:rsid w:val="00B70E82"/>
    <w:rsid w:val="00B71067"/>
    <w:rsid w:val="00B710C8"/>
    <w:rsid w:val="00B71175"/>
    <w:rsid w:val="00B712CD"/>
    <w:rsid w:val="00B712FB"/>
    <w:rsid w:val="00B71305"/>
    <w:rsid w:val="00B7146A"/>
    <w:rsid w:val="00B714AC"/>
    <w:rsid w:val="00B71562"/>
    <w:rsid w:val="00B71563"/>
    <w:rsid w:val="00B715CC"/>
    <w:rsid w:val="00B715F6"/>
    <w:rsid w:val="00B71614"/>
    <w:rsid w:val="00B716E5"/>
    <w:rsid w:val="00B719E7"/>
    <w:rsid w:val="00B71C6F"/>
    <w:rsid w:val="00B71D1F"/>
    <w:rsid w:val="00B71D39"/>
    <w:rsid w:val="00B71D5E"/>
    <w:rsid w:val="00B71E1F"/>
    <w:rsid w:val="00B71EE7"/>
    <w:rsid w:val="00B71F6F"/>
    <w:rsid w:val="00B72054"/>
    <w:rsid w:val="00B720CF"/>
    <w:rsid w:val="00B7211C"/>
    <w:rsid w:val="00B721D3"/>
    <w:rsid w:val="00B7232E"/>
    <w:rsid w:val="00B724F0"/>
    <w:rsid w:val="00B72502"/>
    <w:rsid w:val="00B729BE"/>
    <w:rsid w:val="00B73099"/>
    <w:rsid w:val="00B731ED"/>
    <w:rsid w:val="00B7323D"/>
    <w:rsid w:val="00B732FD"/>
    <w:rsid w:val="00B7366A"/>
    <w:rsid w:val="00B73760"/>
    <w:rsid w:val="00B73877"/>
    <w:rsid w:val="00B73AB5"/>
    <w:rsid w:val="00B73CA8"/>
    <w:rsid w:val="00B73CDF"/>
    <w:rsid w:val="00B74332"/>
    <w:rsid w:val="00B7440B"/>
    <w:rsid w:val="00B744FA"/>
    <w:rsid w:val="00B74632"/>
    <w:rsid w:val="00B74927"/>
    <w:rsid w:val="00B74A9C"/>
    <w:rsid w:val="00B74CA4"/>
    <w:rsid w:val="00B7503E"/>
    <w:rsid w:val="00B753C7"/>
    <w:rsid w:val="00B755CD"/>
    <w:rsid w:val="00B75782"/>
    <w:rsid w:val="00B7589B"/>
    <w:rsid w:val="00B7596F"/>
    <w:rsid w:val="00B75A27"/>
    <w:rsid w:val="00B75D33"/>
    <w:rsid w:val="00B75F3F"/>
    <w:rsid w:val="00B75F8E"/>
    <w:rsid w:val="00B75FB4"/>
    <w:rsid w:val="00B7601B"/>
    <w:rsid w:val="00B761D5"/>
    <w:rsid w:val="00B76377"/>
    <w:rsid w:val="00B7649C"/>
    <w:rsid w:val="00B76523"/>
    <w:rsid w:val="00B76592"/>
    <w:rsid w:val="00B7678D"/>
    <w:rsid w:val="00B7685B"/>
    <w:rsid w:val="00B7687B"/>
    <w:rsid w:val="00B769BF"/>
    <w:rsid w:val="00B76C67"/>
    <w:rsid w:val="00B76DE1"/>
    <w:rsid w:val="00B76E77"/>
    <w:rsid w:val="00B76F3B"/>
    <w:rsid w:val="00B77012"/>
    <w:rsid w:val="00B77116"/>
    <w:rsid w:val="00B77140"/>
    <w:rsid w:val="00B772B6"/>
    <w:rsid w:val="00B772C0"/>
    <w:rsid w:val="00B77433"/>
    <w:rsid w:val="00B7747A"/>
    <w:rsid w:val="00B7748B"/>
    <w:rsid w:val="00B7761B"/>
    <w:rsid w:val="00B77B25"/>
    <w:rsid w:val="00B77DF6"/>
    <w:rsid w:val="00B801B6"/>
    <w:rsid w:val="00B801C9"/>
    <w:rsid w:val="00B80359"/>
    <w:rsid w:val="00B8035C"/>
    <w:rsid w:val="00B8041B"/>
    <w:rsid w:val="00B8042A"/>
    <w:rsid w:val="00B80838"/>
    <w:rsid w:val="00B80B86"/>
    <w:rsid w:val="00B80C28"/>
    <w:rsid w:val="00B80C2C"/>
    <w:rsid w:val="00B80C9F"/>
    <w:rsid w:val="00B80CC5"/>
    <w:rsid w:val="00B80CF4"/>
    <w:rsid w:val="00B80EF5"/>
    <w:rsid w:val="00B80F1D"/>
    <w:rsid w:val="00B80F26"/>
    <w:rsid w:val="00B80F9A"/>
    <w:rsid w:val="00B815C6"/>
    <w:rsid w:val="00B8160A"/>
    <w:rsid w:val="00B81689"/>
    <w:rsid w:val="00B81695"/>
    <w:rsid w:val="00B8171F"/>
    <w:rsid w:val="00B81A3F"/>
    <w:rsid w:val="00B81BDD"/>
    <w:rsid w:val="00B81FC2"/>
    <w:rsid w:val="00B820AE"/>
    <w:rsid w:val="00B821A8"/>
    <w:rsid w:val="00B82315"/>
    <w:rsid w:val="00B8254D"/>
    <w:rsid w:val="00B825CF"/>
    <w:rsid w:val="00B82780"/>
    <w:rsid w:val="00B82AD3"/>
    <w:rsid w:val="00B82CDE"/>
    <w:rsid w:val="00B83048"/>
    <w:rsid w:val="00B830E8"/>
    <w:rsid w:val="00B8349A"/>
    <w:rsid w:val="00B83901"/>
    <w:rsid w:val="00B83AE0"/>
    <w:rsid w:val="00B83B18"/>
    <w:rsid w:val="00B83B4B"/>
    <w:rsid w:val="00B83C51"/>
    <w:rsid w:val="00B83D40"/>
    <w:rsid w:val="00B83DF7"/>
    <w:rsid w:val="00B83E8C"/>
    <w:rsid w:val="00B83F09"/>
    <w:rsid w:val="00B84342"/>
    <w:rsid w:val="00B844F6"/>
    <w:rsid w:val="00B8458F"/>
    <w:rsid w:val="00B84617"/>
    <w:rsid w:val="00B846F1"/>
    <w:rsid w:val="00B847C6"/>
    <w:rsid w:val="00B84A10"/>
    <w:rsid w:val="00B84A86"/>
    <w:rsid w:val="00B84BBA"/>
    <w:rsid w:val="00B84C2C"/>
    <w:rsid w:val="00B84CE4"/>
    <w:rsid w:val="00B84D08"/>
    <w:rsid w:val="00B84D2F"/>
    <w:rsid w:val="00B850E0"/>
    <w:rsid w:val="00B85284"/>
    <w:rsid w:val="00B8543D"/>
    <w:rsid w:val="00B8575E"/>
    <w:rsid w:val="00B85821"/>
    <w:rsid w:val="00B85A0D"/>
    <w:rsid w:val="00B85A11"/>
    <w:rsid w:val="00B85C50"/>
    <w:rsid w:val="00B85CE4"/>
    <w:rsid w:val="00B85E20"/>
    <w:rsid w:val="00B85E7A"/>
    <w:rsid w:val="00B85ECB"/>
    <w:rsid w:val="00B8601A"/>
    <w:rsid w:val="00B8604A"/>
    <w:rsid w:val="00B86230"/>
    <w:rsid w:val="00B8629A"/>
    <w:rsid w:val="00B8634E"/>
    <w:rsid w:val="00B863EB"/>
    <w:rsid w:val="00B865FD"/>
    <w:rsid w:val="00B8676F"/>
    <w:rsid w:val="00B868E4"/>
    <w:rsid w:val="00B86A25"/>
    <w:rsid w:val="00B86A7B"/>
    <w:rsid w:val="00B86C81"/>
    <w:rsid w:val="00B86D50"/>
    <w:rsid w:val="00B86F6C"/>
    <w:rsid w:val="00B86FF1"/>
    <w:rsid w:val="00B8721F"/>
    <w:rsid w:val="00B8728B"/>
    <w:rsid w:val="00B87478"/>
    <w:rsid w:val="00B875FD"/>
    <w:rsid w:val="00B87CB2"/>
    <w:rsid w:val="00B87D2A"/>
    <w:rsid w:val="00B87DAB"/>
    <w:rsid w:val="00B87E58"/>
    <w:rsid w:val="00B901D3"/>
    <w:rsid w:val="00B90228"/>
    <w:rsid w:val="00B907B1"/>
    <w:rsid w:val="00B9083C"/>
    <w:rsid w:val="00B90872"/>
    <w:rsid w:val="00B90903"/>
    <w:rsid w:val="00B9094F"/>
    <w:rsid w:val="00B90965"/>
    <w:rsid w:val="00B90973"/>
    <w:rsid w:val="00B90F7F"/>
    <w:rsid w:val="00B90F92"/>
    <w:rsid w:val="00B91355"/>
    <w:rsid w:val="00B91653"/>
    <w:rsid w:val="00B91712"/>
    <w:rsid w:val="00B917AB"/>
    <w:rsid w:val="00B917F9"/>
    <w:rsid w:val="00B91BBA"/>
    <w:rsid w:val="00B91E48"/>
    <w:rsid w:val="00B91E85"/>
    <w:rsid w:val="00B920DF"/>
    <w:rsid w:val="00B92264"/>
    <w:rsid w:val="00B924C4"/>
    <w:rsid w:val="00B92560"/>
    <w:rsid w:val="00B925A2"/>
    <w:rsid w:val="00B925A6"/>
    <w:rsid w:val="00B92A3D"/>
    <w:rsid w:val="00B92B22"/>
    <w:rsid w:val="00B92C4B"/>
    <w:rsid w:val="00B932DF"/>
    <w:rsid w:val="00B9332D"/>
    <w:rsid w:val="00B93543"/>
    <w:rsid w:val="00B93708"/>
    <w:rsid w:val="00B93730"/>
    <w:rsid w:val="00B937D1"/>
    <w:rsid w:val="00B93826"/>
    <w:rsid w:val="00B93855"/>
    <w:rsid w:val="00B93E4C"/>
    <w:rsid w:val="00B93E86"/>
    <w:rsid w:val="00B9419D"/>
    <w:rsid w:val="00B9428E"/>
    <w:rsid w:val="00B944EC"/>
    <w:rsid w:val="00B949A1"/>
    <w:rsid w:val="00B94A58"/>
    <w:rsid w:val="00B94AAA"/>
    <w:rsid w:val="00B951B6"/>
    <w:rsid w:val="00B952D7"/>
    <w:rsid w:val="00B95354"/>
    <w:rsid w:val="00B958D6"/>
    <w:rsid w:val="00B9599C"/>
    <w:rsid w:val="00B95D8D"/>
    <w:rsid w:val="00B95DB4"/>
    <w:rsid w:val="00B962CF"/>
    <w:rsid w:val="00B965CF"/>
    <w:rsid w:val="00B96829"/>
    <w:rsid w:val="00B9686C"/>
    <w:rsid w:val="00B968AE"/>
    <w:rsid w:val="00B96935"/>
    <w:rsid w:val="00B96C2E"/>
    <w:rsid w:val="00B96D1F"/>
    <w:rsid w:val="00B96DAC"/>
    <w:rsid w:val="00B96DBA"/>
    <w:rsid w:val="00B96F4A"/>
    <w:rsid w:val="00B96F94"/>
    <w:rsid w:val="00B9700C"/>
    <w:rsid w:val="00B9721A"/>
    <w:rsid w:val="00B97333"/>
    <w:rsid w:val="00B97365"/>
    <w:rsid w:val="00B9743C"/>
    <w:rsid w:val="00B975F0"/>
    <w:rsid w:val="00B97639"/>
    <w:rsid w:val="00B97652"/>
    <w:rsid w:val="00B976F7"/>
    <w:rsid w:val="00B977A8"/>
    <w:rsid w:val="00B97C49"/>
    <w:rsid w:val="00B97D6F"/>
    <w:rsid w:val="00B97F59"/>
    <w:rsid w:val="00BA026A"/>
    <w:rsid w:val="00BA0512"/>
    <w:rsid w:val="00BA07DF"/>
    <w:rsid w:val="00BA09D3"/>
    <w:rsid w:val="00BA0AB5"/>
    <w:rsid w:val="00BA0B95"/>
    <w:rsid w:val="00BA0BFC"/>
    <w:rsid w:val="00BA0C8F"/>
    <w:rsid w:val="00BA0E0C"/>
    <w:rsid w:val="00BA0E44"/>
    <w:rsid w:val="00BA0EC5"/>
    <w:rsid w:val="00BA104D"/>
    <w:rsid w:val="00BA1161"/>
    <w:rsid w:val="00BA151F"/>
    <w:rsid w:val="00BA1536"/>
    <w:rsid w:val="00BA1584"/>
    <w:rsid w:val="00BA15FD"/>
    <w:rsid w:val="00BA16A7"/>
    <w:rsid w:val="00BA16F2"/>
    <w:rsid w:val="00BA1714"/>
    <w:rsid w:val="00BA1788"/>
    <w:rsid w:val="00BA1CBB"/>
    <w:rsid w:val="00BA1E13"/>
    <w:rsid w:val="00BA2010"/>
    <w:rsid w:val="00BA262E"/>
    <w:rsid w:val="00BA289E"/>
    <w:rsid w:val="00BA29F6"/>
    <w:rsid w:val="00BA2A66"/>
    <w:rsid w:val="00BA2DA2"/>
    <w:rsid w:val="00BA3034"/>
    <w:rsid w:val="00BA311C"/>
    <w:rsid w:val="00BA3557"/>
    <w:rsid w:val="00BA371D"/>
    <w:rsid w:val="00BA376C"/>
    <w:rsid w:val="00BA3A7B"/>
    <w:rsid w:val="00BA3C58"/>
    <w:rsid w:val="00BA3DBC"/>
    <w:rsid w:val="00BA3FB7"/>
    <w:rsid w:val="00BA41C6"/>
    <w:rsid w:val="00BA424B"/>
    <w:rsid w:val="00BA4394"/>
    <w:rsid w:val="00BA442F"/>
    <w:rsid w:val="00BA449D"/>
    <w:rsid w:val="00BA47E3"/>
    <w:rsid w:val="00BA4813"/>
    <w:rsid w:val="00BA48CE"/>
    <w:rsid w:val="00BA4939"/>
    <w:rsid w:val="00BA4CB1"/>
    <w:rsid w:val="00BA4D94"/>
    <w:rsid w:val="00BA4DA6"/>
    <w:rsid w:val="00BA4DB0"/>
    <w:rsid w:val="00BA4ED0"/>
    <w:rsid w:val="00BA5177"/>
    <w:rsid w:val="00BA52EB"/>
    <w:rsid w:val="00BA52FF"/>
    <w:rsid w:val="00BA53AC"/>
    <w:rsid w:val="00BA53D6"/>
    <w:rsid w:val="00BA54C9"/>
    <w:rsid w:val="00BA56A1"/>
    <w:rsid w:val="00BA577C"/>
    <w:rsid w:val="00BA5819"/>
    <w:rsid w:val="00BA58B0"/>
    <w:rsid w:val="00BA59EC"/>
    <w:rsid w:val="00BA5A4E"/>
    <w:rsid w:val="00BA5DB7"/>
    <w:rsid w:val="00BA5F02"/>
    <w:rsid w:val="00BA6275"/>
    <w:rsid w:val="00BA6276"/>
    <w:rsid w:val="00BA658A"/>
    <w:rsid w:val="00BA669B"/>
    <w:rsid w:val="00BA66D4"/>
    <w:rsid w:val="00BA6BE4"/>
    <w:rsid w:val="00BA6FCC"/>
    <w:rsid w:val="00BA7009"/>
    <w:rsid w:val="00BA7440"/>
    <w:rsid w:val="00BA751C"/>
    <w:rsid w:val="00BA7633"/>
    <w:rsid w:val="00BA7AB0"/>
    <w:rsid w:val="00BA7AC1"/>
    <w:rsid w:val="00BA7E26"/>
    <w:rsid w:val="00BA7E76"/>
    <w:rsid w:val="00BB0335"/>
    <w:rsid w:val="00BB043C"/>
    <w:rsid w:val="00BB069F"/>
    <w:rsid w:val="00BB1006"/>
    <w:rsid w:val="00BB1467"/>
    <w:rsid w:val="00BB147A"/>
    <w:rsid w:val="00BB14E9"/>
    <w:rsid w:val="00BB15F1"/>
    <w:rsid w:val="00BB162E"/>
    <w:rsid w:val="00BB1782"/>
    <w:rsid w:val="00BB1838"/>
    <w:rsid w:val="00BB19C5"/>
    <w:rsid w:val="00BB19E1"/>
    <w:rsid w:val="00BB1A7C"/>
    <w:rsid w:val="00BB1C5E"/>
    <w:rsid w:val="00BB1D97"/>
    <w:rsid w:val="00BB1E4F"/>
    <w:rsid w:val="00BB1E7A"/>
    <w:rsid w:val="00BB2145"/>
    <w:rsid w:val="00BB21DA"/>
    <w:rsid w:val="00BB245F"/>
    <w:rsid w:val="00BB28D2"/>
    <w:rsid w:val="00BB2A52"/>
    <w:rsid w:val="00BB2B46"/>
    <w:rsid w:val="00BB2B5C"/>
    <w:rsid w:val="00BB2C1F"/>
    <w:rsid w:val="00BB2CC2"/>
    <w:rsid w:val="00BB2E92"/>
    <w:rsid w:val="00BB319D"/>
    <w:rsid w:val="00BB34CF"/>
    <w:rsid w:val="00BB3669"/>
    <w:rsid w:val="00BB36B1"/>
    <w:rsid w:val="00BB37D3"/>
    <w:rsid w:val="00BB3889"/>
    <w:rsid w:val="00BB393E"/>
    <w:rsid w:val="00BB39F2"/>
    <w:rsid w:val="00BB3A0F"/>
    <w:rsid w:val="00BB3C4D"/>
    <w:rsid w:val="00BB3D0E"/>
    <w:rsid w:val="00BB3E4E"/>
    <w:rsid w:val="00BB3EE2"/>
    <w:rsid w:val="00BB40BB"/>
    <w:rsid w:val="00BB4244"/>
    <w:rsid w:val="00BB4641"/>
    <w:rsid w:val="00BB47C8"/>
    <w:rsid w:val="00BB487E"/>
    <w:rsid w:val="00BB49CE"/>
    <w:rsid w:val="00BB4C2F"/>
    <w:rsid w:val="00BB4C6F"/>
    <w:rsid w:val="00BB4D5E"/>
    <w:rsid w:val="00BB4D68"/>
    <w:rsid w:val="00BB4F1C"/>
    <w:rsid w:val="00BB4F62"/>
    <w:rsid w:val="00BB5205"/>
    <w:rsid w:val="00BB529F"/>
    <w:rsid w:val="00BB5310"/>
    <w:rsid w:val="00BB56C2"/>
    <w:rsid w:val="00BB57FB"/>
    <w:rsid w:val="00BB58AE"/>
    <w:rsid w:val="00BB59BD"/>
    <w:rsid w:val="00BB5C25"/>
    <w:rsid w:val="00BB5CD9"/>
    <w:rsid w:val="00BB5D1C"/>
    <w:rsid w:val="00BB5DB1"/>
    <w:rsid w:val="00BB5DD8"/>
    <w:rsid w:val="00BB5E02"/>
    <w:rsid w:val="00BB6161"/>
    <w:rsid w:val="00BB617A"/>
    <w:rsid w:val="00BB6183"/>
    <w:rsid w:val="00BB6280"/>
    <w:rsid w:val="00BB6392"/>
    <w:rsid w:val="00BB63FE"/>
    <w:rsid w:val="00BB646E"/>
    <w:rsid w:val="00BB6480"/>
    <w:rsid w:val="00BB64D5"/>
    <w:rsid w:val="00BB6576"/>
    <w:rsid w:val="00BB6724"/>
    <w:rsid w:val="00BB68D5"/>
    <w:rsid w:val="00BB6930"/>
    <w:rsid w:val="00BB6C26"/>
    <w:rsid w:val="00BB6D07"/>
    <w:rsid w:val="00BB7051"/>
    <w:rsid w:val="00BB71EE"/>
    <w:rsid w:val="00BB7334"/>
    <w:rsid w:val="00BB7373"/>
    <w:rsid w:val="00BB747B"/>
    <w:rsid w:val="00BB751A"/>
    <w:rsid w:val="00BB7538"/>
    <w:rsid w:val="00BB7633"/>
    <w:rsid w:val="00BB76A2"/>
    <w:rsid w:val="00BB78A6"/>
    <w:rsid w:val="00BB79AE"/>
    <w:rsid w:val="00BC0001"/>
    <w:rsid w:val="00BC00B5"/>
    <w:rsid w:val="00BC00D1"/>
    <w:rsid w:val="00BC0382"/>
    <w:rsid w:val="00BC03D3"/>
    <w:rsid w:val="00BC04B7"/>
    <w:rsid w:val="00BC05F9"/>
    <w:rsid w:val="00BC06A9"/>
    <w:rsid w:val="00BC0897"/>
    <w:rsid w:val="00BC09BA"/>
    <w:rsid w:val="00BC0AB5"/>
    <w:rsid w:val="00BC0C94"/>
    <w:rsid w:val="00BC0D8A"/>
    <w:rsid w:val="00BC101A"/>
    <w:rsid w:val="00BC12E5"/>
    <w:rsid w:val="00BC131A"/>
    <w:rsid w:val="00BC14E7"/>
    <w:rsid w:val="00BC15F0"/>
    <w:rsid w:val="00BC15F9"/>
    <w:rsid w:val="00BC17EA"/>
    <w:rsid w:val="00BC1A86"/>
    <w:rsid w:val="00BC1AD5"/>
    <w:rsid w:val="00BC1C25"/>
    <w:rsid w:val="00BC1D06"/>
    <w:rsid w:val="00BC1D6B"/>
    <w:rsid w:val="00BC1E34"/>
    <w:rsid w:val="00BC1E81"/>
    <w:rsid w:val="00BC1E84"/>
    <w:rsid w:val="00BC1F47"/>
    <w:rsid w:val="00BC20DA"/>
    <w:rsid w:val="00BC237D"/>
    <w:rsid w:val="00BC240B"/>
    <w:rsid w:val="00BC24A9"/>
    <w:rsid w:val="00BC25B4"/>
    <w:rsid w:val="00BC25E5"/>
    <w:rsid w:val="00BC25E9"/>
    <w:rsid w:val="00BC27D1"/>
    <w:rsid w:val="00BC2AD2"/>
    <w:rsid w:val="00BC2BF8"/>
    <w:rsid w:val="00BC2E19"/>
    <w:rsid w:val="00BC2E28"/>
    <w:rsid w:val="00BC2E82"/>
    <w:rsid w:val="00BC2F6F"/>
    <w:rsid w:val="00BC332B"/>
    <w:rsid w:val="00BC37A3"/>
    <w:rsid w:val="00BC3A6F"/>
    <w:rsid w:val="00BC3CBF"/>
    <w:rsid w:val="00BC3D04"/>
    <w:rsid w:val="00BC3D32"/>
    <w:rsid w:val="00BC440E"/>
    <w:rsid w:val="00BC4493"/>
    <w:rsid w:val="00BC451B"/>
    <w:rsid w:val="00BC4558"/>
    <w:rsid w:val="00BC491A"/>
    <w:rsid w:val="00BC4A79"/>
    <w:rsid w:val="00BC4EAB"/>
    <w:rsid w:val="00BC5311"/>
    <w:rsid w:val="00BC532A"/>
    <w:rsid w:val="00BC5460"/>
    <w:rsid w:val="00BC548C"/>
    <w:rsid w:val="00BC555A"/>
    <w:rsid w:val="00BC5644"/>
    <w:rsid w:val="00BC5767"/>
    <w:rsid w:val="00BC5C06"/>
    <w:rsid w:val="00BC5D1A"/>
    <w:rsid w:val="00BC5D9C"/>
    <w:rsid w:val="00BC5DAE"/>
    <w:rsid w:val="00BC5EA5"/>
    <w:rsid w:val="00BC5F08"/>
    <w:rsid w:val="00BC5F7F"/>
    <w:rsid w:val="00BC6033"/>
    <w:rsid w:val="00BC607C"/>
    <w:rsid w:val="00BC61A1"/>
    <w:rsid w:val="00BC61C4"/>
    <w:rsid w:val="00BC634B"/>
    <w:rsid w:val="00BC635B"/>
    <w:rsid w:val="00BC65E9"/>
    <w:rsid w:val="00BC67E4"/>
    <w:rsid w:val="00BC67F6"/>
    <w:rsid w:val="00BC6966"/>
    <w:rsid w:val="00BC6F36"/>
    <w:rsid w:val="00BC6FF8"/>
    <w:rsid w:val="00BC7213"/>
    <w:rsid w:val="00BC7226"/>
    <w:rsid w:val="00BC72CA"/>
    <w:rsid w:val="00BC759C"/>
    <w:rsid w:val="00BC760F"/>
    <w:rsid w:val="00BC76B4"/>
    <w:rsid w:val="00BC7B93"/>
    <w:rsid w:val="00BC7BE9"/>
    <w:rsid w:val="00BC7BFD"/>
    <w:rsid w:val="00BC7C02"/>
    <w:rsid w:val="00BC7D99"/>
    <w:rsid w:val="00BC7FFC"/>
    <w:rsid w:val="00BD04AB"/>
    <w:rsid w:val="00BD05E8"/>
    <w:rsid w:val="00BD092C"/>
    <w:rsid w:val="00BD0C6F"/>
    <w:rsid w:val="00BD0CD4"/>
    <w:rsid w:val="00BD0FD9"/>
    <w:rsid w:val="00BD11DF"/>
    <w:rsid w:val="00BD1832"/>
    <w:rsid w:val="00BD1858"/>
    <w:rsid w:val="00BD19B0"/>
    <w:rsid w:val="00BD1C1D"/>
    <w:rsid w:val="00BD1CB0"/>
    <w:rsid w:val="00BD1CB4"/>
    <w:rsid w:val="00BD1CEB"/>
    <w:rsid w:val="00BD1D5E"/>
    <w:rsid w:val="00BD1E66"/>
    <w:rsid w:val="00BD20FC"/>
    <w:rsid w:val="00BD221A"/>
    <w:rsid w:val="00BD2A7A"/>
    <w:rsid w:val="00BD2D84"/>
    <w:rsid w:val="00BD2ED0"/>
    <w:rsid w:val="00BD355C"/>
    <w:rsid w:val="00BD36C4"/>
    <w:rsid w:val="00BD395C"/>
    <w:rsid w:val="00BD39AA"/>
    <w:rsid w:val="00BD3E01"/>
    <w:rsid w:val="00BD3F26"/>
    <w:rsid w:val="00BD4020"/>
    <w:rsid w:val="00BD405B"/>
    <w:rsid w:val="00BD41E8"/>
    <w:rsid w:val="00BD41FC"/>
    <w:rsid w:val="00BD43B2"/>
    <w:rsid w:val="00BD4520"/>
    <w:rsid w:val="00BD452C"/>
    <w:rsid w:val="00BD4634"/>
    <w:rsid w:val="00BD4C20"/>
    <w:rsid w:val="00BD4CDC"/>
    <w:rsid w:val="00BD4DD2"/>
    <w:rsid w:val="00BD4E54"/>
    <w:rsid w:val="00BD4FA0"/>
    <w:rsid w:val="00BD4FDF"/>
    <w:rsid w:val="00BD507D"/>
    <w:rsid w:val="00BD50E0"/>
    <w:rsid w:val="00BD518B"/>
    <w:rsid w:val="00BD5359"/>
    <w:rsid w:val="00BD55EC"/>
    <w:rsid w:val="00BD58AA"/>
    <w:rsid w:val="00BD5AFD"/>
    <w:rsid w:val="00BD5C07"/>
    <w:rsid w:val="00BD5FA5"/>
    <w:rsid w:val="00BD6061"/>
    <w:rsid w:val="00BD63CB"/>
    <w:rsid w:val="00BD6445"/>
    <w:rsid w:val="00BD6575"/>
    <w:rsid w:val="00BD658D"/>
    <w:rsid w:val="00BD66BE"/>
    <w:rsid w:val="00BD67E7"/>
    <w:rsid w:val="00BD6B79"/>
    <w:rsid w:val="00BD6EE1"/>
    <w:rsid w:val="00BD707B"/>
    <w:rsid w:val="00BD71DA"/>
    <w:rsid w:val="00BD728C"/>
    <w:rsid w:val="00BD740F"/>
    <w:rsid w:val="00BD75EF"/>
    <w:rsid w:val="00BD7790"/>
    <w:rsid w:val="00BD779A"/>
    <w:rsid w:val="00BD78A6"/>
    <w:rsid w:val="00BD7BC2"/>
    <w:rsid w:val="00BD7BF9"/>
    <w:rsid w:val="00BD7C74"/>
    <w:rsid w:val="00BD7C95"/>
    <w:rsid w:val="00BD7E19"/>
    <w:rsid w:val="00BD7EF6"/>
    <w:rsid w:val="00BD7FC6"/>
    <w:rsid w:val="00BD7FD4"/>
    <w:rsid w:val="00BD7FE3"/>
    <w:rsid w:val="00BD7FF5"/>
    <w:rsid w:val="00BE010F"/>
    <w:rsid w:val="00BE02BE"/>
    <w:rsid w:val="00BE05D1"/>
    <w:rsid w:val="00BE0610"/>
    <w:rsid w:val="00BE0698"/>
    <w:rsid w:val="00BE07E1"/>
    <w:rsid w:val="00BE09B7"/>
    <w:rsid w:val="00BE0BA4"/>
    <w:rsid w:val="00BE0E3E"/>
    <w:rsid w:val="00BE11BA"/>
    <w:rsid w:val="00BE1252"/>
    <w:rsid w:val="00BE12E6"/>
    <w:rsid w:val="00BE1360"/>
    <w:rsid w:val="00BE13B6"/>
    <w:rsid w:val="00BE1632"/>
    <w:rsid w:val="00BE167D"/>
    <w:rsid w:val="00BE18BA"/>
    <w:rsid w:val="00BE1A54"/>
    <w:rsid w:val="00BE1A91"/>
    <w:rsid w:val="00BE1C42"/>
    <w:rsid w:val="00BE1E2A"/>
    <w:rsid w:val="00BE1E3E"/>
    <w:rsid w:val="00BE2196"/>
    <w:rsid w:val="00BE22FD"/>
    <w:rsid w:val="00BE26D0"/>
    <w:rsid w:val="00BE281E"/>
    <w:rsid w:val="00BE2822"/>
    <w:rsid w:val="00BE2A47"/>
    <w:rsid w:val="00BE2A5E"/>
    <w:rsid w:val="00BE2C5D"/>
    <w:rsid w:val="00BE2CC4"/>
    <w:rsid w:val="00BE2D42"/>
    <w:rsid w:val="00BE2E3B"/>
    <w:rsid w:val="00BE2EB6"/>
    <w:rsid w:val="00BE2F30"/>
    <w:rsid w:val="00BE2F4E"/>
    <w:rsid w:val="00BE2FCF"/>
    <w:rsid w:val="00BE3020"/>
    <w:rsid w:val="00BE3044"/>
    <w:rsid w:val="00BE32D5"/>
    <w:rsid w:val="00BE32FB"/>
    <w:rsid w:val="00BE35B0"/>
    <w:rsid w:val="00BE37B9"/>
    <w:rsid w:val="00BE3C6E"/>
    <w:rsid w:val="00BE3E0C"/>
    <w:rsid w:val="00BE427C"/>
    <w:rsid w:val="00BE42DD"/>
    <w:rsid w:val="00BE43AD"/>
    <w:rsid w:val="00BE4651"/>
    <w:rsid w:val="00BE4E46"/>
    <w:rsid w:val="00BE4F06"/>
    <w:rsid w:val="00BE4FCD"/>
    <w:rsid w:val="00BE50FA"/>
    <w:rsid w:val="00BE524E"/>
    <w:rsid w:val="00BE57ED"/>
    <w:rsid w:val="00BE58F0"/>
    <w:rsid w:val="00BE5C4B"/>
    <w:rsid w:val="00BE5C5F"/>
    <w:rsid w:val="00BE5D2F"/>
    <w:rsid w:val="00BE5EBB"/>
    <w:rsid w:val="00BE5FCC"/>
    <w:rsid w:val="00BE6040"/>
    <w:rsid w:val="00BE608E"/>
    <w:rsid w:val="00BE66A1"/>
    <w:rsid w:val="00BE6767"/>
    <w:rsid w:val="00BE6786"/>
    <w:rsid w:val="00BE6A70"/>
    <w:rsid w:val="00BE6BC6"/>
    <w:rsid w:val="00BE6CC5"/>
    <w:rsid w:val="00BE6D85"/>
    <w:rsid w:val="00BE6DFB"/>
    <w:rsid w:val="00BE6E22"/>
    <w:rsid w:val="00BE6E54"/>
    <w:rsid w:val="00BE7050"/>
    <w:rsid w:val="00BE706D"/>
    <w:rsid w:val="00BE719E"/>
    <w:rsid w:val="00BE7222"/>
    <w:rsid w:val="00BE746F"/>
    <w:rsid w:val="00BE7566"/>
    <w:rsid w:val="00BE762B"/>
    <w:rsid w:val="00BE768E"/>
    <w:rsid w:val="00BE779C"/>
    <w:rsid w:val="00BE779F"/>
    <w:rsid w:val="00BE78DA"/>
    <w:rsid w:val="00BE795C"/>
    <w:rsid w:val="00BE797D"/>
    <w:rsid w:val="00BE7980"/>
    <w:rsid w:val="00BE7B47"/>
    <w:rsid w:val="00BE7D1A"/>
    <w:rsid w:val="00BE7DB9"/>
    <w:rsid w:val="00BF0018"/>
    <w:rsid w:val="00BF00F0"/>
    <w:rsid w:val="00BF0156"/>
    <w:rsid w:val="00BF0196"/>
    <w:rsid w:val="00BF035D"/>
    <w:rsid w:val="00BF036F"/>
    <w:rsid w:val="00BF0518"/>
    <w:rsid w:val="00BF0628"/>
    <w:rsid w:val="00BF0774"/>
    <w:rsid w:val="00BF093A"/>
    <w:rsid w:val="00BF0A12"/>
    <w:rsid w:val="00BF0B84"/>
    <w:rsid w:val="00BF0D05"/>
    <w:rsid w:val="00BF0E26"/>
    <w:rsid w:val="00BF0EF6"/>
    <w:rsid w:val="00BF0EF9"/>
    <w:rsid w:val="00BF1305"/>
    <w:rsid w:val="00BF14C8"/>
    <w:rsid w:val="00BF17A5"/>
    <w:rsid w:val="00BF181F"/>
    <w:rsid w:val="00BF182C"/>
    <w:rsid w:val="00BF1956"/>
    <w:rsid w:val="00BF1DEE"/>
    <w:rsid w:val="00BF1E74"/>
    <w:rsid w:val="00BF1F4B"/>
    <w:rsid w:val="00BF21B0"/>
    <w:rsid w:val="00BF21E6"/>
    <w:rsid w:val="00BF2255"/>
    <w:rsid w:val="00BF2659"/>
    <w:rsid w:val="00BF29AF"/>
    <w:rsid w:val="00BF2AFF"/>
    <w:rsid w:val="00BF3092"/>
    <w:rsid w:val="00BF30ED"/>
    <w:rsid w:val="00BF3172"/>
    <w:rsid w:val="00BF3280"/>
    <w:rsid w:val="00BF3300"/>
    <w:rsid w:val="00BF35ED"/>
    <w:rsid w:val="00BF370D"/>
    <w:rsid w:val="00BF3866"/>
    <w:rsid w:val="00BF38DB"/>
    <w:rsid w:val="00BF39E0"/>
    <w:rsid w:val="00BF3BFA"/>
    <w:rsid w:val="00BF3E70"/>
    <w:rsid w:val="00BF412F"/>
    <w:rsid w:val="00BF42FB"/>
    <w:rsid w:val="00BF448E"/>
    <w:rsid w:val="00BF45F9"/>
    <w:rsid w:val="00BF4602"/>
    <w:rsid w:val="00BF47F9"/>
    <w:rsid w:val="00BF48FD"/>
    <w:rsid w:val="00BF490A"/>
    <w:rsid w:val="00BF4A1A"/>
    <w:rsid w:val="00BF4AF9"/>
    <w:rsid w:val="00BF4B90"/>
    <w:rsid w:val="00BF4BFB"/>
    <w:rsid w:val="00BF503A"/>
    <w:rsid w:val="00BF5CD8"/>
    <w:rsid w:val="00BF5D55"/>
    <w:rsid w:val="00BF5DAC"/>
    <w:rsid w:val="00BF5E06"/>
    <w:rsid w:val="00BF619E"/>
    <w:rsid w:val="00BF63BC"/>
    <w:rsid w:val="00BF6527"/>
    <w:rsid w:val="00BF656F"/>
    <w:rsid w:val="00BF6607"/>
    <w:rsid w:val="00BF672D"/>
    <w:rsid w:val="00BF6769"/>
    <w:rsid w:val="00BF69D5"/>
    <w:rsid w:val="00BF6A30"/>
    <w:rsid w:val="00BF6A70"/>
    <w:rsid w:val="00BF6C11"/>
    <w:rsid w:val="00BF6D8E"/>
    <w:rsid w:val="00BF71A4"/>
    <w:rsid w:val="00BF763D"/>
    <w:rsid w:val="00BF7707"/>
    <w:rsid w:val="00BF775B"/>
    <w:rsid w:val="00BF782C"/>
    <w:rsid w:val="00BF7862"/>
    <w:rsid w:val="00BF7AE9"/>
    <w:rsid w:val="00BF7FCD"/>
    <w:rsid w:val="00BF7FFB"/>
    <w:rsid w:val="00C0005E"/>
    <w:rsid w:val="00C000B3"/>
    <w:rsid w:val="00C002B0"/>
    <w:rsid w:val="00C00413"/>
    <w:rsid w:val="00C0060F"/>
    <w:rsid w:val="00C008CD"/>
    <w:rsid w:val="00C00A75"/>
    <w:rsid w:val="00C00B37"/>
    <w:rsid w:val="00C00B7D"/>
    <w:rsid w:val="00C00C24"/>
    <w:rsid w:val="00C00F57"/>
    <w:rsid w:val="00C0108D"/>
    <w:rsid w:val="00C01198"/>
    <w:rsid w:val="00C01806"/>
    <w:rsid w:val="00C01898"/>
    <w:rsid w:val="00C0192B"/>
    <w:rsid w:val="00C019C8"/>
    <w:rsid w:val="00C01C54"/>
    <w:rsid w:val="00C01C7D"/>
    <w:rsid w:val="00C01F44"/>
    <w:rsid w:val="00C01F4C"/>
    <w:rsid w:val="00C02087"/>
    <w:rsid w:val="00C020F8"/>
    <w:rsid w:val="00C0255B"/>
    <w:rsid w:val="00C0261F"/>
    <w:rsid w:val="00C02D67"/>
    <w:rsid w:val="00C02E3D"/>
    <w:rsid w:val="00C02F71"/>
    <w:rsid w:val="00C0310F"/>
    <w:rsid w:val="00C033B8"/>
    <w:rsid w:val="00C034F5"/>
    <w:rsid w:val="00C03569"/>
    <w:rsid w:val="00C037B4"/>
    <w:rsid w:val="00C04205"/>
    <w:rsid w:val="00C0423E"/>
    <w:rsid w:val="00C042A4"/>
    <w:rsid w:val="00C04322"/>
    <w:rsid w:val="00C045A6"/>
    <w:rsid w:val="00C04784"/>
    <w:rsid w:val="00C047A4"/>
    <w:rsid w:val="00C0492D"/>
    <w:rsid w:val="00C049A2"/>
    <w:rsid w:val="00C04A17"/>
    <w:rsid w:val="00C04FA5"/>
    <w:rsid w:val="00C05580"/>
    <w:rsid w:val="00C0596B"/>
    <w:rsid w:val="00C05AE2"/>
    <w:rsid w:val="00C05EE5"/>
    <w:rsid w:val="00C060B3"/>
    <w:rsid w:val="00C062D7"/>
    <w:rsid w:val="00C06342"/>
    <w:rsid w:val="00C06381"/>
    <w:rsid w:val="00C06748"/>
    <w:rsid w:val="00C06752"/>
    <w:rsid w:val="00C06870"/>
    <w:rsid w:val="00C06ED5"/>
    <w:rsid w:val="00C06F56"/>
    <w:rsid w:val="00C06FF0"/>
    <w:rsid w:val="00C06FFB"/>
    <w:rsid w:val="00C0705B"/>
    <w:rsid w:val="00C07148"/>
    <w:rsid w:val="00C072D1"/>
    <w:rsid w:val="00C07327"/>
    <w:rsid w:val="00C073B4"/>
    <w:rsid w:val="00C0743A"/>
    <w:rsid w:val="00C07468"/>
    <w:rsid w:val="00C07538"/>
    <w:rsid w:val="00C075AD"/>
    <w:rsid w:val="00C0778B"/>
    <w:rsid w:val="00C07815"/>
    <w:rsid w:val="00C07956"/>
    <w:rsid w:val="00C07A3B"/>
    <w:rsid w:val="00C07A3F"/>
    <w:rsid w:val="00C07C3D"/>
    <w:rsid w:val="00C07D4A"/>
    <w:rsid w:val="00C07D9A"/>
    <w:rsid w:val="00C07F95"/>
    <w:rsid w:val="00C07FD2"/>
    <w:rsid w:val="00C1026C"/>
    <w:rsid w:val="00C1029F"/>
    <w:rsid w:val="00C103BF"/>
    <w:rsid w:val="00C10442"/>
    <w:rsid w:val="00C10534"/>
    <w:rsid w:val="00C10733"/>
    <w:rsid w:val="00C107B4"/>
    <w:rsid w:val="00C107CD"/>
    <w:rsid w:val="00C107F4"/>
    <w:rsid w:val="00C108A6"/>
    <w:rsid w:val="00C10FA2"/>
    <w:rsid w:val="00C111FB"/>
    <w:rsid w:val="00C11259"/>
    <w:rsid w:val="00C115CB"/>
    <w:rsid w:val="00C11789"/>
    <w:rsid w:val="00C1185A"/>
    <w:rsid w:val="00C11895"/>
    <w:rsid w:val="00C11F5B"/>
    <w:rsid w:val="00C12173"/>
    <w:rsid w:val="00C122AE"/>
    <w:rsid w:val="00C122B7"/>
    <w:rsid w:val="00C124BB"/>
    <w:rsid w:val="00C1285F"/>
    <w:rsid w:val="00C12899"/>
    <w:rsid w:val="00C128D5"/>
    <w:rsid w:val="00C12B14"/>
    <w:rsid w:val="00C12BE1"/>
    <w:rsid w:val="00C12D8A"/>
    <w:rsid w:val="00C12DF5"/>
    <w:rsid w:val="00C12E07"/>
    <w:rsid w:val="00C131D2"/>
    <w:rsid w:val="00C13473"/>
    <w:rsid w:val="00C13479"/>
    <w:rsid w:val="00C13623"/>
    <w:rsid w:val="00C136A0"/>
    <w:rsid w:val="00C136B2"/>
    <w:rsid w:val="00C13706"/>
    <w:rsid w:val="00C13814"/>
    <w:rsid w:val="00C1383C"/>
    <w:rsid w:val="00C13D22"/>
    <w:rsid w:val="00C14021"/>
    <w:rsid w:val="00C14119"/>
    <w:rsid w:val="00C14182"/>
    <w:rsid w:val="00C141A7"/>
    <w:rsid w:val="00C141D5"/>
    <w:rsid w:val="00C14280"/>
    <w:rsid w:val="00C14388"/>
    <w:rsid w:val="00C1448C"/>
    <w:rsid w:val="00C1497A"/>
    <w:rsid w:val="00C14C1A"/>
    <w:rsid w:val="00C14F21"/>
    <w:rsid w:val="00C14FC0"/>
    <w:rsid w:val="00C14FC1"/>
    <w:rsid w:val="00C15034"/>
    <w:rsid w:val="00C15430"/>
    <w:rsid w:val="00C15501"/>
    <w:rsid w:val="00C1590A"/>
    <w:rsid w:val="00C159B2"/>
    <w:rsid w:val="00C159FC"/>
    <w:rsid w:val="00C15C5E"/>
    <w:rsid w:val="00C15D08"/>
    <w:rsid w:val="00C15F42"/>
    <w:rsid w:val="00C15F78"/>
    <w:rsid w:val="00C16052"/>
    <w:rsid w:val="00C162A8"/>
    <w:rsid w:val="00C162B7"/>
    <w:rsid w:val="00C164B4"/>
    <w:rsid w:val="00C164FB"/>
    <w:rsid w:val="00C165D7"/>
    <w:rsid w:val="00C1662A"/>
    <w:rsid w:val="00C167E3"/>
    <w:rsid w:val="00C169BB"/>
    <w:rsid w:val="00C16A7E"/>
    <w:rsid w:val="00C16C1F"/>
    <w:rsid w:val="00C16D43"/>
    <w:rsid w:val="00C16D9E"/>
    <w:rsid w:val="00C16E62"/>
    <w:rsid w:val="00C16F48"/>
    <w:rsid w:val="00C17163"/>
    <w:rsid w:val="00C1720B"/>
    <w:rsid w:val="00C17386"/>
    <w:rsid w:val="00C174D6"/>
    <w:rsid w:val="00C17630"/>
    <w:rsid w:val="00C176CD"/>
    <w:rsid w:val="00C17AD0"/>
    <w:rsid w:val="00C17CE5"/>
    <w:rsid w:val="00C17D78"/>
    <w:rsid w:val="00C20161"/>
    <w:rsid w:val="00C204B4"/>
    <w:rsid w:val="00C205E4"/>
    <w:rsid w:val="00C20697"/>
    <w:rsid w:val="00C207F4"/>
    <w:rsid w:val="00C20A12"/>
    <w:rsid w:val="00C20A52"/>
    <w:rsid w:val="00C20BE8"/>
    <w:rsid w:val="00C20C6C"/>
    <w:rsid w:val="00C20CCB"/>
    <w:rsid w:val="00C20D23"/>
    <w:rsid w:val="00C20D63"/>
    <w:rsid w:val="00C20EFB"/>
    <w:rsid w:val="00C20FBA"/>
    <w:rsid w:val="00C21045"/>
    <w:rsid w:val="00C2119A"/>
    <w:rsid w:val="00C218BD"/>
    <w:rsid w:val="00C21ADB"/>
    <w:rsid w:val="00C21E32"/>
    <w:rsid w:val="00C21ED8"/>
    <w:rsid w:val="00C22306"/>
    <w:rsid w:val="00C22723"/>
    <w:rsid w:val="00C22752"/>
    <w:rsid w:val="00C2281B"/>
    <w:rsid w:val="00C2284E"/>
    <w:rsid w:val="00C22862"/>
    <w:rsid w:val="00C22A9B"/>
    <w:rsid w:val="00C22C65"/>
    <w:rsid w:val="00C22C7D"/>
    <w:rsid w:val="00C22D08"/>
    <w:rsid w:val="00C2309E"/>
    <w:rsid w:val="00C230B2"/>
    <w:rsid w:val="00C230C2"/>
    <w:rsid w:val="00C230DB"/>
    <w:rsid w:val="00C231AC"/>
    <w:rsid w:val="00C2332C"/>
    <w:rsid w:val="00C23622"/>
    <w:rsid w:val="00C23683"/>
    <w:rsid w:val="00C2383E"/>
    <w:rsid w:val="00C239CC"/>
    <w:rsid w:val="00C239F9"/>
    <w:rsid w:val="00C23B9C"/>
    <w:rsid w:val="00C23F4F"/>
    <w:rsid w:val="00C23F73"/>
    <w:rsid w:val="00C24098"/>
    <w:rsid w:val="00C24179"/>
    <w:rsid w:val="00C2423E"/>
    <w:rsid w:val="00C2455D"/>
    <w:rsid w:val="00C2459E"/>
    <w:rsid w:val="00C24645"/>
    <w:rsid w:val="00C2473A"/>
    <w:rsid w:val="00C24967"/>
    <w:rsid w:val="00C24DED"/>
    <w:rsid w:val="00C24DFE"/>
    <w:rsid w:val="00C25195"/>
    <w:rsid w:val="00C25210"/>
    <w:rsid w:val="00C25276"/>
    <w:rsid w:val="00C252B1"/>
    <w:rsid w:val="00C25444"/>
    <w:rsid w:val="00C25731"/>
    <w:rsid w:val="00C259D8"/>
    <w:rsid w:val="00C25A59"/>
    <w:rsid w:val="00C25AD7"/>
    <w:rsid w:val="00C25C95"/>
    <w:rsid w:val="00C25D6E"/>
    <w:rsid w:val="00C26153"/>
    <w:rsid w:val="00C261A3"/>
    <w:rsid w:val="00C26222"/>
    <w:rsid w:val="00C2635A"/>
    <w:rsid w:val="00C263D4"/>
    <w:rsid w:val="00C26886"/>
    <w:rsid w:val="00C26B6F"/>
    <w:rsid w:val="00C26EF9"/>
    <w:rsid w:val="00C273D1"/>
    <w:rsid w:val="00C27625"/>
    <w:rsid w:val="00C27BAA"/>
    <w:rsid w:val="00C27CEF"/>
    <w:rsid w:val="00C27CFD"/>
    <w:rsid w:val="00C27D03"/>
    <w:rsid w:val="00C27F4F"/>
    <w:rsid w:val="00C3069C"/>
    <w:rsid w:val="00C3086A"/>
    <w:rsid w:val="00C30998"/>
    <w:rsid w:val="00C309A0"/>
    <w:rsid w:val="00C30A9E"/>
    <w:rsid w:val="00C30B30"/>
    <w:rsid w:val="00C30DFE"/>
    <w:rsid w:val="00C31171"/>
    <w:rsid w:val="00C3122B"/>
    <w:rsid w:val="00C314F8"/>
    <w:rsid w:val="00C315D2"/>
    <w:rsid w:val="00C315F9"/>
    <w:rsid w:val="00C317DF"/>
    <w:rsid w:val="00C31908"/>
    <w:rsid w:val="00C31B2D"/>
    <w:rsid w:val="00C31BD5"/>
    <w:rsid w:val="00C31D91"/>
    <w:rsid w:val="00C327F0"/>
    <w:rsid w:val="00C3286A"/>
    <w:rsid w:val="00C32973"/>
    <w:rsid w:val="00C32B5E"/>
    <w:rsid w:val="00C32C40"/>
    <w:rsid w:val="00C32C5A"/>
    <w:rsid w:val="00C32D36"/>
    <w:rsid w:val="00C32E43"/>
    <w:rsid w:val="00C33311"/>
    <w:rsid w:val="00C33343"/>
    <w:rsid w:val="00C334FE"/>
    <w:rsid w:val="00C33565"/>
    <w:rsid w:val="00C33A3E"/>
    <w:rsid w:val="00C33ED5"/>
    <w:rsid w:val="00C33F9B"/>
    <w:rsid w:val="00C34102"/>
    <w:rsid w:val="00C34368"/>
    <w:rsid w:val="00C34391"/>
    <w:rsid w:val="00C3444C"/>
    <w:rsid w:val="00C34610"/>
    <w:rsid w:val="00C34AB6"/>
    <w:rsid w:val="00C34BB9"/>
    <w:rsid w:val="00C34E0E"/>
    <w:rsid w:val="00C35036"/>
    <w:rsid w:val="00C350EA"/>
    <w:rsid w:val="00C35423"/>
    <w:rsid w:val="00C35531"/>
    <w:rsid w:val="00C3577D"/>
    <w:rsid w:val="00C35D97"/>
    <w:rsid w:val="00C35E64"/>
    <w:rsid w:val="00C35EDA"/>
    <w:rsid w:val="00C3603F"/>
    <w:rsid w:val="00C36260"/>
    <w:rsid w:val="00C3644F"/>
    <w:rsid w:val="00C364D7"/>
    <w:rsid w:val="00C3660C"/>
    <w:rsid w:val="00C36799"/>
    <w:rsid w:val="00C36A63"/>
    <w:rsid w:val="00C36AE7"/>
    <w:rsid w:val="00C36B49"/>
    <w:rsid w:val="00C36D17"/>
    <w:rsid w:val="00C36F4C"/>
    <w:rsid w:val="00C3707B"/>
    <w:rsid w:val="00C3707E"/>
    <w:rsid w:val="00C37133"/>
    <w:rsid w:val="00C37234"/>
    <w:rsid w:val="00C372A2"/>
    <w:rsid w:val="00C37451"/>
    <w:rsid w:val="00C375FA"/>
    <w:rsid w:val="00C37825"/>
    <w:rsid w:val="00C37BD1"/>
    <w:rsid w:val="00C400D7"/>
    <w:rsid w:val="00C4018C"/>
    <w:rsid w:val="00C40251"/>
    <w:rsid w:val="00C40265"/>
    <w:rsid w:val="00C40271"/>
    <w:rsid w:val="00C40549"/>
    <w:rsid w:val="00C4061D"/>
    <w:rsid w:val="00C40C39"/>
    <w:rsid w:val="00C40C92"/>
    <w:rsid w:val="00C40F1F"/>
    <w:rsid w:val="00C40FF9"/>
    <w:rsid w:val="00C41017"/>
    <w:rsid w:val="00C412BF"/>
    <w:rsid w:val="00C41A6F"/>
    <w:rsid w:val="00C41C14"/>
    <w:rsid w:val="00C41DC4"/>
    <w:rsid w:val="00C41E0D"/>
    <w:rsid w:val="00C42312"/>
    <w:rsid w:val="00C426AD"/>
    <w:rsid w:val="00C427F0"/>
    <w:rsid w:val="00C428B6"/>
    <w:rsid w:val="00C428DA"/>
    <w:rsid w:val="00C42AC5"/>
    <w:rsid w:val="00C42D11"/>
    <w:rsid w:val="00C42D25"/>
    <w:rsid w:val="00C42DBF"/>
    <w:rsid w:val="00C42EA3"/>
    <w:rsid w:val="00C42FBB"/>
    <w:rsid w:val="00C43029"/>
    <w:rsid w:val="00C4349B"/>
    <w:rsid w:val="00C43537"/>
    <w:rsid w:val="00C43673"/>
    <w:rsid w:val="00C43686"/>
    <w:rsid w:val="00C43797"/>
    <w:rsid w:val="00C43964"/>
    <w:rsid w:val="00C43C88"/>
    <w:rsid w:val="00C43CA4"/>
    <w:rsid w:val="00C43E39"/>
    <w:rsid w:val="00C43F04"/>
    <w:rsid w:val="00C4435E"/>
    <w:rsid w:val="00C44435"/>
    <w:rsid w:val="00C44575"/>
    <w:rsid w:val="00C44722"/>
    <w:rsid w:val="00C4476B"/>
    <w:rsid w:val="00C44864"/>
    <w:rsid w:val="00C44980"/>
    <w:rsid w:val="00C44DDA"/>
    <w:rsid w:val="00C44E92"/>
    <w:rsid w:val="00C44F77"/>
    <w:rsid w:val="00C45021"/>
    <w:rsid w:val="00C45068"/>
    <w:rsid w:val="00C4546E"/>
    <w:rsid w:val="00C454EF"/>
    <w:rsid w:val="00C45675"/>
    <w:rsid w:val="00C458FD"/>
    <w:rsid w:val="00C45E0C"/>
    <w:rsid w:val="00C45E5F"/>
    <w:rsid w:val="00C45E83"/>
    <w:rsid w:val="00C4607B"/>
    <w:rsid w:val="00C46300"/>
    <w:rsid w:val="00C46401"/>
    <w:rsid w:val="00C46500"/>
    <w:rsid w:val="00C46511"/>
    <w:rsid w:val="00C465A4"/>
    <w:rsid w:val="00C46635"/>
    <w:rsid w:val="00C467DF"/>
    <w:rsid w:val="00C46C90"/>
    <w:rsid w:val="00C46CD5"/>
    <w:rsid w:val="00C46EFC"/>
    <w:rsid w:val="00C47086"/>
    <w:rsid w:val="00C47134"/>
    <w:rsid w:val="00C474E4"/>
    <w:rsid w:val="00C47552"/>
    <w:rsid w:val="00C475E8"/>
    <w:rsid w:val="00C4782F"/>
    <w:rsid w:val="00C47893"/>
    <w:rsid w:val="00C4791D"/>
    <w:rsid w:val="00C47C2E"/>
    <w:rsid w:val="00C47EE6"/>
    <w:rsid w:val="00C47FB0"/>
    <w:rsid w:val="00C5013E"/>
    <w:rsid w:val="00C50299"/>
    <w:rsid w:val="00C50418"/>
    <w:rsid w:val="00C504D1"/>
    <w:rsid w:val="00C506DB"/>
    <w:rsid w:val="00C508FB"/>
    <w:rsid w:val="00C50CBB"/>
    <w:rsid w:val="00C50CF2"/>
    <w:rsid w:val="00C50D35"/>
    <w:rsid w:val="00C50DD7"/>
    <w:rsid w:val="00C50EF6"/>
    <w:rsid w:val="00C50EFB"/>
    <w:rsid w:val="00C5103A"/>
    <w:rsid w:val="00C510AF"/>
    <w:rsid w:val="00C51152"/>
    <w:rsid w:val="00C5122A"/>
    <w:rsid w:val="00C51282"/>
    <w:rsid w:val="00C5133C"/>
    <w:rsid w:val="00C513B9"/>
    <w:rsid w:val="00C514B1"/>
    <w:rsid w:val="00C514FC"/>
    <w:rsid w:val="00C51619"/>
    <w:rsid w:val="00C517FA"/>
    <w:rsid w:val="00C5188E"/>
    <w:rsid w:val="00C519AF"/>
    <w:rsid w:val="00C51AC9"/>
    <w:rsid w:val="00C51AEC"/>
    <w:rsid w:val="00C51EAE"/>
    <w:rsid w:val="00C52352"/>
    <w:rsid w:val="00C5246A"/>
    <w:rsid w:val="00C52629"/>
    <w:rsid w:val="00C5280F"/>
    <w:rsid w:val="00C528C8"/>
    <w:rsid w:val="00C528F0"/>
    <w:rsid w:val="00C52E5F"/>
    <w:rsid w:val="00C53099"/>
    <w:rsid w:val="00C533C7"/>
    <w:rsid w:val="00C533EF"/>
    <w:rsid w:val="00C535B2"/>
    <w:rsid w:val="00C53605"/>
    <w:rsid w:val="00C53688"/>
    <w:rsid w:val="00C538A9"/>
    <w:rsid w:val="00C538F6"/>
    <w:rsid w:val="00C53C05"/>
    <w:rsid w:val="00C53EC0"/>
    <w:rsid w:val="00C541A2"/>
    <w:rsid w:val="00C544CF"/>
    <w:rsid w:val="00C547D3"/>
    <w:rsid w:val="00C54B5F"/>
    <w:rsid w:val="00C54B80"/>
    <w:rsid w:val="00C54BE8"/>
    <w:rsid w:val="00C54C1F"/>
    <w:rsid w:val="00C54CF4"/>
    <w:rsid w:val="00C54DD8"/>
    <w:rsid w:val="00C54E04"/>
    <w:rsid w:val="00C552D1"/>
    <w:rsid w:val="00C5536D"/>
    <w:rsid w:val="00C554E2"/>
    <w:rsid w:val="00C55595"/>
    <w:rsid w:val="00C55624"/>
    <w:rsid w:val="00C556CB"/>
    <w:rsid w:val="00C55728"/>
    <w:rsid w:val="00C5577B"/>
    <w:rsid w:val="00C5583B"/>
    <w:rsid w:val="00C55B9F"/>
    <w:rsid w:val="00C55C79"/>
    <w:rsid w:val="00C55F79"/>
    <w:rsid w:val="00C55FC7"/>
    <w:rsid w:val="00C5601B"/>
    <w:rsid w:val="00C5611D"/>
    <w:rsid w:val="00C56260"/>
    <w:rsid w:val="00C5652F"/>
    <w:rsid w:val="00C5696B"/>
    <w:rsid w:val="00C56A63"/>
    <w:rsid w:val="00C56AC1"/>
    <w:rsid w:val="00C56B68"/>
    <w:rsid w:val="00C56C58"/>
    <w:rsid w:val="00C56C9F"/>
    <w:rsid w:val="00C56DF3"/>
    <w:rsid w:val="00C56FD2"/>
    <w:rsid w:val="00C57083"/>
    <w:rsid w:val="00C571F8"/>
    <w:rsid w:val="00C572B0"/>
    <w:rsid w:val="00C57B62"/>
    <w:rsid w:val="00C57C08"/>
    <w:rsid w:val="00C57FD5"/>
    <w:rsid w:val="00C600BC"/>
    <w:rsid w:val="00C60177"/>
    <w:rsid w:val="00C601E0"/>
    <w:rsid w:val="00C601EC"/>
    <w:rsid w:val="00C60218"/>
    <w:rsid w:val="00C60413"/>
    <w:rsid w:val="00C6046B"/>
    <w:rsid w:val="00C604B3"/>
    <w:rsid w:val="00C604F6"/>
    <w:rsid w:val="00C6057E"/>
    <w:rsid w:val="00C60846"/>
    <w:rsid w:val="00C60D84"/>
    <w:rsid w:val="00C60E4C"/>
    <w:rsid w:val="00C60F63"/>
    <w:rsid w:val="00C6182E"/>
    <w:rsid w:val="00C618C5"/>
    <w:rsid w:val="00C61A67"/>
    <w:rsid w:val="00C61CDB"/>
    <w:rsid w:val="00C61E37"/>
    <w:rsid w:val="00C62011"/>
    <w:rsid w:val="00C620AB"/>
    <w:rsid w:val="00C624BD"/>
    <w:rsid w:val="00C625C1"/>
    <w:rsid w:val="00C625DB"/>
    <w:rsid w:val="00C62613"/>
    <w:rsid w:val="00C62968"/>
    <w:rsid w:val="00C62DED"/>
    <w:rsid w:val="00C62E3D"/>
    <w:rsid w:val="00C62E66"/>
    <w:rsid w:val="00C63672"/>
    <w:rsid w:val="00C636B7"/>
    <w:rsid w:val="00C63748"/>
    <w:rsid w:val="00C63A9D"/>
    <w:rsid w:val="00C63B0C"/>
    <w:rsid w:val="00C63D38"/>
    <w:rsid w:val="00C63D96"/>
    <w:rsid w:val="00C64036"/>
    <w:rsid w:val="00C640D4"/>
    <w:rsid w:val="00C64254"/>
    <w:rsid w:val="00C64284"/>
    <w:rsid w:val="00C64391"/>
    <w:rsid w:val="00C644E7"/>
    <w:rsid w:val="00C64652"/>
    <w:rsid w:val="00C6484B"/>
    <w:rsid w:val="00C6493F"/>
    <w:rsid w:val="00C64B7B"/>
    <w:rsid w:val="00C64D43"/>
    <w:rsid w:val="00C64E0D"/>
    <w:rsid w:val="00C64E1D"/>
    <w:rsid w:val="00C64E3D"/>
    <w:rsid w:val="00C65236"/>
    <w:rsid w:val="00C65371"/>
    <w:rsid w:val="00C6537A"/>
    <w:rsid w:val="00C65551"/>
    <w:rsid w:val="00C656F8"/>
    <w:rsid w:val="00C6575C"/>
    <w:rsid w:val="00C65B4E"/>
    <w:rsid w:val="00C65E50"/>
    <w:rsid w:val="00C65E9B"/>
    <w:rsid w:val="00C65F5C"/>
    <w:rsid w:val="00C66110"/>
    <w:rsid w:val="00C6630B"/>
    <w:rsid w:val="00C66CA8"/>
    <w:rsid w:val="00C67110"/>
    <w:rsid w:val="00C6752C"/>
    <w:rsid w:val="00C675E1"/>
    <w:rsid w:val="00C67894"/>
    <w:rsid w:val="00C6796B"/>
    <w:rsid w:val="00C67EF6"/>
    <w:rsid w:val="00C70010"/>
    <w:rsid w:val="00C70477"/>
    <w:rsid w:val="00C70610"/>
    <w:rsid w:val="00C70781"/>
    <w:rsid w:val="00C70A1B"/>
    <w:rsid w:val="00C70C12"/>
    <w:rsid w:val="00C711B7"/>
    <w:rsid w:val="00C71270"/>
    <w:rsid w:val="00C7132D"/>
    <w:rsid w:val="00C7134A"/>
    <w:rsid w:val="00C71711"/>
    <w:rsid w:val="00C71825"/>
    <w:rsid w:val="00C718D3"/>
    <w:rsid w:val="00C71BB1"/>
    <w:rsid w:val="00C71C1B"/>
    <w:rsid w:val="00C71D42"/>
    <w:rsid w:val="00C71D8D"/>
    <w:rsid w:val="00C71FC8"/>
    <w:rsid w:val="00C72067"/>
    <w:rsid w:val="00C7209A"/>
    <w:rsid w:val="00C720A5"/>
    <w:rsid w:val="00C720BE"/>
    <w:rsid w:val="00C720D8"/>
    <w:rsid w:val="00C72150"/>
    <w:rsid w:val="00C723EF"/>
    <w:rsid w:val="00C726F6"/>
    <w:rsid w:val="00C72757"/>
    <w:rsid w:val="00C728F1"/>
    <w:rsid w:val="00C7290F"/>
    <w:rsid w:val="00C72A33"/>
    <w:rsid w:val="00C72C1C"/>
    <w:rsid w:val="00C72D46"/>
    <w:rsid w:val="00C72F2B"/>
    <w:rsid w:val="00C73077"/>
    <w:rsid w:val="00C73099"/>
    <w:rsid w:val="00C730A9"/>
    <w:rsid w:val="00C730C0"/>
    <w:rsid w:val="00C73373"/>
    <w:rsid w:val="00C73521"/>
    <w:rsid w:val="00C73611"/>
    <w:rsid w:val="00C73686"/>
    <w:rsid w:val="00C73910"/>
    <w:rsid w:val="00C73A58"/>
    <w:rsid w:val="00C73B3B"/>
    <w:rsid w:val="00C73FC1"/>
    <w:rsid w:val="00C74080"/>
    <w:rsid w:val="00C741A8"/>
    <w:rsid w:val="00C742B5"/>
    <w:rsid w:val="00C7448F"/>
    <w:rsid w:val="00C74550"/>
    <w:rsid w:val="00C74551"/>
    <w:rsid w:val="00C7498E"/>
    <w:rsid w:val="00C749A1"/>
    <w:rsid w:val="00C74CE3"/>
    <w:rsid w:val="00C74E07"/>
    <w:rsid w:val="00C74E59"/>
    <w:rsid w:val="00C74F6C"/>
    <w:rsid w:val="00C74F96"/>
    <w:rsid w:val="00C7531C"/>
    <w:rsid w:val="00C753AD"/>
    <w:rsid w:val="00C755DE"/>
    <w:rsid w:val="00C756E8"/>
    <w:rsid w:val="00C75741"/>
    <w:rsid w:val="00C75877"/>
    <w:rsid w:val="00C758FB"/>
    <w:rsid w:val="00C7591A"/>
    <w:rsid w:val="00C759D3"/>
    <w:rsid w:val="00C75A33"/>
    <w:rsid w:val="00C75DF8"/>
    <w:rsid w:val="00C75E4A"/>
    <w:rsid w:val="00C75EEC"/>
    <w:rsid w:val="00C75FAF"/>
    <w:rsid w:val="00C76064"/>
    <w:rsid w:val="00C762BD"/>
    <w:rsid w:val="00C764CC"/>
    <w:rsid w:val="00C76511"/>
    <w:rsid w:val="00C76640"/>
    <w:rsid w:val="00C76778"/>
    <w:rsid w:val="00C76781"/>
    <w:rsid w:val="00C7692C"/>
    <w:rsid w:val="00C76A46"/>
    <w:rsid w:val="00C76C2A"/>
    <w:rsid w:val="00C76CBC"/>
    <w:rsid w:val="00C76D6B"/>
    <w:rsid w:val="00C76F8D"/>
    <w:rsid w:val="00C76FE5"/>
    <w:rsid w:val="00C76FFB"/>
    <w:rsid w:val="00C77287"/>
    <w:rsid w:val="00C7732E"/>
    <w:rsid w:val="00C7745D"/>
    <w:rsid w:val="00C77543"/>
    <w:rsid w:val="00C77739"/>
    <w:rsid w:val="00C77809"/>
    <w:rsid w:val="00C77900"/>
    <w:rsid w:val="00C77A13"/>
    <w:rsid w:val="00C77AE0"/>
    <w:rsid w:val="00C77B21"/>
    <w:rsid w:val="00C77B63"/>
    <w:rsid w:val="00C77D70"/>
    <w:rsid w:val="00C77EFE"/>
    <w:rsid w:val="00C803F6"/>
    <w:rsid w:val="00C80515"/>
    <w:rsid w:val="00C80910"/>
    <w:rsid w:val="00C80A09"/>
    <w:rsid w:val="00C80A45"/>
    <w:rsid w:val="00C80B01"/>
    <w:rsid w:val="00C80B2F"/>
    <w:rsid w:val="00C810EA"/>
    <w:rsid w:val="00C8128F"/>
    <w:rsid w:val="00C81334"/>
    <w:rsid w:val="00C8133B"/>
    <w:rsid w:val="00C8143C"/>
    <w:rsid w:val="00C8156F"/>
    <w:rsid w:val="00C81572"/>
    <w:rsid w:val="00C81B9B"/>
    <w:rsid w:val="00C81BAD"/>
    <w:rsid w:val="00C81C3F"/>
    <w:rsid w:val="00C81CA0"/>
    <w:rsid w:val="00C81F5B"/>
    <w:rsid w:val="00C820A1"/>
    <w:rsid w:val="00C82191"/>
    <w:rsid w:val="00C82364"/>
    <w:rsid w:val="00C823D1"/>
    <w:rsid w:val="00C8241F"/>
    <w:rsid w:val="00C82783"/>
    <w:rsid w:val="00C82B87"/>
    <w:rsid w:val="00C82DB8"/>
    <w:rsid w:val="00C832ED"/>
    <w:rsid w:val="00C834D2"/>
    <w:rsid w:val="00C8355D"/>
    <w:rsid w:val="00C835E4"/>
    <w:rsid w:val="00C83A3D"/>
    <w:rsid w:val="00C83A78"/>
    <w:rsid w:val="00C83B87"/>
    <w:rsid w:val="00C842DC"/>
    <w:rsid w:val="00C84323"/>
    <w:rsid w:val="00C8443C"/>
    <w:rsid w:val="00C8446C"/>
    <w:rsid w:val="00C84596"/>
    <w:rsid w:val="00C84627"/>
    <w:rsid w:val="00C846DF"/>
    <w:rsid w:val="00C8478E"/>
    <w:rsid w:val="00C84C75"/>
    <w:rsid w:val="00C84D20"/>
    <w:rsid w:val="00C84D90"/>
    <w:rsid w:val="00C84E92"/>
    <w:rsid w:val="00C85036"/>
    <w:rsid w:val="00C8523E"/>
    <w:rsid w:val="00C85376"/>
    <w:rsid w:val="00C85393"/>
    <w:rsid w:val="00C8542D"/>
    <w:rsid w:val="00C85446"/>
    <w:rsid w:val="00C854C3"/>
    <w:rsid w:val="00C858E0"/>
    <w:rsid w:val="00C858F8"/>
    <w:rsid w:val="00C85990"/>
    <w:rsid w:val="00C85AA5"/>
    <w:rsid w:val="00C85C58"/>
    <w:rsid w:val="00C85C6E"/>
    <w:rsid w:val="00C85DAE"/>
    <w:rsid w:val="00C85EEE"/>
    <w:rsid w:val="00C860C7"/>
    <w:rsid w:val="00C8613E"/>
    <w:rsid w:val="00C862BB"/>
    <w:rsid w:val="00C864D5"/>
    <w:rsid w:val="00C8665B"/>
    <w:rsid w:val="00C86ACA"/>
    <w:rsid w:val="00C86C95"/>
    <w:rsid w:val="00C86DDC"/>
    <w:rsid w:val="00C86EBF"/>
    <w:rsid w:val="00C86ED1"/>
    <w:rsid w:val="00C87114"/>
    <w:rsid w:val="00C87314"/>
    <w:rsid w:val="00C87327"/>
    <w:rsid w:val="00C87472"/>
    <w:rsid w:val="00C874E9"/>
    <w:rsid w:val="00C874F7"/>
    <w:rsid w:val="00C875D5"/>
    <w:rsid w:val="00C8774D"/>
    <w:rsid w:val="00C877D4"/>
    <w:rsid w:val="00C87813"/>
    <w:rsid w:val="00C879D9"/>
    <w:rsid w:val="00C87B3F"/>
    <w:rsid w:val="00C87C2B"/>
    <w:rsid w:val="00C90174"/>
    <w:rsid w:val="00C9038D"/>
    <w:rsid w:val="00C903FE"/>
    <w:rsid w:val="00C905FF"/>
    <w:rsid w:val="00C9094C"/>
    <w:rsid w:val="00C90A22"/>
    <w:rsid w:val="00C90BF9"/>
    <w:rsid w:val="00C91078"/>
    <w:rsid w:val="00C910E6"/>
    <w:rsid w:val="00C91492"/>
    <w:rsid w:val="00C91575"/>
    <w:rsid w:val="00C91895"/>
    <w:rsid w:val="00C91A2F"/>
    <w:rsid w:val="00C91D80"/>
    <w:rsid w:val="00C91FF1"/>
    <w:rsid w:val="00C9201C"/>
    <w:rsid w:val="00C921EC"/>
    <w:rsid w:val="00C924F2"/>
    <w:rsid w:val="00C92832"/>
    <w:rsid w:val="00C928BE"/>
    <w:rsid w:val="00C92D55"/>
    <w:rsid w:val="00C92FF8"/>
    <w:rsid w:val="00C931AD"/>
    <w:rsid w:val="00C931C1"/>
    <w:rsid w:val="00C93476"/>
    <w:rsid w:val="00C93546"/>
    <w:rsid w:val="00C936F8"/>
    <w:rsid w:val="00C93780"/>
    <w:rsid w:val="00C937FA"/>
    <w:rsid w:val="00C9384D"/>
    <w:rsid w:val="00C939BB"/>
    <w:rsid w:val="00C93ADA"/>
    <w:rsid w:val="00C93B02"/>
    <w:rsid w:val="00C93B90"/>
    <w:rsid w:val="00C93CE6"/>
    <w:rsid w:val="00C93E19"/>
    <w:rsid w:val="00C94062"/>
    <w:rsid w:val="00C94150"/>
    <w:rsid w:val="00C943FB"/>
    <w:rsid w:val="00C94546"/>
    <w:rsid w:val="00C94581"/>
    <w:rsid w:val="00C94775"/>
    <w:rsid w:val="00C94804"/>
    <w:rsid w:val="00C94850"/>
    <w:rsid w:val="00C94A3C"/>
    <w:rsid w:val="00C94E24"/>
    <w:rsid w:val="00C94F25"/>
    <w:rsid w:val="00C95028"/>
    <w:rsid w:val="00C9508A"/>
    <w:rsid w:val="00C950B9"/>
    <w:rsid w:val="00C9540F"/>
    <w:rsid w:val="00C954EA"/>
    <w:rsid w:val="00C95843"/>
    <w:rsid w:val="00C9585A"/>
    <w:rsid w:val="00C9592C"/>
    <w:rsid w:val="00C95BE0"/>
    <w:rsid w:val="00C95C89"/>
    <w:rsid w:val="00C95CA4"/>
    <w:rsid w:val="00C95D16"/>
    <w:rsid w:val="00C95D60"/>
    <w:rsid w:val="00C95DED"/>
    <w:rsid w:val="00C95F71"/>
    <w:rsid w:val="00C96287"/>
    <w:rsid w:val="00C964C8"/>
    <w:rsid w:val="00C966F2"/>
    <w:rsid w:val="00C9671D"/>
    <w:rsid w:val="00C9679B"/>
    <w:rsid w:val="00C968DE"/>
    <w:rsid w:val="00C96904"/>
    <w:rsid w:val="00C96BD0"/>
    <w:rsid w:val="00C96D1B"/>
    <w:rsid w:val="00C97763"/>
    <w:rsid w:val="00C97928"/>
    <w:rsid w:val="00C979C7"/>
    <w:rsid w:val="00C97CE3"/>
    <w:rsid w:val="00C97E9F"/>
    <w:rsid w:val="00C97F10"/>
    <w:rsid w:val="00C97F84"/>
    <w:rsid w:val="00C97FC1"/>
    <w:rsid w:val="00CA0055"/>
    <w:rsid w:val="00CA0159"/>
    <w:rsid w:val="00CA0215"/>
    <w:rsid w:val="00CA03F1"/>
    <w:rsid w:val="00CA0541"/>
    <w:rsid w:val="00CA07DC"/>
    <w:rsid w:val="00CA084B"/>
    <w:rsid w:val="00CA0A82"/>
    <w:rsid w:val="00CA0A98"/>
    <w:rsid w:val="00CA0D32"/>
    <w:rsid w:val="00CA0DA0"/>
    <w:rsid w:val="00CA0EEE"/>
    <w:rsid w:val="00CA11D7"/>
    <w:rsid w:val="00CA12C2"/>
    <w:rsid w:val="00CA14D9"/>
    <w:rsid w:val="00CA16C9"/>
    <w:rsid w:val="00CA1702"/>
    <w:rsid w:val="00CA1757"/>
    <w:rsid w:val="00CA177C"/>
    <w:rsid w:val="00CA17EF"/>
    <w:rsid w:val="00CA18B4"/>
    <w:rsid w:val="00CA1DF2"/>
    <w:rsid w:val="00CA1E10"/>
    <w:rsid w:val="00CA1E62"/>
    <w:rsid w:val="00CA2455"/>
    <w:rsid w:val="00CA263C"/>
    <w:rsid w:val="00CA285E"/>
    <w:rsid w:val="00CA2984"/>
    <w:rsid w:val="00CA2E93"/>
    <w:rsid w:val="00CA2FC2"/>
    <w:rsid w:val="00CA3050"/>
    <w:rsid w:val="00CA3174"/>
    <w:rsid w:val="00CA34BD"/>
    <w:rsid w:val="00CA35F0"/>
    <w:rsid w:val="00CA389F"/>
    <w:rsid w:val="00CA3C87"/>
    <w:rsid w:val="00CA3F1D"/>
    <w:rsid w:val="00CA412F"/>
    <w:rsid w:val="00CA41ED"/>
    <w:rsid w:val="00CA425C"/>
    <w:rsid w:val="00CA4372"/>
    <w:rsid w:val="00CA44DE"/>
    <w:rsid w:val="00CA4A83"/>
    <w:rsid w:val="00CA4C21"/>
    <w:rsid w:val="00CA4C55"/>
    <w:rsid w:val="00CA4DD2"/>
    <w:rsid w:val="00CA50FD"/>
    <w:rsid w:val="00CA52BA"/>
    <w:rsid w:val="00CA5612"/>
    <w:rsid w:val="00CA567E"/>
    <w:rsid w:val="00CA56E1"/>
    <w:rsid w:val="00CA5748"/>
    <w:rsid w:val="00CA5A0E"/>
    <w:rsid w:val="00CA5E9D"/>
    <w:rsid w:val="00CA5FB1"/>
    <w:rsid w:val="00CA6387"/>
    <w:rsid w:val="00CA65E9"/>
    <w:rsid w:val="00CA6644"/>
    <w:rsid w:val="00CA6658"/>
    <w:rsid w:val="00CA6A4C"/>
    <w:rsid w:val="00CA72AF"/>
    <w:rsid w:val="00CA72DC"/>
    <w:rsid w:val="00CA749B"/>
    <w:rsid w:val="00CA74CC"/>
    <w:rsid w:val="00CA7522"/>
    <w:rsid w:val="00CA765E"/>
    <w:rsid w:val="00CA777C"/>
    <w:rsid w:val="00CA77B9"/>
    <w:rsid w:val="00CA7898"/>
    <w:rsid w:val="00CA7B8F"/>
    <w:rsid w:val="00CA7C8D"/>
    <w:rsid w:val="00CA7D34"/>
    <w:rsid w:val="00CA7DC8"/>
    <w:rsid w:val="00CB00D4"/>
    <w:rsid w:val="00CB0286"/>
    <w:rsid w:val="00CB0383"/>
    <w:rsid w:val="00CB092D"/>
    <w:rsid w:val="00CB0A19"/>
    <w:rsid w:val="00CB0AB9"/>
    <w:rsid w:val="00CB0EBA"/>
    <w:rsid w:val="00CB11F0"/>
    <w:rsid w:val="00CB1362"/>
    <w:rsid w:val="00CB1608"/>
    <w:rsid w:val="00CB185B"/>
    <w:rsid w:val="00CB198A"/>
    <w:rsid w:val="00CB1B4B"/>
    <w:rsid w:val="00CB1B67"/>
    <w:rsid w:val="00CB1C1E"/>
    <w:rsid w:val="00CB1D82"/>
    <w:rsid w:val="00CB1E4E"/>
    <w:rsid w:val="00CB1EE3"/>
    <w:rsid w:val="00CB1F8D"/>
    <w:rsid w:val="00CB22FF"/>
    <w:rsid w:val="00CB2469"/>
    <w:rsid w:val="00CB24EF"/>
    <w:rsid w:val="00CB2651"/>
    <w:rsid w:val="00CB2910"/>
    <w:rsid w:val="00CB2ACD"/>
    <w:rsid w:val="00CB2BBD"/>
    <w:rsid w:val="00CB2BD3"/>
    <w:rsid w:val="00CB2C09"/>
    <w:rsid w:val="00CB2F3A"/>
    <w:rsid w:val="00CB2F60"/>
    <w:rsid w:val="00CB2F69"/>
    <w:rsid w:val="00CB322C"/>
    <w:rsid w:val="00CB3391"/>
    <w:rsid w:val="00CB3458"/>
    <w:rsid w:val="00CB36E5"/>
    <w:rsid w:val="00CB394F"/>
    <w:rsid w:val="00CB3974"/>
    <w:rsid w:val="00CB3A71"/>
    <w:rsid w:val="00CB3C4F"/>
    <w:rsid w:val="00CB3E67"/>
    <w:rsid w:val="00CB3F63"/>
    <w:rsid w:val="00CB3FF1"/>
    <w:rsid w:val="00CB4150"/>
    <w:rsid w:val="00CB41A8"/>
    <w:rsid w:val="00CB44A6"/>
    <w:rsid w:val="00CB4624"/>
    <w:rsid w:val="00CB4A1D"/>
    <w:rsid w:val="00CB4A43"/>
    <w:rsid w:val="00CB4B70"/>
    <w:rsid w:val="00CB4E58"/>
    <w:rsid w:val="00CB4E88"/>
    <w:rsid w:val="00CB50D6"/>
    <w:rsid w:val="00CB5242"/>
    <w:rsid w:val="00CB57F0"/>
    <w:rsid w:val="00CB5971"/>
    <w:rsid w:val="00CB5B3D"/>
    <w:rsid w:val="00CB5DB4"/>
    <w:rsid w:val="00CB606B"/>
    <w:rsid w:val="00CB61F7"/>
    <w:rsid w:val="00CB6382"/>
    <w:rsid w:val="00CB64F6"/>
    <w:rsid w:val="00CB664B"/>
    <w:rsid w:val="00CB66CE"/>
    <w:rsid w:val="00CB6946"/>
    <w:rsid w:val="00CB6EE9"/>
    <w:rsid w:val="00CB7081"/>
    <w:rsid w:val="00CB75B6"/>
    <w:rsid w:val="00CB7707"/>
    <w:rsid w:val="00CB774D"/>
    <w:rsid w:val="00CB7815"/>
    <w:rsid w:val="00CB789D"/>
    <w:rsid w:val="00CB7A8F"/>
    <w:rsid w:val="00CB7AC2"/>
    <w:rsid w:val="00CB7AFE"/>
    <w:rsid w:val="00CB7C5A"/>
    <w:rsid w:val="00CC0224"/>
    <w:rsid w:val="00CC072C"/>
    <w:rsid w:val="00CC09ED"/>
    <w:rsid w:val="00CC0B99"/>
    <w:rsid w:val="00CC0D7A"/>
    <w:rsid w:val="00CC10EF"/>
    <w:rsid w:val="00CC1113"/>
    <w:rsid w:val="00CC1158"/>
    <w:rsid w:val="00CC116D"/>
    <w:rsid w:val="00CC1402"/>
    <w:rsid w:val="00CC1A47"/>
    <w:rsid w:val="00CC1D2C"/>
    <w:rsid w:val="00CC1DE9"/>
    <w:rsid w:val="00CC2016"/>
    <w:rsid w:val="00CC2296"/>
    <w:rsid w:val="00CC2323"/>
    <w:rsid w:val="00CC250A"/>
    <w:rsid w:val="00CC28B2"/>
    <w:rsid w:val="00CC29BB"/>
    <w:rsid w:val="00CC2A6A"/>
    <w:rsid w:val="00CC2D9D"/>
    <w:rsid w:val="00CC3119"/>
    <w:rsid w:val="00CC3521"/>
    <w:rsid w:val="00CC3659"/>
    <w:rsid w:val="00CC3696"/>
    <w:rsid w:val="00CC37E0"/>
    <w:rsid w:val="00CC3862"/>
    <w:rsid w:val="00CC3905"/>
    <w:rsid w:val="00CC39E0"/>
    <w:rsid w:val="00CC3A57"/>
    <w:rsid w:val="00CC3A83"/>
    <w:rsid w:val="00CC3B2D"/>
    <w:rsid w:val="00CC3BDF"/>
    <w:rsid w:val="00CC3EB4"/>
    <w:rsid w:val="00CC3FBB"/>
    <w:rsid w:val="00CC4315"/>
    <w:rsid w:val="00CC4429"/>
    <w:rsid w:val="00CC44C3"/>
    <w:rsid w:val="00CC45DB"/>
    <w:rsid w:val="00CC4612"/>
    <w:rsid w:val="00CC4808"/>
    <w:rsid w:val="00CC4CF4"/>
    <w:rsid w:val="00CC4DBB"/>
    <w:rsid w:val="00CC5067"/>
    <w:rsid w:val="00CC50CF"/>
    <w:rsid w:val="00CC513F"/>
    <w:rsid w:val="00CC525F"/>
    <w:rsid w:val="00CC526C"/>
    <w:rsid w:val="00CC55F7"/>
    <w:rsid w:val="00CC5789"/>
    <w:rsid w:val="00CC5B10"/>
    <w:rsid w:val="00CC5D0B"/>
    <w:rsid w:val="00CC5E2C"/>
    <w:rsid w:val="00CC5F63"/>
    <w:rsid w:val="00CC5F9D"/>
    <w:rsid w:val="00CC5FE9"/>
    <w:rsid w:val="00CC61A7"/>
    <w:rsid w:val="00CC61DB"/>
    <w:rsid w:val="00CC6395"/>
    <w:rsid w:val="00CC6621"/>
    <w:rsid w:val="00CC671E"/>
    <w:rsid w:val="00CC679D"/>
    <w:rsid w:val="00CC67B0"/>
    <w:rsid w:val="00CC68F1"/>
    <w:rsid w:val="00CC6A9B"/>
    <w:rsid w:val="00CC6BFC"/>
    <w:rsid w:val="00CC6D16"/>
    <w:rsid w:val="00CC6DDA"/>
    <w:rsid w:val="00CC6F3E"/>
    <w:rsid w:val="00CC6F8A"/>
    <w:rsid w:val="00CC73E0"/>
    <w:rsid w:val="00CC742F"/>
    <w:rsid w:val="00CC74C1"/>
    <w:rsid w:val="00CC7AC5"/>
    <w:rsid w:val="00CC7C77"/>
    <w:rsid w:val="00CC7CAD"/>
    <w:rsid w:val="00CC7EBD"/>
    <w:rsid w:val="00CC7FC8"/>
    <w:rsid w:val="00CD0275"/>
    <w:rsid w:val="00CD038A"/>
    <w:rsid w:val="00CD0783"/>
    <w:rsid w:val="00CD08FC"/>
    <w:rsid w:val="00CD0930"/>
    <w:rsid w:val="00CD0B60"/>
    <w:rsid w:val="00CD0BF7"/>
    <w:rsid w:val="00CD0D57"/>
    <w:rsid w:val="00CD0EE2"/>
    <w:rsid w:val="00CD0EE8"/>
    <w:rsid w:val="00CD0EEA"/>
    <w:rsid w:val="00CD10E8"/>
    <w:rsid w:val="00CD1369"/>
    <w:rsid w:val="00CD16D6"/>
    <w:rsid w:val="00CD18DD"/>
    <w:rsid w:val="00CD1A2D"/>
    <w:rsid w:val="00CD1D20"/>
    <w:rsid w:val="00CD1D85"/>
    <w:rsid w:val="00CD1E0E"/>
    <w:rsid w:val="00CD21E3"/>
    <w:rsid w:val="00CD23FB"/>
    <w:rsid w:val="00CD276C"/>
    <w:rsid w:val="00CD28B2"/>
    <w:rsid w:val="00CD28B9"/>
    <w:rsid w:val="00CD29EA"/>
    <w:rsid w:val="00CD2A0B"/>
    <w:rsid w:val="00CD2C61"/>
    <w:rsid w:val="00CD300A"/>
    <w:rsid w:val="00CD30B8"/>
    <w:rsid w:val="00CD317F"/>
    <w:rsid w:val="00CD3192"/>
    <w:rsid w:val="00CD348C"/>
    <w:rsid w:val="00CD35C5"/>
    <w:rsid w:val="00CD37B3"/>
    <w:rsid w:val="00CD386F"/>
    <w:rsid w:val="00CD3921"/>
    <w:rsid w:val="00CD39F1"/>
    <w:rsid w:val="00CD3CAF"/>
    <w:rsid w:val="00CD402A"/>
    <w:rsid w:val="00CD40C6"/>
    <w:rsid w:val="00CD415E"/>
    <w:rsid w:val="00CD41FE"/>
    <w:rsid w:val="00CD43D5"/>
    <w:rsid w:val="00CD45E7"/>
    <w:rsid w:val="00CD46BD"/>
    <w:rsid w:val="00CD47E1"/>
    <w:rsid w:val="00CD4952"/>
    <w:rsid w:val="00CD49BC"/>
    <w:rsid w:val="00CD4A20"/>
    <w:rsid w:val="00CD4E5C"/>
    <w:rsid w:val="00CD4ECC"/>
    <w:rsid w:val="00CD512A"/>
    <w:rsid w:val="00CD5133"/>
    <w:rsid w:val="00CD52AC"/>
    <w:rsid w:val="00CD5412"/>
    <w:rsid w:val="00CD57C8"/>
    <w:rsid w:val="00CD59C3"/>
    <w:rsid w:val="00CD5ADE"/>
    <w:rsid w:val="00CD5B8E"/>
    <w:rsid w:val="00CD5E63"/>
    <w:rsid w:val="00CD5E83"/>
    <w:rsid w:val="00CD5F6A"/>
    <w:rsid w:val="00CD610F"/>
    <w:rsid w:val="00CD6123"/>
    <w:rsid w:val="00CD6181"/>
    <w:rsid w:val="00CD61C9"/>
    <w:rsid w:val="00CD61F5"/>
    <w:rsid w:val="00CD6252"/>
    <w:rsid w:val="00CD62AA"/>
    <w:rsid w:val="00CD6313"/>
    <w:rsid w:val="00CD6432"/>
    <w:rsid w:val="00CD6493"/>
    <w:rsid w:val="00CD64B8"/>
    <w:rsid w:val="00CD6699"/>
    <w:rsid w:val="00CD6AF4"/>
    <w:rsid w:val="00CD6B36"/>
    <w:rsid w:val="00CD6CCA"/>
    <w:rsid w:val="00CD6E8E"/>
    <w:rsid w:val="00CD6EFF"/>
    <w:rsid w:val="00CD6FAB"/>
    <w:rsid w:val="00CD738A"/>
    <w:rsid w:val="00CD7A20"/>
    <w:rsid w:val="00CD7BA3"/>
    <w:rsid w:val="00CD7BB5"/>
    <w:rsid w:val="00CD7BD0"/>
    <w:rsid w:val="00CE0125"/>
    <w:rsid w:val="00CE013F"/>
    <w:rsid w:val="00CE037D"/>
    <w:rsid w:val="00CE04BB"/>
    <w:rsid w:val="00CE0527"/>
    <w:rsid w:val="00CE0673"/>
    <w:rsid w:val="00CE06D9"/>
    <w:rsid w:val="00CE0761"/>
    <w:rsid w:val="00CE080A"/>
    <w:rsid w:val="00CE080C"/>
    <w:rsid w:val="00CE08A5"/>
    <w:rsid w:val="00CE0BE8"/>
    <w:rsid w:val="00CE0CBD"/>
    <w:rsid w:val="00CE0D61"/>
    <w:rsid w:val="00CE0FFA"/>
    <w:rsid w:val="00CE10D7"/>
    <w:rsid w:val="00CE11F8"/>
    <w:rsid w:val="00CE16D2"/>
    <w:rsid w:val="00CE1747"/>
    <w:rsid w:val="00CE193B"/>
    <w:rsid w:val="00CE1A53"/>
    <w:rsid w:val="00CE1C1C"/>
    <w:rsid w:val="00CE1E11"/>
    <w:rsid w:val="00CE20CF"/>
    <w:rsid w:val="00CE247C"/>
    <w:rsid w:val="00CE2545"/>
    <w:rsid w:val="00CE256B"/>
    <w:rsid w:val="00CE258E"/>
    <w:rsid w:val="00CE26C0"/>
    <w:rsid w:val="00CE2858"/>
    <w:rsid w:val="00CE2987"/>
    <w:rsid w:val="00CE2B92"/>
    <w:rsid w:val="00CE2FF3"/>
    <w:rsid w:val="00CE3171"/>
    <w:rsid w:val="00CE324B"/>
    <w:rsid w:val="00CE329F"/>
    <w:rsid w:val="00CE334F"/>
    <w:rsid w:val="00CE3823"/>
    <w:rsid w:val="00CE3B86"/>
    <w:rsid w:val="00CE3BC9"/>
    <w:rsid w:val="00CE3BFE"/>
    <w:rsid w:val="00CE3D5E"/>
    <w:rsid w:val="00CE416C"/>
    <w:rsid w:val="00CE4427"/>
    <w:rsid w:val="00CE45DA"/>
    <w:rsid w:val="00CE46C4"/>
    <w:rsid w:val="00CE471E"/>
    <w:rsid w:val="00CE47B7"/>
    <w:rsid w:val="00CE47E6"/>
    <w:rsid w:val="00CE47F1"/>
    <w:rsid w:val="00CE4979"/>
    <w:rsid w:val="00CE4A39"/>
    <w:rsid w:val="00CE4C6E"/>
    <w:rsid w:val="00CE4CE4"/>
    <w:rsid w:val="00CE4D41"/>
    <w:rsid w:val="00CE4DF8"/>
    <w:rsid w:val="00CE51B2"/>
    <w:rsid w:val="00CE5313"/>
    <w:rsid w:val="00CE536B"/>
    <w:rsid w:val="00CE5503"/>
    <w:rsid w:val="00CE5556"/>
    <w:rsid w:val="00CE5836"/>
    <w:rsid w:val="00CE58EE"/>
    <w:rsid w:val="00CE5941"/>
    <w:rsid w:val="00CE597A"/>
    <w:rsid w:val="00CE5A60"/>
    <w:rsid w:val="00CE5D1B"/>
    <w:rsid w:val="00CE5ED7"/>
    <w:rsid w:val="00CE5F9A"/>
    <w:rsid w:val="00CE60FC"/>
    <w:rsid w:val="00CE63DC"/>
    <w:rsid w:val="00CE675C"/>
    <w:rsid w:val="00CE69B6"/>
    <w:rsid w:val="00CE6B15"/>
    <w:rsid w:val="00CE6B22"/>
    <w:rsid w:val="00CE6DE5"/>
    <w:rsid w:val="00CE725A"/>
    <w:rsid w:val="00CE763E"/>
    <w:rsid w:val="00CE78D5"/>
    <w:rsid w:val="00CE79AB"/>
    <w:rsid w:val="00CE7A70"/>
    <w:rsid w:val="00CE7C46"/>
    <w:rsid w:val="00CE7DAA"/>
    <w:rsid w:val="00CF02D3"/>
    <w:rsid w:val="00CF034F"/>
    <w:rsid w:val="00CF0519"/>
    <w:rsid w:val="00CF05C3"/>
    <w:rsid w:val="00CF0919"/>
    <w:rsid w:val="00CF0C94"/>
    <w:rsid w:val="00CF0CD3"/>
    <w:rsid w:val="00CF0D5E"/>
    <w:rsid w:val="00CF1102"/>
    <w:rsid w:val="00CF1175"/>
    <w:rsid w:val="00CF1589"/>
    <w:rsid w:val="00CF1A69"/>
    <w:rsid w:val="00CF1A6C"/>
    <w:rsid w:val="00CF1BAA"/>
    <w:rsid w:val="00CF1C53"/>
    <w:rsid w:val="00CF1CCA"/>
    <w:rsid w:val="00CF1D9F"/>
    <w:rsid w:val="00CF1E63"/>
    <w:rsid w:val="00CF1E65"/>
    <w:rsid w:val="00CF21F3"/>
    <w:rsid w:val="00CF2339"/>
    <w:rsid w:val="00CF2343"/>
    <w:rsid w:val="00CF236A"/>
    <w:rsid w:val="00CF24BE"/>
    <w:rsid w:val="00CF24F0"/>
    <w:rsid w:val="00CF2626"/>
    <w:rsid w:val="00CF263F"/>
    <w:rsid w:val="00CF291B"/>
    <w:rsid w:val="00CF2999"/>
    <w:rsid w:val="00CF2A00"/>
    <w:rsid w:val="00CF2A09"/>
    <w:rsid w:val="00CF2A6A"/>
    <w:rsid w:val="00CF2B8B"/>
    <w:rsid w:val="00CF2F0D"/>
    <w:rsid w:val="00CF2FA3"/>
    <w:rsid w:val="00CF3358"/>
    <w:rsid w:val="00CF34EF"/>
    <w:rsid w:val="00CF375F"/>
    <w:rsid w:val="00CF37D3"/>
    <w:rsid w:val="00CF3825"/>
    <w:rsid w:val="00CF38BC"/>
    <w:rsid w:val="00CF3A67"/>
    <w:rsid w:val="00CF3CC2"/>
    <w:rsid w:val="00CF3DE4"/>
    <w:rsid w:val="00CF4014"/>
    <w:rsid w:val="00CF41B2"/>
    <w:rsid w:val="00CF42BE"/>
    <w:rsid w:val="00CF45C6"/>
    <w:rsid w:val="00CF4680"/>
    <w:rsid w:val="00CF46B5"/>
    <w:rsid w:val="00CF4982"/>
    <w:rsid w:val="00CF4B79"/>
    <w:rsid w:val="00CF4CCA"/>
    <w:rsid w:val="00CF4DFE"/>
    <w:rsid w:val="00CF4F48"/>
    <w:rsid w:val="00CF4F6F"/>
    <w:rsid w:val="00CF51C1"/>
    <w:rsid w:val="00CF528C"/>
    <w:rsid w:val="00CF52BC"/>
    <w:rsid w:val="00CF5459"/>
    <w:rsid w:val="00CF549D"/>
    <w:rsid w:val="00CF54EB"/>
    <w:rsid w:val="00CF55BB"/>
    <w:rsid w:val="00CF55F3"/>
    <w:rsid w:val="00CF5CB4"/>
    <w:rsid w:val="00CF5E1F"/>
    <w:rsid w:val="00CF5E63"/>
    <w:rsid w:val="00CF5EC7"/>
    <w:rsid w:val="00CF6032"/>
    <w:rsid w:val="00CF604E"/>
    <w:rsid w:val="00CF61D1"/>
    <w:rsid w:val="00CF626D"/>
    <w:rsid w:val="00CF652C"/>
    <w:rsid w:val="00CF6568"/>
    <w:rsid w:val="00CF65BC"/>
    <w:rsid w:val="00CF6629"/>
    <w:rsid w:val="00CF66E7"/>
    <w:rsid w:val="00CF6877"/>
    <w:rsid w:val="00CF68B4"/>
    <w:rsid w:val="00CF68CC"/>
    <w:rsid w:val="00CF68F9"/>
    <w:rsid w:val="00CF6911"/>
    <w:rsid w:val="00CF695E"/>
    <w:rsid w:val="00CF6BE5"/>
    <w:rsid w:val="00CF6C6D"/>
    <w:rsid w:val="00CF6C6F"/>
    <w:rsid w:val="00CF72FC"/>
    <w:rsid w:val="00CF7404"/>
    <w:rsid w:val="00CF75D7"/>
    <w:rsid w:val="00CF770B"/>
    <w:rsid w:val="00CF7731"/>
    <w:rsid w:val="00CF7861"/>
    <w:rsid w:val="00CF7927"/>
    <w:rsid w:val="00CF7999"/>
    <w:rsid w:val="00CF7CB3"/>
    <w:rsid w:val="00CF7D72"/>
    <w:rsid w:val="00D0011C"/>
    <w:rsid w:val="00D00143"/>
    <w:rsid w:val="00D001F9"/>
    <w:rsid w:val="00D003EA"/>
    <w:rsid w:val="00D0051B"/>
    <w:rsid w:val="00D00613"/>
    <w:rsid w:val="00D0066B"/>
    <w:rsid w:val="00D007F3"/>
    <w:rsid w:val="00D00A00"/>
    <w:rsid w:val="00D00A26"/>
    <w:rsid w:val="00D00A66"/>
    <w:rsid w:val="00D00DB2"/>
    <w:rsid w:val="00D00FCB"/>
    <w:rsid w:val="00D01224"/>
    <w:rsid w:val="00D0143C"/>
    <w:rsid w:val="00D014B1"/>
    <w:rsid w:val="00D0152A"/>
    <w:rsid w:val="00D01610"/>
    <w:rsid w:val="00D01A6C"/>
    <w:rsid w:val="00D01B13"/>
    <w:rsid w:val="00D02103"/>
    <w:rsid w:val="00D0225C"/>
    <w:rsid w:val="00D025FF"/>
    <w:rsid w:val="00D02712"/>
    <w:rsid w:val="00D028A7"/>
    <w:rsid w:val="00D028E7"/>
    <w:rsid w:val="00D02988"/>
    <w:rsid w:val="00D0298C"/>
    <w:rsid w:val="00D029AA"/>
    <w:rsid w:val="00D02A02"/>
    <w:rsid w:val="00D02A26"/>
    <w:rsid w:val="00D02AEB"/>
    <w:rsid w:val="00D02D3E"/>
    <w:rsid w:val="00D02D5C"/>
    <w:rsid w:val="00D02DFC"/>
    <w:rsid w:val="00D02EC1"/>
    <w:rsid w:val="00D02EEF"/>
    <w:rsid w:val="00D02F5E"/>
    <w:rsid w:val="00D0317E"/>
    <w:rsid w:val="00D03878"/>
    <w:rsid w:val="00D03999"/>
    <w:rsid w:val="00D0399C"/>
    <w:rsid w:val="00D03F52"/>
    <w:rsid w:val="00D042D4"/>
    <w:rsid w:val="00D04450"/>
    <w:rsid w:val="00D044D4"/>
    <w:rsid w:val="00D046B9"/>
    <w:rsid w:val="00D04763"/>
    <w:rsid w:val="00D04824"/>
    <w:rsid w:val="00D04989"/>
    <w:rsid w:val="00D049CD"/>
    <w:rsid w:val="00D04C5B"/>
    <w:rsid w:val="00D04CB7"/>
    <w:rsid w:val="00D04CEB"/>
    <w:rsid w:val="00D04E95"/>
    <w:rsid w:val="00D04FCF"/>
    <w:rsid w:val="00D051FD"/>
    <w:rsid w:val="00D05572"/>
    <w:rsid w:val="00D055CE"/>
    <w:rsid w:val="00D05988"/>
    <w:rsid w:val="00D0598F"/>
    <w:rsid w:val="00D059EA"/>
    <w:rsid w:val="00D05A7E"/>
    <w:rsid w:val="00D05BF0"/>
    <w:rsid w:val="00D05D18"/>
    <w:rsid w:val="00D05EDB"/>
    <w:rsid w:val="00D06105"/>
    <w:rsid w:val="00D06162"/>
    <w:rsid w:val="00D063F6"/>
    <w:rsid w:val="00D066A9"/>
    <w:rsid w:val="00D066FF"/>
    <w:rsid w:val="00D06803"/>
    <w:rsid w:val="00D06894"/>
    <w:rsid w:val="00D06921"/>
    <w:rsid w:val="00D06B1B"/>
    <w:rsid w:val="00D06BFE"/>
    <w:rsid w:val="00D06D3E"/>
    <w:rsid w:val="00D06D55"/>
    <w:rsid w:val="00D06E8B"/>
    <w:rsid w:val="00D070F3"/>
    <w:rsid w:val="00D07183"/>
    <w:rsid w:val="00D0718A"/>
    <w:rsid w:val="00D0720E"/>
    <w:rsid w:val="00D07834"/>
    <w:rsid w:val="00D07868"/>
    <w:rsid w:val="00D07B55"/>
    <w:rsid w:val="00D07CB3"/>
    <w:rsid w:val="00D07E06"/>
    <w:rsid w:val="00D07F84"/>
    <w:rsid w:val="00D10142"/>
    <w:rsid w:val="00D1038A"/>
    <w:rsid w:val="00D1063D"/>
    <w:rsid w:val="00D10B3D"/>
    <w:rsid w:val="00D10BC5"/>
    <w:rsid w:val="00D10BFE"/>
    <w:rsid w:val="00D11194"/>
    <w:rsid w:val="00D112EA"/>
    <w:rsid w:val="00D11402"/>
    <w:rsid w:val="00D1140D"/>
    <w:rsid w:val="00D11552"/>
    <w:rsid w:val="00D11BC2"/>
    <w:rsid w:val="00D11CE3"/>
    <w:rsid w:val="00D11D0C"/>
    <w:rsid w:val="00D11DA5"/>
    <w:rsid w:val="00D11FA2"/>
    <w:rsid w:val="00D11FFB"/>
    <w:rsid w:val="00D1205D"/>
    <w:rsid w:val="00D12095"/>
    <w:rsid w:val="00D12098"/>
    <w:rsid w:val="00D12114"/>
    <w:rsid w:val="00D121BF"/>
    <w:rsid w:val="00D12479"/>
    <w:rsid w:val="00D12561"/>
    <w:rsid w:val="00D12624"/>
    <w:rsid w:val="00D12631"/>
    <w:rsid w:val="00D128B6"/>
    <w:rsid w:val="00D12B23"/>
    <w:rsid w:val="00D12CC0"/>
    <w:rsid w:val="00D13187"/>
    <w:rsid w:val="00D1385A"/>
    <w:rsid w:val="00D1397F"/>
    <w:rsid w:val="00D13C16"/>
    <w:rsid w:val="00D13E40"/>
    <w:rsid w:val="00D13F34"/>
    <w:rsid w:val="00D141CD"/>
    <w:rsid w:val="00D1421E"/>
    <w:rsid w:val="00D1431D"/>
    <w:rsid w:val="00D1432B"/>
    <w:rsid w:val="00D1453E"/>
    <w:rsid w:val="00D14579"/>
    <w:rsid w:val="00D14697"/>
    <w:rsid w:val="00D147BA"/>
    <w:rsid w:val="00D14D1A"/>
    <w:rsid w:val="00D14D4E"/>
    <w:rsid w:val="00D14DB8"/>
    <w:rsid w:val="00D14DBC"/>
    <w:rsid w:val="00D14DE2"/>
    <w:rsid w:val="00D1514C"/>
    <w:rsid w:val="00D152F6"/>
    <w:rsid w:val="00D154DB"/>
    <w:rsid w:val="00D156B6"/>
    <w:rsid w:val="00D1585F"/>
    <w:rsid w:val="00D159E3"/>
    <w:rsid w:val="00D15BC4"/>
    <w:rsid w:val="00D15E7A"/>
    <w:rsid w:val="00D15EBE"/>
    <w:rsid w:val="00D15ECF"/>
    <w:rsid w:val="00D16242"/>
    <w:rsid w:val="00D1646F"/>
    <w:rsid w:val="00D164F6"/>
    <w:rsid w:val="00D165DE"/>
    <w:rsid w:val="00D16694"/>
    <w:rsid w:val="00D16811"/>
    <w:rsid w:val="00D16998"/>
    <w:rsid w:val="00D16E1C"/>
    <w:rsid w:val="00D17426"/>
    <w:rsid w:val="00D17658"/>
    <w:rsid w:val="00D1794A"/>
    <w:rsid w:val="00D17A0F"/>
    <w:rsid w:val="00D17BC0"/>
    <w:rsid w:val="00D17CE1"/>
    <w:rsid w:val="00D17D1E"/>
    <w:rsid w:val="00D17F28"/>
    <w:rsid w:val="00D203C2"/>
    <w:rsid w:val="00D20703"/>
    <w:rsid w:val="00D207A2"/>
    <w:rsid w:val="00D208E5"/>
    <w:rsid w:val="00D20AF3"/>
    <w:rsid w:val="00D20FC7"/>
    <w:rsid w:val="00D210FB"/>
    <w:rsid w:val="00D21350"/>
    <w:rsid w:val="00D21581"/>
    <w:rsid w:val="00D21667"/>
    <w:rsid w:val="00D21800"/>
    <w:rsid w:val="00D218B7"/>
    <w:rsid w:val="00D21B70"/>
    <w:rsid w:val="00D21E3F"/>
    <w:rsid w:val="00D21F23"/>
    <w:rsid w:val="00D21F42"/>
    <w:rsid w:val="00D2208C"/>
    <w:rsid w:val="00D22477"/>
    <w:rsid w:val="00D225D4"/>
    <w:rsid w:val="00D2260C"/>
    <w:rsid w:val="00D22750"/>
    <w:rsid w:val="00D2288B"/>
    <w:rsid w:val="00D2289B"/>
    <w:rsid w:val="00D228BC"/>
    <w:rsid w:val="00D22A46"/>
    <w:rsid w:val="00D22AAF"/>
    <w:rsid w:val="00D22B69"/>
    <w:rsid w:val="00D22BFD"/>
    <w:rsid w:val="00D22F69"/>
    <w:rsid w:val="00D23349"/>
    <w:rsid w:val="00D23586"/>
    <w:rsid w:val="00D236F4"/>
    <w:rsid w:val="00D2370B"/>
    <w:rsid w:val="00D2378C"/>
    <w:rsid w:val="00D2389A"/>
    <w:rsid w:val="00D23FC5"/>
    <w:rsid w:val="00D240E1"/>
    <w:rsid w:val="00D240E9"/>
    <w:rsid w:val="00D241E5"/>
    <w:rsid w:val="00D242BB"/>
    <w:rsid w:val="00D2438F"/>
    <w:rsid w:val="00D2446A"/>
    <w:rsid w:val="00D246ED"/>
    <w:rsid w:val="00D24B42"/>
    <w:rsid w:val="00D24F15"/>
    <w:rsid w:val="00D24F1B"/>
    <w:rsid w:val="00D25093"/>
    <w:rsid w:val="00D25150"/>
    <w:rsid w:val="00D253C9"/>
    <w:rsid w:val="00D257CE"/>
    <w:rsid w:val="00D25CDF"/>
    <w:rsid w:val="00D25F13"/>
    <w:rsid w:val="00D26060"/>
    <w:rsid w:val="00D2618A"/>
    <w:rsid w:val="00D261B1"/>
    <w:rsid w:val="00D261F4"/>
    <w:rsid w:val="00D26332"/>
    <w:rsid w:val="00D2646C"/>
    <w:rsid w:val="00D26642"/>
    <w:rsid w:val="00D26643"/>
    <w:rsid w:val="00D26666"/>
    <w:rsid w:val="00D26803"/>
    <w:rsid w:val="00D26851"/>
    <w:rsid w:val="00D269CA"/>
    <w:rsid w:val="00D26CB3"/>
    <w:rsid w:val="00D26D6E"/>
    <w:rsid w:val="00D2726E"/>
    <w:rsid w:val="00D27720"/>
    <w:rsid w:val="00D277B5"/>
    <w:rsid w:val="00D2781E"/>
    <w:rsid w:val="00D27AC4"/>
    <w:rsid w:val="00D27BC4"/>
    <w:rsid w:val="00D27C30"/>
    <w:rsid w:val="00D27E3D"/>
    <w:rsid w:val="00D27E93"/>
    <w:rsid w:val="00D27EA4"/>
    <w:rsid w:val="00D27FC6"/>
    <w:rsid w:val="00D307F2"/>
    <w:rsid w:val="00D30959"/>
    <w:rsid w:val="00D30DDE"/>
    <w:rsid w:val="00D311E7"/>
    <w:rsid w:val="00D31368"/>
    <w:rsid w:val="00D316E3"/>
    <w:rsid w:val="00D316E8"/>
    <w:rsid w:val="00D318F2"/>
    <w:rsid w:val="00D3192B"/>
    <w:rsid w:val="00D3198E"/>
    <w:rsid w:val="00D31C7C"/>
    <w:rsid w:val="00D31DEA"/>
    <w:rsid w:val="00D31E1F"/>
    <w:rsid w:val="00D31F42"/>
    <w:rsid w:val="00D3201B"/>
    <w:rsid w:val="00D3203D"/>
    <w:rsid w:val="00D32126"/>
    <w:rsid w:val="00D321AC"/>
    <w:rsid w:val="00D321E6"/>
    <w:rsid w:val="00D3248A"/>
    <w:rsid w:val="00D325AF"/>
    <w:rsid w:val="00D3287A"/>
    <w:rsid w:val="00D328E6"/>
    <w:rsid w:val="00D3293E"/>
    <w:rsid w:val="00D32D1A"/>
    <w:rsid w:val="00D32E26"/>
    <w:rsid w:val="00D32F82"/>
    <w:rsid w:val="00D3345D"/>
    <w:rsid w:val="00D335C7"/>
    <w:rsid w:val="00D33739"/>
    <w:rsid w:val="00D337A7"/>
    <w:rsid w:val="00D3383F"/>
    <w:rsid w:val="00D33959"/>
    <w:rsid w:val="00D33ADE"/>
    <w:rsid w:val="00D33E9B"/>
    <w:rsid w:val="00D33F35"/>
    <w:rsid w:val="00D340BB"/>
    <w:rsid w:val="00D34195"/>
    <w:rsid w:val="00D3422C"/>
    <w:rsid w:val="00D3467C"/>
    <w:rsid w:val="00D34753"/>
    <w:rsid w:val="00D347B9"/>
    <w:rsid w:val="00D34841"/>
    <w:rsid w:val="00D34851"/>
    <w:rsid w:val="00D349C8"/>
    <w:rsid w:val="00D34A1D"/>
    <w:rsid w:val="00D34C16"/>
    <w:rsid w:val="00D34C5A"/>
    <w:rsid w:val="00D34D73"/>
    <w:rsid w:val="00D34D85"/>
    <w:rsid w:val="00D34E40"/>
    <w:rsid w:val="00D34EF9"/>
    <w:rsid w:val="00D35091"/>
    <w:rsid w:val="00D35108"/>
    <w:rsid w:val="00D3553D"/>
    <w:rsid w:val="00D3555C"/>
    <w:rsid w:val="00D358AE"/>
    <w:rsid w:val="00D35C23"/>
    <w:rsid w:val="00D35FE3"/>
    <w:rsid w:val="00D3604B"/>
    <w:rsid w:val="00D36076"/>
    <w:rsid w:val="00D360AB"/>
    <w:rsid w:val="00D360CA"/>
    <w:rsid w:val="00D36433"/>
    <w:rsid w:val="00D364FF"/>
    <w:rsid w:val="00D36516"/>
    <w:rsid w:val="00D36590"/>
    <w:rsid w:val="00D36732"/>
    <w:rsid w:val="00D36785"/>
    <w:rsid w:val="00D36F7D"/>
    <w:rsid w:val="00D3711E"/>
    <w:rsid w:val="00D371A1"/>
    <w:rsid w:val="00D372FD"/>
    <w:rsid w:val="00D3746A"/>
    <w:rsid w:val="00D375C0"/>
    <w:rsid w:val="00D3776B"/>
    <w:rsid w:val="00D377C7"/>
    <w:rsid w:val="00D37C06"/>
    <w:rsid w:val="00D37CCD"/>
    <w:rsid w:val="00D37DBB"/>
    <w:rsid w:val="00D401D2"/>
    <w:rsid w:val="00D4027D"/>
    <w:rsid w:val="00D405D6"/>
    <w:rsid w:val="00D4084A"/>
    <w:rsid w:val="00D4096D"/>
    <w:rsid w:val="00D40A6B"/>
    <w:rsid w:val="00D40BB5"/>
    <w:rsid w:val="00D40F30"/>
    <w:rsid w:val="00D40FEA"/>
    <w:rsid w:val="00D41167"/>
    <w:rsid w:val="00D411E6"/>
    <w:rsid w:val="00D4129A"/>
    <w:rsid w:val="00D4162C"/>
    <w:rsid w:val="00D4170F"/>
    <w:rsid w:val="00D418E7"/>
    <w:rsid w:val="00D41915"/>
    <w:rsid w:val="00D41A11"/>
    <w:rsid w:val="00D41D1E"/>
    <w:rsid w:val="00D41D6F"/>
    <w:rsid w:val="00D41DDE"/>
    <w:rsid w:val="00D41EAF"/>
    <w:rsid w:val="00D421FC"/>
    <w:rsid w:val="00D42208"/>
    <w:rsid w:val="00D42815"/>
    <w:rsid w:val="00D428AA"/>
    <w:rsid w:val="00D42B97"/>
    <w:rsid w:val="00D42BF5"/>
    <w:rsid w:val="00D42CA7"/>
    <w:rsid w:val="00D42D09"/>
    <w:rsid w:val="00D42D6D"/>
    <w:rsid w:val="00D42DAF"/>
    <w:rsid w:val="00D42E3B"/>
    <w:rsid w:val="00D42F4D"/>
    <w:rsid w:val="00D433E5"/>
    <w:rsid w:val="00D4360C"/>
    <w:rsid w:val="00D43962"/>
    <w:rsid w:val="00D43A86"/>
    <w:rsid w:val="00D4410E"/>
    <w:rsid w:val="00D442AF"/>
    <w:rsid w:val="00D443DF"/>
    <w:rsid w:val="00D4466E"/>
    <w:rsid w:val="00D44802"/>
    <w:rsid w:val="00D44B3E"/>
    <w:rsid w:val="00D44C60"/>
    <w:rsid w:val="00D44DB2"/>
    <w:rsid w:val="00D44E53"/>
    <w:rsid w:val="00D45074"/>
    <w:rsid w:val="00D45146"/>
    <w:rsid w:val="00D4521C"/>
    <w:rsid w:val="00D4535F"/>
    <w:rsid w:val="00D4545C"/>
    <w:rsid w:val="00D454A1"/>
    <w:rsid w:val="00D45584"/>
    <w:rsid w:val="00D45601"/>
    <w:rsid w:val="00D45650"/>
    <w:rsid w:val="00D456EE"/>
    <w:rsid w:val="00D458FE"/>
    <w:rsid w:val="00D45A95"/>
    <w:rsid w:val="00D45AF4"/>
    <w:rsid w:val="00D45B78"/>
    <w:rsid w:val="00D45F9C"/>
    <w:rsid w:val="00D46032"/>
    <w:rsid w:val="00D462D9"/>
    <w:rsid w:val="00D4671D"/>
    <w:rsid w:val="00D4673F"/>
    <w:rsid w:val="00D46851"/>
    <w:rsid w:val="00D468E0"/>
    <w:rsid w:val="00D46EEE"/>
    <w:rsid w:val="00D46F85"/>
    <w:rsid w:val="00D46F90"/>
    <w:rsid w:val="00D47108"/>
    <w:rsid w:val="00D47148"/>
    <w:rsid w:val="00D47449"/>
    <w:rsid w:val="00D47458"/>
    <w:rsid w:val="00D477D7"/>
    <w:rsid w:val="00D47825"/>
    <w:rsid w:val="00D4785F"/>
    <w:rsid w:val="00D479B9"/>
    <w:rsid w:val="00D47C87"/>
    <w:rsid w:val="00D47CC9"/>
    <w:rsid w:val="00D47CD4"/>
    <w:rsid w:val="00D47D6A"/>
    <w:rsid w:val="00D47DF4"/>
    <w:rsid w:val="00D47F94"/>
    <w:rsid w:val="00D50318"/>
    <w:rsid w:val="00D504C7"/>
    <w:rsid w:val="00D505A1"/>
    <w:rsid w:val="00D505EC"/>
    <w:rsid w:val="00D506F3"/>
    <w:rsid w:val="00D507E1"/>
    <w:rsid w:val="00D50874"/>
    <w:rsid w:val="00D50B12"/>
    <w:rsid w:val="00D50E49"/>
    <w:rsid w:val="00D51096"/>
    <w:rsid w:val="00D51255"/>
    <w:rsid w:val="00D51624"/>
    <w:rsid w:val="00D51830"/>
    <w:rsid w:val="00D51973"/>
    <w:rsid w:val="00D51A01"/>
    <w:rsid w:val="00D51C29"/>
    <w:rsid w:val="00D51FC4"/>
    <w:rsid w:val="00D52017"/>
    <w:rsid w:val="00D5206F"/>
    <w:rsid w:val="00D5217C"/>
    <w:rsid w:val="00D521AC"/>
    <w:rsid w:val="00D521EF"/>
    <w:rsid w:val="00D525CA"/>
    <w:rsid w:val="00D52625"/>
    <w:rsid w:val="00D527A7"/>
    <w:rsid w:val="00D52A11"/>
    <w:rsid w:val="00D52A1C"/>
    <w:rsid w:val="00D52ABF"/>
    <w:rsid w:val="00D52CCB"/>
    <w:rsid w:val="00D52D26"/>
    <w:rsid w:val="00D530C7"/>
    <w:rsid w:val="00D53146"/>
    <w:rsid w:val="00D5314E"/>
    <w:rsid w:val="00D53312"/>
    <w:rsid w:val="00D53352"/>
    <w:rsid w:val="00D53395"/>
    <w:rsid w:val="00D53474"/>
    <w:rsid w:val="00D5396C"/>
    <w:rsid w:val="00D539A5"/>
    <w:rsid w:val="00D539F0"/>
    <w:rsid w:val="00D53C01"/>
    <w:rsid w:val="00D53F81"/>
    <w:rsid w:val="00D5409B"/>
    <w:rsid w:val="00D541F4"/>
    <w:rsid w:val="00D54212"/>
    <w:rsid w:val="00D54315"/>
    <w:rsid w:val="00D54686"/>
    <w:rsid w:val="00D5475D"/>
    <w:rsid w:val="00D547E2"/>
    <w:rsid w:val="00D54AA9"/>
    <w:rsid w:val="00D54B11"/>
    <w:rsid w:val="00D5533D"/>
    <w:rsid w:val="00D557F1"/>
    <w:rsid w:val="00D557FD"/>
    <w:rsid w:val="00D55936"/>
    <w:rsid w:val="00D559B0"/>
    <w:rsid w:val="00D55AE1"/>
    <w:rsid w:val="00D55AED"/>
    <w:rsid w:val="00D55B1A"/>
    <w:rsid w:val="00D55BB4"/>
    <w:rsid w:val="00D55BBD"/>
    <w:rsid w:val="00D55E85"/>
    <w:rsid w:val="00D55FEA"/>
    <w:rsid w:val="00D564C5"/>
    <w:rsid w:val="00D56A08"/>
    <w:rsid w:val="00D56A7A"/>
    <w:rsid w:val="00D56AD3"/>
    <w:rsid w:val="00D56CEF"/>
    <w:rsid w:val="00D57056"/>
    <w:rsid w:val="00D570D8"/>
    <w:rsid w:val="00D57167"/>
    <w:rsid w:val="00D571F5"/>
    <w:rsid w:val="00D572D7"/>
    <w:rsid w:val="00D5731E"/>
    <w:rsid w:val="00D573C2"/>
    <w:rsid w:val="00D57632"/>
    <w:rsid w:val="00D5773D"/>
    <w:rsid w:val="00D5775C"/>
    <w:rsid w:val="00D57778"/>
    <w:rsid w:val="00D579FA"/>
    <w:rsid w:val="00D57ADD"/>
    <w:rsid w:val="00D57BA0"/>
    <w:rsid w:val="00D601E6"/>
    <w:rsid w:val="00D602C4"/>
    <w:rsid w:val="00D607E9"/>
    <w:rsid w:val="00D6099C"/>
    <w:rsid w:val="00D609C4"/>
    <w:rsid w:val="00D60B24"/>
    <w:rsid w:val="00D60B3B"/>
    <w:rsid w:val="00D60C6A"/>
    <w:rsid w:val="00D60DC2"/>
    <w:rsid w:val="00D60F5C"/>
    <w:rsid w:val="00D611BA"/>
    <w:rsid w:val="00D611DF"/>
    <w:rsid w:val="00D618FA"/>
    <w:rsid w:val="00D619BF"/>
    <w:rsid w:val="00D61A96"/>
    <w:rsid w:val="00D61B63"/>
    <w:rsid w:val="00D61C28"/>
    <w:rsid w:val="00D61C59"/>
    <w:rsid w:val="00D61CFF"/>
    <w:rsid w:val="00D61DB2"/>
    <w:rsid w:val="00D61DD2"/>
    <w:rsid w:val="00D62107"/>
    <w:rsid w:val="00D6253A"/>
    <w:rsid w:val="00D626D1"/>
    <w:rsid w:val="00D628D8"/>
    <w:rsid w:val="00D62DB4"/>
    <w:rsid w:val="00D62EA4"/>
    <w:rsid w:val="00D62F69"/>
    <w:rsid w:val="00D62F80"/>
    <w:rsid w:val="00D630ED"/>
    <w:rsid w:val="00D630FD"/>
    <w:rsid w:val="00D6338F"/>
    <w:rsid w:val="00D6343C"/>
    <w:rsid w:val="00D634C5"/>
    <w:rsid w:val="00D63685"/>
    <w:rsid w:val="00D63813"/>
    <w:rsid w:val="00D63A09"/>
    <w:rsid w:val="00D63DBC"/>
    <w:rsid w:val="00D63E01"/>
    <w:rsid w:val="00D63EDF"/>
    <w:rsid w:val="00D63EE6"/>
    <w:rsid w:val="00D6406D"/>
    <w:rsid w:val="00D645E5"/>
    <w:rsid w:val="00D64897"/>
    <w:rsid w:val="00D648E1"/>
    <w:rsid w:val="00D649E1"/>
    <w:rsid w:val="00D64DEB"/>
    <w:rsid w:val="00D64E38"/>
    <w:rsid w:val="00D65112"/>
    <w:rsid w:val="00D65116"/>
    <w:rsid w:val="00D654A0"/>
    <w:rsid w:val="00D65899"/>
    <w:rsid w:val="00D65AAB"/>
    <w:rsid w:val="00D65E4F"/>
    <w:rsid w:val="00D65E7E"/>
    <w:rsid w:val="00D65F06"/>
    <w:rsid w:val="00D65FD1"/>
    <w:rsid w:val="00D66308"/>
    <w:rsid w:val="00D66699"/>
    <w:rsid w:val="00D666F4"/>
    <w:rsid w:val="00D666FD"/>
    <w:rsid w:val="00D66743"/>
    <w:rsid w:val="00D66918"/>
    <w:rsid w:val="00D66ADF"/>
    <w:rsid w:val="00D66FD8"/>
    <w:rsid w:val="00D670EC"/>
    <w:rsid w:val="00D67148"/>
    <w:rsid w:val="00D6723E"/>
    <w:rsid w:val="00D67281"/>
    <w:rsid w:val="00D672B4"/>
    <w:rsid w:val="00D672D7"/>
    <w:rsid w:val="00D67391"/>
    <w:rsid w:val="00D67397"/>
    <w:rsid w:val="00D6754F"/>
    <w:rsid w:val="00D67947"/>
    <w:rsid w:val="00D67A7F"/>
    <w:rsid w:val="00D67D10"/>
    <w:rsid w:val="00D70103"/>
    <w:rsid w:val="00D70188"/>
    <w:rsid w:val="00D7025C"/>
    <w:rsid w:val="00D7039C"/>
    <w:rsid w:val="00D70535"/>
    <w:rsid w:val="00D70A85"/>
    <w:rsid w:val="00D70B73"/>
    <w:rsid w:val="00D70DC7"/>
    <w:rsid w:val="00D70F3A"/>
    <w:rsid w:val="00D71159"/>
    <w:rsid w:val="00D71181"/>
    <w:rsid w:val="00D7123B"/>
    <w:rsid w:val="00D712A4"/>
    <w:rsid w:val="00D713CC"/>
    <w:rsid w:val="00D71406"/>
    <w:rsid w:val="00D7157A"/>
    <w:rsid w:val="00D7162C"/>
    <w:rsid w:val="00D71677"/>
    <w:rsid w:val="00D7169A"/>
    <w:rsid w:val="00D71825"/>
    <w:rsid w:val="00D71977"/>
    <w:rsid w:val="00D719F9"/>
    <w:rsid w:val="00D71AEB"/>
    <w:rsid w:val="00D71AED"/>
    <w:rsid w:val="00D71C69"/>
    <w:rsid w:val="00D71DEF"/>
    <w:rsid w:val="00D71E65"/>
    <w:rsid w:val="00D722BF"/>
    <w:rsid w:val="00D722E1"/>
    <w:rsid w:val="00D72350"/>
    <w:rsid w:val="00D725A3"/>
    <w:rsid w:val="00D726E0"/>
    <w:rsid w:val="00D727B8"/>
    <w:rsid w:val="00D72FC1"/>
    <w:rsid w:val="00D7342C"/>
    <w:rsid w:val="00D73725"/>
    <w:rsid w:val="00D7387F"/>
    <w:rsid w:val="00D7399C"/>
    <w:rsid w:val="00D73E10"/>
    <w:rsid w:val="00D73E8A"/>
    <w:rsid w:val="00D74093"/>
    <w:rsid w:val="00D740EC"/>
    <w:rsid w:val="00D74288"/>
    <w:rsid w:val="00D7441D"/>
    <w:rsid w:val="00D74687"/>
    <w:rsid w:val="00D7476A"/>
    <w:rsid w:val="00D74AC3"/>
    <w:rsid w:val="00D74CBE"/>
    <w:rsid w:val="00D74D31"/>
    <w:rsid w:val="00D74DA6"/>
    <w:rsid w:val="00D75324"/>
    <w:rsid w:val="00D7539A"/>
    <w:rsid w:val="00D75478"/>
    <w:rsid w:val="00D758BF"/>
    <w:rsid w:val="00D75A19"/>
    <w:rsid w:val="00D76069"/>
    <w:rsid w:val="00D76116"/>
    <w:rsid w:val="00D76197"/>
    <w:rsid w:val="00D76232"/>
    <w:rsid w:val="00D765D8"/>
    <w:rsid w:val="00D767E1"/>
    <w:rsid w:val="00D768FC"/>
    <w:rsid w:val="00D76A16"/>
    <w:rsid w:val="00D76B31"/>
    <w:rsid w:val="00D76CF5"/>
    <w:rsid w:val="00D76D2E"/>
    <w:rsid w:val="00D76E81"/>
    <w:rsid w:val="00D7710F"/>
    <w:rsid w:val="00D772FA"/>
    <w:rsid w:val="00D77382"/>
    <w:rsid w:val="00D774E3"/>
    <w:rsid w:val="00D77574"/>
    <w:rsid w:val="00D7764E"/>
    <w:rsid w:val="00D77777"/>
    <w:rsid w:val="00D778C3"/>
    <w:rsid w:val="00D7797A"/>
    <w:rsid w:val="00D77B3C"/>
    <w:rsid w:val="00D77B6E"/>
    <w:rsid w:val="00D77CE4"/>
    <w:rsid w:val="00D77E7E"/>
    <w:rsid w:val="00D80053"/>
    <w:rsid w:val="00D80164"/>
    <w:rsid w:val="00D8035A"/>
    <w:rsid w:val="00D80607"/>
    <w:rsid w:val="00D809A0"/>
    <w:rsid w:val="00D80E34"/>
    <w:rsid w:val="00D80EB9"/>
    <w:rsid w:val="00D80F40"/>
    <w:rsid w:val="00D80FA5"/>
    <w:rsid w:val="00D80FC1"/>
    <w:rsid w:val="00D814EC"/>
    <w:rsid w:val="00D81678"/>
    <w:rsid w:val="00D818C0"/>
    <w:rsid w:val="00D8192E"/>
    <w:rsid w:val="00D81946"/>
    <w:rsid w:val="00D81BF0"/>
    <w:rsid w:val="00D81D91"/>
    <w:rsid w:val="00D81E72"/>
    <w:rsid w:val="00D81F3A"/>
    <w:rsid w:val="00D821F9"/>
    <w:rsid w:val="00D82235"/>
    <w:rsid w:val="00D823CE"/>
    <w:rsid w:val="00D824BD"/>
    <w:rsid w:val="00D8270D"/>
    <w:rsid w:val="00D829ED"/>
    <w:rsid w:val="00D82A80"/>
    <w:rsid w:val="00D82C48"/>
    <w:rsid w:val="00D82CC7"/>
    <w:rsid w:val="00D83296"/>
    <w:rsid w:val="00D836BD"/>
    <w:rsid w:val="00D8396B"/>
    <w:rsid w:val="00D839FC"/>
    <w:rsid w:val="00D83C12"/>
    <w:rsid w:val="00D83CCF"/>
    <w:rsid w:val="00D83D2F"/>
    <w:rsid w:val="00D83EE2"/>
    <w:rsid w:val="00D8402F"/>
    <w:rsid w:val="00D84442"/>
    <w:rsid w:val="00D84511"/>
    <w:rsid w:val="00D84632"/>
    <w:rsid w:val="00D84D4F"/>
    <w:rsid w:val="00D84DA2"/>
    <w:rsid w:val="00D84E83"/>
    <w:rsid w:val="00D85297"/>
    <w:rsid w:val="00D854C8"/>
    <w:rsid w:val="00D854D8"/>
    <w:rsid w:val="00D855E6"/>
    <w:rsid w:val="00D85627"/>
    <w:rsid w:val="00D85815"/>
    <w:rsid w:val="00D85A87"/>
    <w:rsid w:val="00D85CD1"/>
    <w:rsid w:val="00D85DF2"/>
    <w:rsid w:val="00D86015"/>
    <w:rsid w:val="00D86123"/>
    <w:rsid w:val="00D86172"/>
    <w:rsid w:val="00D861F1"/>
    <w:rsid w:val="00D864DF"/>
    <w:rsid w:val="00D865C3"/>
    <w:rsid w:val="00D868FE"/>
    <w:rsid w:val="00D869F5"/>
    <w:rsid w:val="00D86A3F"/>
    <w:rsid w:val="00D86D88"/>
    <w:rsid w:val="00D87269"/>
    <w:rsid w:val="00D873FE"/>
    <w:rsid w:val="00D87E57"/>
    <w:rsid w:val="00D87EE3"/>
    <w:rsid w:val="00D87FA6"/>
    <w:rsid w:val="00D90255"/>
    <w:rsid w:val="00D9035D"/>
    <w:rsid w:val="00D9037D"/>
    <w:rsid w:val="00D90412"/>
    <w:rsid w:val="00D9043B"/>
    <w:rsid w:val="00D906B4"/>
    <w:rsid w:val="00D906CB"/>
    <w:rsid w:val="00D9070B"/>
    <w:rsid w:val="00D909CC"/>
    <w:rsid w:val="00D90A24"/>
    <w:rsid w:val="00D90AB3"/>
    <w:rsid w:val="00D90C1B"/>
    <w:rsid w:val="00D90F28"/>
    <w:rsid w:val="00D9104C"/>
    <w:rsid w:val="00D91550"/>
    <w:rsid w:val="00D916E3"/>
    <w:rsid w:val="00D9179C"/>
    <w:rsid w:val="00D917B2"/>
    <w:rsid w:val="00D9192E"/>
    <w:rsid w:val="00D91A5A"/>
    <w:rsid w:val="00D91CDE"/>
    <w:rsid w:val="00D91F20"/>
    <w:rsid w:val="00D92170"/>
    <w:rsid w:val="00D922FC"/>
    <w:rsid w:val="00D923F1"/>
    <w:rsid w:val="00D924E8"/>
    <w:rsid w:val="00D9261A"/>
    <w:rsid w:val="00D92B35"/>
    <w:rsid w:val="00D92DE7"/>
    <w:rsid w:val="00D93027"/>
    <w:rsid w:val="00D93075"/>
    <w:rsid w:val="00D932EC"/>
    <w:rsid w:val="00D933D0"/>
    <w:rsid w:val="00D936FF"/>
    <w:rsid w:val="00D93745"/>
    <w:rsid w:val="00D9382F"/>
    <w:rsid w:val="00D938F8"/>
    <w:rsid w:val="00D93AAB"/>
    <w:rsid w:val="00D93AD3"/>
    <w:rsid w:val="00D93B22"/>
    <w:rsid w:val="00D93C30"/>
    <w:rsid w:val="00D93C42"/>
    <w:rsid w:val="00D93EA6"/>
    <w:rsid w:val="00D93EA7"/>
    <w:rsid w:val="00D940F8"/>
    <w:rsid w:val="00D94197"/>
    <w:rsid w:val="00D94228"/>
    <w:rsid w:val="00D9446E"/>
    <w:rsid w:val="00D947C3"/>
    <w:rsid w:val="00D948E8"/>
    <w:rsid w:val="00D94D01"/>
    <w:rsid w:val="00D94DDB"/>
    <w:rsid w:val="00D94E11"/>
    <w:rsid w:val="00D94F03"/>
    <w:rsid w:val="00D9516F"/>
    <w:rsid w:val="00D9549F"/>
    <w:rsid w:val="00D954E3"/>
    <w:rsid w:val="00D954E9"/>
    <w:rsid w:val="00D95589"/>
    <w:rsid w:val="00D9588F"/>
    <w:rsid w:val="00D958D2"/>
    <w:rsid w:val="00D95A2C"/>
    <w:rsid w:val="00D95B2A"/>
    <w:rsid w:val="00D95C47"/>
    <w:rsid w:val="00D95C85"/>
    <w:rsid w:val="00D95E76"/>
    <w:rsid w:val="00D95EC2"/>
    <w:rsid w:val="00D96099"/>
    <w:rsid w:val="00D9613A"/>
    <w:rsid w:val="00D96179"/>
    <w:rsid w:val="00D9628A"/>
    <w:rsid w:val="00D962DC"/>
    <w:rsid w:val="00D962E9"/>
    <w:rsid w:val="00D966EC"/>
    <w:rsid w:val="00D96727"/>
    <w:rsid w:val="00D96765"/>
    <w:rsid w:val="00D96AEB"/>
    <w:rsid w:val="00D96B06"/>
    <w:rsid w:val="00D96CC3"/>
    <w:rsid w:val="00D96DFC"/>
    <w:rsid w:val="00D97056"/>
    <w:rsid w:val="00D9716F"/>
    <w:rsid w:val="00D971BD"/>
    <w:rsid w:val="00D971EE"/>
    <w:rsid w:val="00D97454"/>
    <w:rsid w:val="00D976B1"/>
    <w:rsid w:val="00D976EC"/>
    <w:rsid w:val="00D97884"/>
    <w:rsid w:val="00D978F4"/>
    <w:rsid w:val="00D9790C"/>
    <w:rsid w:val="00D97AE9"/>
    <w:rsid w:val="00D97CEC"/>
    <w:rsid w:val="00D97D60"/>
    <w:rsid w:val="00D97E01"/>
    <w:rsid w:val="00D97EB0"/>
    <w:rsid w:val="00D97FD1"/>
    <w:rsid w:val="00DA0179"/>
    <w:rsid w:val="00DA0315"/>
    <w:rsid w:val="00DA0447"/>
    <w:rsid w:val="00DA0566"/>
    <w:rsid w:val="00DA0567"/>
    <w:rsid w:val="00DA0D1D"/>
    <w:rsid w:val="00DA10B8"/>
    <w:rsid w:val="00DA1160"/>
    <w:rsid w:val="00DA11AC"/>
    <w:rsid w:val="00DA12B9"/>
    <w:rsid w:val="00DA12CD"/>
    <w:rsid w:val="00DA146E"/>
    <w:rsid w:val="00DA148D"/>
    <w:rsid w:val="00DA14A3"/>
    <w:rsid w:val="00DA174F"/>
    <w:rsid w:val="00DA184F"/>
    <w:rsid w:val="00DA1A9B"/>
    <w:rsid w:val="00DA1C62"/>
    <w:rsid w:val="00DA1D99"/>
    <w:rsid w:val="00DA1E56"/>
    <w:rsid w:val="00DA1F4F"/>
    <w:rsid w:val="00DA20E2"/>
    <w:rsid w:val="00DA20F8"/>
    <w:rsid w:val="00DA220F"/>
    <w:rsid w:val="00DA28A6"/>
    <w:rsid w:val="00DA2C03"/>
    <w:rsid w:val="00DA2D7E"/>
    <w:rsid w:val="00DA2DBB"/>
    <w:rsid w:val="00DA2DCD"/>
    <w:rsid w:val="00DA3233"/>
    <w:rsid w:val="00DA3566"/>
    <w:rsid w:val="00DA3A91"/>
    <w:rsid w:val="00DA3C5E"/>
    <w:rsid w:val="00DA3E69"/>
    <w:rsid w:val="00DA43A9"/>
    <w:rsid w:val="00DA4642"/>
    <w:rsid w:val="00DA4764"/>
    <w:rsid w:val="00DA482A"/>
    <w:rsid w:val="00DA4A21"/>
    <w:rsid w:val="00DA4B3F"/>
    <w:rsid w:val="00DA4BE2"/>
    <w:rsid w:val="00DA4C05"/>
    <w:rsid w:val="00DA4C94"/>
    <w:rsid w:val="00DA4E4B"/>
    <w:rsid w:val="00DA4F1A"/>
    <w:rsid w:val="00DA50FC"/>
    <w:rsid w:val="00DA55E7"/>
    <w:rsid w:val="00DA5797"/>
    <w:rsid w:val="00DA587B"/>
    <w:rsid w:val="00DA5A42"/>
    <w:rsid w:val="00DA5A88"/>
    <w:rsid w:val="00DA5A89"/>
    <w:rsid w:val="00DA5ADE"/>
    <w:rsid w:val="00DA5B2A"/>
    <w:rsid w:val="00DA5BBD"/>
    <w:rsid w:val="00DA5CC8"/>
    <w:rsid w:val="00DA5DED"/>
    <w:rsid w:val="00DA5E4D"/>
    <w:rsid w:val="00DA620C"/>
    <w:rsid w:val="00DA621D"/>
    <w:rsid w:val="00DA631B"/>
    <w:rsid w:val="00DA63B1"/>
    <w:rsid w:val="00DA6429"/>
    <w:rsid w:val="00DA672E"/>
    <w:rsid w:val="00DA674A"/>
    <w:rsid w:val="00DA68C9"/>
    <w:rsid w:val="00DA6B11"/>
    <w:rsid w:val="00DA6C99"/>
    <w:rsid w:val="00DA6D35"/>
    <w:rsid w:val="00DA6EC2"/>
    <w:rsid w:val="00DA73E3"/>
    <w:rsid w:val="00DA7749"/>
    <w:rsid w:val="00DA7870"/>
    <w:rsid w:val="00DA7889"/>
    <w:rsid w:val="00DA7B04"/>
    <w:rsid w:val="00DA7E53"/>
    <w:rsid w:val="00DA7F27"/>
    <w:rsid w:val="00DA7F41"/>
    <w:rsid w:val="00DA7FAE"/>
    <w:rsid w:val="00DB0279"/>
    <w:rsid w:val="00DB04EE"/>
    <w:rsid w:val="00DB0623"/>
    <w:rsid w:val="00DB0629"/>
    <w:rsid w:val="00DB0712"/>
    <w:rsid w:val="00DB079D"/>
    <w:rsid w:val="00DB07CB"/>
    <w:rsid w:val="00DB097F"/>
    <w:rsid w:val="00DB0ACA"/>
    <w:rsid w:val="00DB0B18"/>
    <w:rsid w:val="00DB0CC1"/>
    <w:rsid w:val="00DB0DA8"/>
    <w:rsid w:val="00DB0E6C"/>
    <w:rsid w:val="00DB0FA7"/>
    <w:rsid w:val="00DB10B4"/>
    <w:rsid w:val="00DB10C3"/>
    <w:rsid w:val="00DB132E"/>
    <w:rsid w:val="00DB149C"/>
    <w:rsid w:val="00DB14FC"/>
    <w:rsid w:val="00DB1807"/>
    <w:rsid w:val="00DB19AA"/>
    <w:rsid w:val="00DB1F19"/>
    <w:rsid w:val="00DB1FBE"/>
    <w:rsid w:val="00DB2000"/>
    <w:rsid w:val="00DB22BE"/>
    <w:rsid w:val="00DB23D8"/>
    <w:rsid w:val="00DB2531"/>
    <w:rsid w:val="00DB2AE8"/>
    <w:rsid w:val="00DB2D88"/>
    <w:rsid w:val="00DB2F12"/>
    <w:rsid w:val="00DB3561"/>
    <w:rsid w:val="00DB36B6"/>
    <w:rsid w:val="00DB3A4F"/>
    <w:rsid w:val="00DB3B48"/>
    <w:rsid w:val="00DB3BF0"/>
    <w:rsid w:val="00DB3BFB"/>
    <w:rsid w:val="00DB3CDD"/>
    <w:rsid w:val="00DB3D6C"/>
    <w:rsid w:val="00DB3D91"/>
    <w:rsid w:val="00DB43E7"/>
    <w:rsid w:val="00DB4660"/>
    <w:rsid w:val="00DB4881"/>
    <w:rsid w:val="00DB4B64"/>
    <w:rsid w:val="00DB4D8E"/>
    <w:rsid w:val="00DB52FE"/>
    <w:rsid w:val="00DB54DE"/>
    <w:rsid w:val="00DB5710"/>
    <w:rsid w:val="00DB57A0"/>
    <w:rsid w:val="00DB5A29"/>
    <w:rsid w:val="00DB5AA1"/>
    <w:rsid w:val="00DB5B59"/>
    <w:rsid w:val="00DB5C97"/>
    <w:rsid w:val="00DB5CE5"/>
    <w:rsid w:val="00DB5D72"/>
    <w:rsid w:val="00DB615D"/>
    <w:rsid w:val="00DB638F"/>
    <w:rsid w:val="00DB6560"/>
    <w:rsid w:val="00DB656B"/>
    <w:rsid w:val="00DB6C17"/>
    <w:rsid w:val="00DB6D6D"/>
    <w:rsid w:val="00DB7267"/>
    <w:rsid w:val="00DB74EF"/>
    <w:rsid w:val="00DB75C3"/>
    <w:rsid w:val="00DB75FD"/>
    <w:rsid w:val="00DB78B8"/>
    <w:rsid w:val="00DB7ABF"/>
    <w:rsid w:val="00DB7EF8"/>
    <w:rsid w:val="00DB7FCC"/>
    <w:rsid w:val="00DC0099"/>
    <w:rsid w:val="00DC01CD"/>
    <w:rsid w:val="00DC02C0"/>
    <w:rsid w:val="00DC02C6"/>
    <w:rsid w:val="00DC02E8"/>
    <w:rsid w:val="00DC0487"/>
    <w:rsid w:val="00DC0683"/>
    <w:rsid w:val="00DC0710"/>
    <w:rsid w:val="00DC0B58"/>
    <w:rsid w:val="00DC0D7A"/>
    <w:rsid w:val="00DC0D8B"/>
    <w:rsid w:val="00DC1078"/>
    <w:rsid w:val="00DC10EF"/>
    <w:rsid w:val="00DC122A"/>
    <w:rsid w:val="00DC124E"/>
    <w:rsid w:val="00DC1448"/>
    <w:rsid w:val="00DC1794"/>
    <w:rsid w:val="00DC19A2"/>
    <w:rsid w:val="00DC1A2D"/>
    <w:rsid w:val="00DC1AAC"/>
    <w:rsid w:val="00DC1D56"/>
    <w:rsid w:val="00DC1D89"/>
    <w:rsid w:val="00DC1E8D"/>
    <w:rsid w:val="00DC1F91"/>
    <w:rsid w:val="00DC1FA9"/>
    <w:rsid w:val="00DC200D"/>
    <w:rsid w:val="00DC225D"/>
    <w:rsid w:val="00DC23C3"/>
    <w:rsid w:val="00DC2567"/>
    <w:rsid w:val="00DC2A3B"/>
    <w:rsid w:val="00DC2B07"/>
    <w:rsid w:val="00DC2B31"/>
    <w:rsid w:val="00DC2D8A"/>
    <w:rsid w:val="00DC3050"/>
    <w:rsid w:val="00DC3083"/>
    <w:rsid w:val="00DC30AA"/>
    <w:rsid w:val="00DC30F1"/>
    <w:rsid w:val="00DC30FB"/>
    <w:rsid w:val="00DC3278"/>
    <w:rsid w:val="00DC38D2"/>
    <w:rsid w:val="00DC3C6A"/>
    <w:rsid w:val="00DC404A"/>
    <w:rsid w:val="00DC43C4"/>
    <w:rsid w:val="00DC4499"/>
    <w:rsid w:val="00DC449B"/>
    <w:rsid w:val="00DC45E0"/>
    <w:rsid w:val="00DC4820"/>
    <w:rsid w:val="00DC4954"/>
    <w:rsid w:val="00DC4BDB"/>
    <w:rsid w:val="00DC4EED"/>
    <w:rsid w:val="00DC4F30"/>
    <w:rsid w:val="00DC4FA7"/>
    <w:rsid w:val="00DC5063"/>
    <w:rsid w:val="00DC52A7"/>
    <w:rsid w:val="00DC54E3"/>
    <w:rsid w:val="00DC563C"/>
    <w:rsid w:val="00DC570A"/>
    <w:rsid w:val="00DC5925"/>
    <w:rsid w:val="00DC5AEE"/>
    <w:rsid w:val="00DC5AF8"/>
    <w:rsid w:val="00DC5BFA"/>
    <w:rsid w:val="00DC5CB4"/>
    <w:rsid w:val="00DC5F0D"/>
    <w:rsid w:val="00DC5F84"/>
    <w:rsid w:val="00DC618E"/>
    <w:rsid w:val="00DC6255"/>
    <w:rsid w:val="00DC64DC"/>
    <w:rsid w:val="00DC64E7"/>
    <w:rsid w:val="00DC6604"/>
    <w:rsid w:val="00DC66CF"/>
    <w:rsid w:val="00DC67D6"/>
    <w:rsid w:val="00DC6821"/>
    <w:rsid w:val="00DC6961"/>
    <w:rsid w:val="00DC6ADC"/>
    <w:rsid w:val="00DC6B04"/>
    <w:rsid w:val="00DC6B8C"/>
    <w:rsid w:val="00DC6BD9"/>
    <w:rsid w:val="00DC6DDB"/>
    <w:rsid w:val="00DC6EA5"/>
    <w:rsid w:val="00DC70A9"/>
    <w:rsid w:val="00DC71DF"/>
    <w:rsid w:val="00DC74B9"/>
    <w:rsid w:val="00DC7D65"/>
    <w:rsid w:val="00DC7DBE"/>
    <w:rsid w:val="00DC7F11"/>
    <w:rsid w:val="00DC7F26"/>
    <w:rsid w:val="00DC7FEB"/>
    <w:rsid w:val="00DD01FA"/>
    <w:rsid w:val="00DD03B2"/>
    <w:rsid w:val="00DD04BF"/>
    <w:rsid w:val="00DD06C8"/>
    <w:rsid w:val="00DD08CD"/>
    <w:rsid w:val="00DD0972"/>
    <w:rsid w:val="00DD0A77"/>
    <w:rsid w:val="00DD0D65"/>
    <w:rsid w:val="00DD0D9D"/>
    <w:rsid w:val="00DD128B"/>
    <w:rsid w:val="00DD13BB"/>
    <w:rsid w:val="00DD1695"/>
    <w:rsid w:val="00DD187A"/>
    <w:rsid w:val="00DD1A1A"/>
    <w:rsid w:val="00DD1A86"/>
    <w:rsid w:val="00DD1AF9"/>
    <w:rsid w:val="00DD1CDD"/>
    <w:rsid w:val="00DD1D6D"/>
    <w:rsid w:val="00DD1E6A"/>
    <w:rsid w:val="00DD2226"/>
    <w:rsid w:val="00DD2353"/>
    <w:rsid w:val="00DD23A7"/>
    <w:rsid w:val="00DD255F"/>
    <w:rsid w:val="00DD294D"/>
    <w:rsid w:val="00DD2BDB"/>
    <w:rsid w:val="00DD2CB6"/>
    <w:rsid w:val="00DD2D4C"/>
    <w:rsid w:val="00DD2EEB"/>
    <w:rsid w:val="00DD3077"/>
    <w:rsid w:val="00DD3127"/>
    <w:rsid w:val="00DD314A"/>
    <w:rsid w:val="00DD31A3"/>
    <w:rsid w:val="00DD35D2"/>
    <w:rsid w:val="00DD3714"/>
    <w:rsid w:val="00DD38A3"/>
    <w:rsid w:val="00DD3B93"/>
    <w:rsid w:val="00DD3C7B"/>
    <w:rsid w:val="00DD3E4D"/>
    <w:rsid w:val="00DD4631"/>
    <w:rsid w:val="00DD4632"/>
    <w:rsid w:val="00DD4697"/>
    <w:rsid w:val="00DD46CD"/>
    <w:rsid w:val="00DD4734"/>
    <w:rsid w:val="00DD492B"/>
    <w:rsid w:val="00DD49C9"/>
    <w:rsid w:val="00DD510B"/>
    <w:rsid w:val="00DD544F"/>
    <w:rsid w:val="00DD5542"/>
    <w:rsid w:val="00DD56C0"/>
    <w:rsid w:val="00DD56E7"/>
    <w:rsid w:val="00DD5864"/>
    <w:rsid w:val="00DD5A3E"/>
    <w:rsid w:val="00DD5B72"/>
    <w:rsid w:val="00DD5B96"/>
    <w:rsid w:val="00DD5D48"/>
    <w:rsid w:val="00DD5DAD"/>
    <w:rsid w:val="00DD609A"/>
    <w:rsid w:val="00DD6197"/>
    <w:rsid w:val="00DD619B"/>
    <w:rsid w:val="00DD6353"/>
    <w:rsid w:val="00DD65BD"/>
    <w:rsid w:val="00DD66F4"/>
    <w:rsid w:val="00DD67F2"/>
    <w:rsid w:val="00DD6903"/>
    <w:rsid w:val="00DD6CBF"/>
    <w:rsid w:val="00DD6DE7"/>
    <w:rsid w:val="00DD703E"/>
    <w:rsid w:val="00DD7266"/>
    <w:rsid w:val="00DD74C0"/>
    <w:rsid w:val="00DD75EE"/>
    <w:rsid w:val="00DD76A5"/>
    <w:rsid w:val="00DD77DD"/>
    <w:rsid w:val="00DD7843"/>
    <w:rsid w:val="00DD7982"/>
    <w:rsid w:val="00DD79AD"/>
    <w:rsid w:val="00DD7A71"/>
    <w:rsid w:val="00DD7AC0"/>
    <w:rsid w:val="00DD7BB3"/>
    <w:rsid w:val="00DD7D5B"/>
    <w:rsid w:val="00DD7D88"/>
    <w:rsid w:val="00DD7EFF"/>
    <w:rsid w:val="00DE0088"/>
    <w:rsid w:val="00DE02E9"/>
    <w:rsid w:val="00DE038B"/>
    <w:rsid w:val="00DE06BA"/>
    <w:rsid w:val="00DE087D"/>
    <w:rsid w:val="00DE096E"/>
    <w:rsid w:val="00DE09CB"/>
    <w:rsid w:val="00DE0A8F"/>
    <w:rsid w:val="00DE0B3C"/>
    <w:rsid w:val="00DE0D86"/>
    <w:rsid w:val="00DE10B7"/>
    <w:rsid w:val="00DE1151"/>
    <w:rsid w:val="00DE11B7"/>
    <w:rsid w:val="00DE14B9"/>
    <w:rsid w:val="00DE14DF"/>
    <w:rsid w:val="00DE1585"/>
    <w:rsid w:val="00DE176F"/>
    <w:rsid w:val="00DE1999"/>
    <w:rsid w:val="00DE1C98"/>
    <w:rsid w:val="00DE1F05"/>
    <w:rsid w:val="00DE1FD8"/>
    <w:rsid w:val="00DE1FFF"/>
    <w:rsid w:val="00DE2141"/>
    <w:rsid w:val="00DE21E2"/>
    <w:rsid w:val="00DE2346"/>
    <w:rsid w:val="00DE2418"/>
    <w:rsid w:val="00DE2441"/>
    <w:rsid w:val="00DE249C"/>
    <w:rsid w:val="00DE288C"/>
    <w:rsid w:val="00DE2A1C"/>
    <w:rsid w:val="00DE2B76"/>
    <w:rsid w:val="00DE2D0E"/>
    <w:rsid w:val="00DE2DA7"/>
    <w:rsid w:val="00DE2EBF"/>
    <w:rsid w:val="00DE2FCD"/>
    <w:rsid w:val="00DE2FD0"/>
    <w:rsid w:val="00DE30D7"/>
    <w:rsid w:val="00DE32DD"/>
    <w:rsid w:val="00DE3383"/>
    <w:rsid w:val="00DE33F2"/>
    <w:rsid w:val="00DE3459"/>
    <w:rsid w:val="00DE3525"/>
    <w:rsid w:val="00DE352A"/>
    <w:rsid w:val="00DE3592"/>
    <w:rsid w:val="00DE36EF"/>
    <w:rsid w:val="00DE3953"/>
    <w:rsid w:val="00DE3AE7"/>
    <w:rsid w:val="00DE3CA7"/>
    <w:rsid w:val="00DE3EB1"/>
    <w:rsid w:val="00DE3FCD"/>
    <w:rsid w:val="00DE42B5"/>
    <w:rsid w:val="00DE465F"/>
    <w:rsid w:val="00DE47D6"/>
    <w:rsid w:val="00DE4972"/>
    <w:rsid w:val="00DE4B3D"/>
    <w:rsid w:val="00DE4D5A"/>
    <w:rsid w:val="00DE4EA3"/>
    <w:rsid w:val="00DE4F16"/>
    <w:rsid w:val="00DE50F1"/>
    <w:rsid w:val="00DE5162"/>
    <w:rsid w:val="00DE5213"/>
    <w:rsid w:val="00DE527F"/>
    <w:rsid w:val="00DE52BF"/>
    <w:rsid w:val="00DE56B5"/>
    <w:rsid w:val="00DE593F"/>
    <w:rsid w:val="00DE5AA9"/>
    <w:rsid w:val="00DE5BF0"/>
    <w:rsid w:val="00DE5C43"/>
    <w:rsid w:val="00DE5C90"/>
    <w:rsid w:val="00DE5DFA"/>
    <w:rsid w:val="00DE60BB"/>
    <w:rsid w:val="00DE627A"/>
    <w:rsid w:val="00DE6638"/>
    <w:rsid w:val="00DE679E"/>
    <w:rsid w:val="00DE685C"/>
    <w:rsid w:val="00DE68DC"/>
    <w:rsid w:val="00DE6AD4"/>
    <w:rsid w:val="00DE6BD2"/>
    <w:rsid w:val="00DE6DAF"/>
    <w:rsid w:val="00DE6E7A"/>
    <w:rsid w:val="00DE7667"/>
    <w:rsid w:val="00DE772F"/>
    <w:rsid w:val="00DE791E"/>
    <w:rsid w:val="00DE7F6A"/>
    <w:rsid w:val="00DE7FA4"/>
    <w:rsid w:val="00DF0028"/>
    <w:rsid w:val="00DF00DE"/>
    <w:rsid w:val="00DF0162"/>
    <w:rsid w:val="00DF0379"/>
    <w:rsid w:val="00DF060B"/>
    <w:rsid w:val="00DF0790"/>
    <w:rsid w:val="00DF0966"/>
    <w:rsid w:val="00DF0967"/>
    <w:rsid w:val="00DF09E0"/>
    <w:rsid w:val="00DF0AD5"/>
    <w:rsid w:val="00DF0C66"/>
    <w:rsid w:val="00DF0CE8"/>
    <w:rsid w:val="00DF0D1C"/>
    <w:rsid w:val="00DF0D47"/>
    <w:rsid w:val="00DF0D8B"/>
    <w:rsid w:val="00DF0EFF"/>
    <w:rsid w:val="00DF0FEC"/>
    <w:rsid w:val="00DF1045"/>
    <w:rsid w:val="00DF10B1"/>
    <w:rsid w:val="00DF11FC"/>
    <w:rsid w:val="00DF13F4"/>
    <w:rsid w:val="00DF16A7"/>
    <w:rsid w:val="00DF16C6"/>
    <w:rsid w:val="00DF1803"/>
    <w:rsid w:val="00DF18EF"/>
    <w:rsid w:val="00DF1B64"/>
    <w:rsid w:val="00DF1B92"/>
    <w:rsid w:val="00DF1BC2"/>
    <w:rsid w:val="00DF1E06"/>
    <w:rsid w:val="00DF1E34"/>
    <w:rsid w:val="00DF1E40"/>
    <w:rsid w:val="00DF1F03"/>
    <w:rsid w:val="00DF1F04"/>
    <w:rsid w:val="00DF1F78"/>
    <w:rsid w:val="00DF1F91"/>
    <w:rsid w:val="00DF21F1"/>
    <w:rsid w:val="00DF2464"/>
    <w:rsid w:val="00DF24C8"/>
    <w:rsid w:val="00DF261E"/>
    <w:rsid w:val="00DF27BB"/>
    <w:rsid w:val="00DF2846"/>
    <w:rsid w:val="00DF2926"/>
    <w:rsid w:val="00DF2A18"/>
    <w:rsid w:val="00DF2AF8"/>
    <w:rsid w:val="00DF2BE2"/>
    <w:rsid w:val="00DF2DE2"/>
    <w:rsid w:val="00DF302C"/>
    <w:rsid w:val="00DF306F"/>
    <w:rsid w:val="00DF31D5"/>
    <w:rsid w:val="00DF3214"/>
    <w:rsid w:val="00DF328E"/>
    <w:rsid w:val="00DF356E"/>
    <w:rsid w:val="00DF3845"/>
    <w:rsid w:val="00DF391F"/>
    <w:rsid w:val="00DF3AEF"/>
    <w:rsid w:val="00DF3C6A"/>
    <w:rsid w:val="00DF3D97"/>
    <w:rsid w:val="00DF3FA1"/>
    <w:rsid w:val="00DF4041"/>
    <w:rsid w:val="00DF434A"/>
    <w:rsid w:val="00DF482E"/>
    <w:rsid w:val="00DF48C1"/>
    <w:rsid w:val="00DF4ABB"/>
    <w:rsid w:val="00DF4C15"/>
    <w:rsid w:val="00DF4D5C"/>
    <w:rsid w:val="00DF4DD9"/>
    <w:rsid w:val="00DF51B1"/>
    <w:rsid w:val="00DF541F"/>
    <w:rsid w:val="00DF5478"/>
    <w:rsid w:val="00DF57D8"/>
    <w:rsid w:val="00DF57FF"/>
    <w:rsid w:val="00DF5835"/>
    <w:rsid w:val="00DF59C5"/>
    <w:rsid w:val="00DF5ADF"/>
    <w:rsid w:val="00DF5B65"/>
    <w:rsid w:val="00DF5EA4"/>
    <w:rsid w:val="00DF5ECF"/>
    <w:rsid w:val="00DF5F02"/>
    <w:rsid w:val="00DF603C"/>
    <w:rsid w:val="00DF6445"/>
    <w:rsid w:val="00DF6541"/>
    <w:rsid w:val="00DF6DA4"/>
    <w:rsid w:val="00DF6E2E"/>
    <w:rsid w:val="00DF6F87"/>
    <w:rsid w:val="00DF708A"/>
    <w:rsid w:val="00DF722B"/>
    <w:rsid w:val="00DF725D"/>
    <w:rsid w:val="00DF72B8"/>
    <w:rsid w:val="00DF7725"/>
    <w:rsid w:val="00DF7D1C"/>
    <w:rsid w:val="00DF7E23"/>
    <w:rsid w:val="00E00011"/>
    <w:rsid w:val="00E0013D"/>
    <w:rsid w:val="00E001D8"/>
    <w:rsid w:val="00E003C6"/>
    <w:rsid w:val="00E004B8"/>
    <w:rsid w:val="00E00611"/>
    <w:rsid w:val="00E00753"/>
    <w:rsid w:val="00E00B00"/>
    <w:rsid w:val="00E00FE5"/>
    <w:rsid w:val="00E0112A"/>
    <w:rsid w:val="00E0135F"/>
    <w:rsid w:val="00E01386"/>
    <w:rsid w:val="00E016AC"/>
    <w:rsid w:val="00E01818"/>
    <w:rsid w:val="00E01B53"/>
    <w:rsid w:val="00E02131"/>
    <w:rsid w:val="00E0224B"/>
    <w:rsid w:val="00E024F7"/>
    <w:rsid w:val="00E026A8"/>
    <w:rsid w:val="00E026B8"/>
    <w:rsid w:val="00E026E8"/>
    <w:rsid w:val="00E0281D"/>
    <w:rsid w:val="00E02A2A"/>
    <w:rsid w:val="00E02AB3"/>
    <w:rsid w:val="00E02B50"/>
    <w:rsid w:val="00E02B8B"/>
    <w:rsid w:val="00E03007"/>
    <w:rsid w:val="00E03036"/>
    <w:rsid w:val="00E030EB"/>
    <w:rsid w:val="00E031F9"/>
    <w:rsid w:val="00E03381"/>
    <w:rsid w:val="00E0346E"/>
    <w:rsid w:val="00E034AC"/>
    <w:rsid w:val="00E03535"/>
    <w:rsid w:val="00E035D3"/>
    <w:rsid w:val="00E0366D"/>
    <w:rsid w:val="00E038A1"/>
    <w:rsid w:val="00E038DD"/>
    <w:rsid w:val="00E03C55"/>
    <w:rsid w:val="00E03C99"/>
    <w:rsid w:val="00E03CA7"/>
    <w:rsid w:val="00E03DCD"/>
    <w:rsid w:val="00E03E5E"/>
    <w:rsid w:val="00E04038"/>
    <w:rsid w:val="00E0432A"/>
    <w:rsid w:val="00E04339"/>
    <w:rsid w:val="00E04378"/>
    <w:rsid w:val="00E04570"/>
    <w:rsid w:val="00E0462A"/>
    <w:rsid w:val="00E04732"/>
    <w:rsid w:val="00E04793"/>
    <w:rsid w:val="00E04A7A"/>
    <w:rsid w:val="00E04C3E"/>
    <w:rsid w:val="00E04F06"/>
    <w:rsid w:val="00E0507A"/>
    <w:rsid w:val="00E05289"/>
    <w:rsid w:val="00E0528B"/>
    <w:rsid w:val="00E05295"/>
    <w:rsid w:val="00E05395"/>
    <w:rsid w:val="00E05552"/>
    <w:rsid w:val="00E055E5"/>
    <w:rsid w:val="00E0579C"/>
    <w:rsid w:val="00E0593E"/>
    <w:rsid w:val="00E05992"/>
    <w:rsid w:val="00E05CDA"/>
    <w:rsid w:val="00E05D3F"/>
    <w:rsid w:val="00E06069"/>
    <w:rsid w:val="00E06164"/>
    <w:rsid w:val="00E064F7"/>
    <w:rsid w:val="00E0689F"/>
    <w:rsid w:val="00E06925"/>
    <w:rsid w:val="00E06A18"/>
    <w:rsid w:val="00E06BD8"/>
    <w:rsid w:val="00E06C47"/>
    <w:rsid w:val="00E06D53"/>
    <w:rsid w:val="00E06D93"/>
    <w:rsid w:val="00E07070"/>
    <w:rsid w:val="00E07234"/>
    <w:rsid w:val="00E07540"/>
    <w:rsid w:val="00E077DB"/>
    <w:rsid w:val="00E07896"/>
    <w:rsid w:val="00E0797A"/>
    <w:rsid w:val="00E07A5D"/>
    <w:rsid w:val="00E07CF2"/>
    <w:rsid w:val="00E07F81"/>
    <w:rsid w:val="00E1005E"/>
    <w:rsid w:val="00E10145"/>
    <w:rsid w:val="00E107DE"/>
    <w:rsid w:val="00E109BF"/>
    <w:rsid w:val="00E10A2A"/>
    <w:rsid w:val="00E10A8F"/>
    <w:rsid w:val="00E10AAC"/>
    <w:rsid w:val="00E10B31"/>
    <w:rsid w:val="00E10D5E"/>
    <w:rsid w:val="00E10F35"/>
    <w:rsid w:val="00E10F47"/>
    <w:rsid w:val="00E110C7"/>
    <w:rsid w:val="00E11153"/>
    <w:rsid w:val="00E111A6"/>
    <w:rsid w:val="00E11567"/>
    <w:rsid w:val="00E11765"/>
    <w:rsid w:val="00E11786"/>
    <w:rsid w:val="00E11809"/>
    <w:rsid w:val="00E119AE"/>
    <w:rsid w:val="00E11A62"/>
    <w:rsid w:val="00E11DBB"/>
    <w:rsid w:val="00E11F72"/>
    <w:rsid w:val="00E11FA3"/>
    <w:rsid w:val="00E1207D"/>
    <w:rsid w:val="00E12478"/>
    <w:rsid w:val="00E126ED"/>
    <w:rsid w:val="00E126F8"/>
    <w:rsid w:val="00E12752"/>
    <w:rsid w:val="00E128B4"/>
    <w:rsid w:val="00E12901"/>
    <w:rsid w:val="00E12A5D"/>
    <w:rsid w:val="00E12A70"/>
    <w:rsid w:val="00E12ABD"/>
    <w:rsid w:val="00E12B72"/>
    <w:rsid w:val="00E12CD0"/>
    <w:rsid w:val="00E12E23"/>
    <w:rsid w:val="00E12EF7"/>
    <w:rsid w:val="00E13412"/>
    <w:rsid w:val="00E1350D"/>
    <w:rsid w:val="00E135EA"/>
    <w:rsid w:val="00E13735"/>
    <w:rsid w:val="00E139B8"/>
    <w:rsid w:val="00E139C0"/>
    <w:rsid w:val="00E13EFE"/>
    <w:rsid w:val="00E1414B"/>
    <w:rsid w:val="00E142A3"/>
    <w:rsid w:val="00E1443C"/>
    <w:rsid w:val="00E14491"/>
    <w:rsid w:val="00E145BF"/>
    <w:rsid w:val="00E146CD"/>
    <w:rsid w:val="00E14881"/>
    <w:rsid w:val="00E148C6"/>
    <w:rsid w:val="00E1492A"/>
    <w:rsid w:val="00E14A5E"/>
    <w:rsid w:val="00E14A8A"/>
    <w:rsid w:val="00E14AA6"/>
    <w:rsid w:val="00E14B6F"/>
    <w:rsid w:val="00E14DF5"/>
    <w:rsid w:val="00E15181"/>
    <w:rsid w:val="00E152C6"/>
    <w:rsid w:val="00E15313"/>
    <w:rsid w:val="00E1534E"/>
    <w:rsid w:val="00E15635"/>
    <w:rsid w:val="00E15693"/>
    <w:rsid w:val="00E157BB"/>
    <w:rsid w:val="00E15803"/>
    <w:rsid w:val="00E15A17"/>
    <w:rsid w:val="00E15B2F"/>
    <w:rsid w:val="00E15CA3"/>
    <w:rsid w:val="00E15CAD"/>
    <w:rsid w:val="00E161B2"/>
    <w:rsid w:val="00E16285"/>
    <w:rsid w:val="00E1639E"/>
    <w:rsid w:val="00E16527"/>
    <w:rsid w:val="00E16A1B"/>
    <w:rsid w:val="00E16ABB"/>
    <w:rsid w:val="00E16AE6"/>
    <w:rsid w:val="00E16DBF"/>
    <w:rsid w:val="00E1712D"/>
    <w:rsid w:val="00E1714A"/>
    <w:rsid w:val="00E1717B"/>
    <w:rsid w:val="00E17308"/>
    <w:rsid w:val="00E17364"/>
    <w:rsid w:val="00E1739C"/>
    <w:rsid w:val="00E173B9"/>
    <w:rsid w:val="00E177FE"/>
    <w:rsid w:val="00E17805"/>
    <w:rsid w:val="00E1795D"/>
    <w:rsid w:val="00E17CAB"/>
    <w:rsid w:val="00E17D61"/>
    <w:rsid w:val="00E17E76"/>
    <w:rsid w:val="00E17F46"/>
    <w:rsid w:val="00E200C0"/>
    <w:rsid w:val="00E20C61"/>
    <w:rsid w:val="00E210F6"/>
    <w:rsid w:val="00E211B2"/>
    <w:rsid w:val="00E21874"/>
    <w:rsid w:val="00E21971"/>
    <w:rsid w:val="00E21A28"/>
    <w:rsid w:val="00E21D58"/>
    <w:rsid w:val="00E21D65"/>
    <w:rsid w:val="00E21E67"/>
    <w:rsid w:val="00E21ECD"/>
    <w:rsid w:val="00E2201A"/>
    <w:rsid w:val="00E2216F"/>
    <w:rsid w:val="00E22263"/>
    <w:rsid w:val="00E2227F"/>
    <w:rsid w:val="00E22533"/>
    <w:rsid w:val="00E22659"/>
    <w:rsid w:val="00E227A1"/>
    <w:rsid w:val="00E22992"/>
    <w:rsid w:val="00E22A06"/>
    <w:rsid w:val="00E22CEE"/>
    <w:rsid w:val="00E22D40"/>
    <w:rsid w:val="00E23092"/>
    <w:rsid w:val="00E230FD"/>
    <w:rsid w:val="00E233A6"/>
    <w:rsid w:val="00E23595"/>
    <w:rsid w:val="00E235F6"/>
    <w:rsid w:val="00E237F5"/>
    <w:rsid w:val="00E2383A"/>
    <w:rsid w:val="00E23967"/>
    <w:rsid w:val="00E23A6A"/>
    <w:rsid w:val="00E23A86"/>
    <w:rsid w:val="00E23BD9"/>
    <w:rsid w:val="00E23F63"/>
    <w:rsid w:val="00E24038"/>
    <w:rsid w:val="00E241DE"/>
    <w:rsid w:val="00E241F0"/>
    <w:rsid w:val="00E242B8"/>
    <w:rsid w:val="00E24347"/>
    <w:rsid w:val="00E2434E"/>
    <w:rsid w:val="00E24A9C"/>
    <w:rsid w:val="00E24FF7"/>
    <w:rsid w:val="00E25042"/>
    <w:rsid w:val="00E250AF"/>
    <w:rsid w:val="00E255CA"/>
    <w:rsid w:val="00E25606"/>
    <w:rsid w:val="00E25740"/>
    <w:rsid w:val="00E25997"/>
    <w:rsid w:val="00E25BD0"/>
    <w:rsid w:val="00E25BFE"/>
    <w:rsid w:val="00E262FD"/>
    <w:rsid w:val="00E2632D"/>
    <w:rsid w:val="00E26559"/>
    <w:rsid w:val="00E2665F"/>
    <w:rsid w:val="00E2691D"/>
    <w:rsid w:val="00E26972"/>
    <w:rsid w:val="00E26C0B"/>
    <w:rsid w:val="00E26C88"/>
    <w:rsid w:val="00E26E99"/>
    <w:rsid w:val="00E26F40"/>
    <w:rsid w:val="00E26F7B"/>
    <w:rsid w:val="00E26FA3"/>
    <w:rsid w:val="00E271D6"/>
    <w:rsid w:val="00E27254"/>
    <w:rsid w:val="00E273E7"/>
    <w:rsid w:val="00E27625"/>
    <w:rsid w:val="00E277C1"/>
    <w:rsid w:val="00E27950"/>
    <w:rsid w:val="00E27A50"/>
    <w:rsid w:val="00E27A69"/>
    <w:rsid w:val="00E27A81"/>
    <w:rsid w:val="00E27AAF"/>
    <w:rsid w:val="00E27AB5"/>
    <w:rsid w:val="00E27AB8"/>
    <w:rsid w:val="00E27DDF"/>
    <w:rsid w:val="00E27FCF"/>
    <w:rsid w:val="00E30088"/>
    <w:rsid w:val="00E30296"/>
    <w:rsid w:val="00E305FA"/>
    <w:rsid w:val="00E30605"/>
    <w:rsid w:val="00E3060B"/>
    <w:rsid w:val="00E30AAB"/>
    <w:rsid w:val="00E30C49"/>
    <w:rsid w:val="00E30C4B"/>
    <w:rsid w:val="00E30D94"/>
    <w:rsid w:val="00E30EFD"/>
    <w:rsid w:val="00E311FA"/>
    <w:rsid w:val="00E31216"/>
    <w:rsid w:val="00E3130D"/>
    <w:rsid w:val="00E3142C"/>
    <w:rsid w:val="00E3148A"/>
    <w:rsid w:val="00E3152F"/>
    <w:rsid w:val="00E315AC"/>
    <w:rsid w:val="00E3171D"/>
    <w:rsid w:val="00E31757"/>
    <w:rsid w:val="00E317DE"/>
    <w:rsid w:val="00E3190F"/>
    <w:rsid w:val="00E31A1D"/>
    <w:rsid w:val="00E31EAC"/>
    <w:rsid w:val="00E31F65"/>
    <w:rsid w:val="00E31FEA"/>
    <w:rsid w:val="00E31FFD"/>
    <w:rsid w:val="00E320FA"/>
    <w:rsid w:val="00E32271"/>
    <w:rsid w:val="00E32296"/>
    <w:rsid w:val="00E32460"/>
    <w:rsid w:val="00E32845"/>
    <w:rsid w:val="00E32C09"/>
    <w:rsid w:val="00E32CD1"/>
    <w:rsid w:val="00E32F13"/>
    <w:rsid w:val="00E330DD"/>
    <w:rsid w:val="00E336C3"/>
    <w:rsid w:val="00E3397B"/>
    <w:rsid w:val="00E339E3"/>
    <w:rsid w:val="00E339FF"/>
    <w:rsid w:val="00E33A95"/>
    <w:rsid w:val="00E33AD0"/>
    <w:rsid w:val="00E33B81"/>
    <w:rsid w:val="00E33C3E"/>
    <w:rsid w:val="00E33E02"/>
    <w:rsid w:val="00E33F31"/>
    <w:rsid w:val="00E34022"/>
    <w:rsid w:val="00E34151"/>
    <w:rsid w:val="00E3442C"/>
    <w:rsid w:val="00E346A5"/>
    <w:rsid w:val="00E346FD"/>
    <w:rsid w:val="00E348D2"/>
    <w:rsid w:val="00E349F2"/>
    <w:rsid w:val="00E34A83"/>
    <w:rsid w:val="00E34B8B"/>
    <w:rsid w:val="00E34CD3"/>
    <w:rsid w:val="00E34D1B"/>
    <w:rsid w:val="00E34E16"/>
    <w:rsid w:val="00E34EAC"/>
    <w:rsid w:val="00E3502E"/>
    <w:rsid w:val="00E35109"/>
    <w:rsid w:val="00E351FC"/>
    <w:rsid w:val="00E3535E"/>
    <w:rsid w:val="00E3552B"/>
    <w:rsid w:val="00E35686"/>
    <w:rsid w:val="00E3574C"/>
    <w:rsid w:val="00E3579E"/>
    <w:rsid w:val="00E35863"/>
    <w:rsid w:val="00E35864"/>
    <w:rsid w:val="00E35A63"/>
    <w:rsid w:val="00E35ACD"/>
    <w:rsid w:val="00E35BE4"/>
    <w:rsid w:val="00E35D2E"/>
    <w:rsid w:val="00E35DE4"/>
    <w:rsid w:val="00E35F66"/>
    <w:rsid w:val="00E361D0"/>
    <w:rsid w:val="00E36331"/>
    <w:rsid w:val="00E36360"/>
    <w:rsid w:val="00E3646D"/>
    <w:rsid w:val="00E369F6"/>
    <w:rsid w:val="00E36ABC"/>
    <w:rsid w:val="00E36B8D"/>
    <w:rsid w:val="00E36D3D"/>
    <w:rsid w:val="00E36D4B"/>
    <w:rsid w:val="00E36FA8"/>
    <w:rsid w:val="00E37197"/>
    <w:rsid w:val="00E3736D"/>
    <w:rsid w:val="00E37707"/>
    <w:rsid w:val="00E37725"/>
    <w:rsid w:val="00E3774D"/>
    <w:rsid w:val="00E377F6"/>
    <w:rsid w:val="00E37B6E"/>
    <w:rsid w:val="00E37C9D"/>
    <w:rsid w:val="00E37DB2"/>
    <w:rsid w:val="00E40062"/>
    <w:rsid w:val="00E402F1"/>
    <w:rsid w:val="00E40BC0"/>
    <w:rsid w:val="00E41146"/>
    <w:rsid w:val="00E41179"/>
    <w:rsid w:val="00E414AF"/>
    <w:rsid w:val="00E4174D"/>
    <w:rsid w:val="00E41866"/>
    <w:rsid w:val="00E419FD"/>
    <w:rsid w:val="00E41CF7"/>
    <w:rsid w:val="00E42087"/>
    <w:rsid w:val="00E42259"/>
    <w:rsid w:val="00E4225B"/>
    <w:rsid w:val="00E42777"/>
    <w:rsid w:val="00E4280B"/>
    <w:rsid w:val="00E4283E"/>
    <w:rsid w:val="00E42925"/>
    <w:rsid w:val="00E42935"/>
    <w:rsid w:val="00E42BC1"/>
    <w:rsid w:val="00E42DE7"/>
    <w:rsid w:val="00E4336A"/>
    <w:rsid w:val="00E43387"/>
    <w:rsid w:val="00E4371B"/>
    <w:rsid w:val="00E43C74"/>
    <w:rsid w:val="00E43E3E"/>
    <w:rsid w:val="00E43E88"/>
    <w:rsid w:val="00E43F52"/>
    <w:rsid w:val="00E43FCC"/>
    <w:rsid w:val="00E4426B"/>
    <w:rsid w:val="00E4477C"/>
    <w:rsid w:val="00E449C3"/>
    <w:rsid w:val="00E44A76"/>
    <w:rsid w:val="00E45030"/>
    <w:rsid w:val="00E4506E"/>
    <w:rsid w:val="00E453FF"/>
    <w:rsid w:val="00E454F9"/>
    <w:rsid w:val="00E45675"/>
    <w:rsid w:val="00E456FE"/>
    <w:rsid w:val="00E458FF"/>
    <w:rsid w:val="00E45A68"/>
    <w:rsid w:val="00E45B32"/>
    <w:rsid w:val="00E45BA6"/>
    <w:rsid w:val="00E45C82"/>
    <w:rsid w:val="00E45CCB"/>
    <w:rsid w:val="00E45E31"/>
    <w:rsid w:val="00E45E8E"/>
    <w:rsid w:val="00E45FE9"/>
    <w:rsid w:val="00E46179"/>
    <w:rsid w:val="00E461F2"/>
    <w:rsid w:val="00E463FF"/>
    <w:rsid w:val="00E464B7"/>
    <w:rsid w:val="00E466BF"/>
    <w:rsid w:val="00E46811"/>
    <w:rsid w:val="00E46896"/>
    <w:rsid w:val="00E469CC"/>
    <w:rsid w:val="00E46B1F"/>
    <w:rsid w:val="00E46B6F"/>
    <w:rsid w:val="00E46BB2"/>
    <w:rsid w:val="00E46D78"/>
    <w:rsid w:val="00E46E70"/>
    <w:rsid w:val="00E46F82"/>
    <w:rsid w:val="00E470E1"/>
    <w:rsid w:val="00E471A4"/>
    <w:rsid w:val="00E474D7"/>
    <w:rsid w:val="00E47540"/>
    <w:rsid w:val="00E475A7"/>
    <w:rsid w:val="00E4762A"/>
    <w:rsid w:val="00E47682"/>
    <w:rsid w:val="00E476CC"/>
    <w:rsid w:val="00E47739"/>
    <w:rsid w:val="00E477AA"/>
    <w:rsid w:val="00E47886"/>
    <w:rsid w:val="00E479DA"/>
    <w:rsid w:val="00E47A5A"/>
    <w:rsid w:val="00E47B59"/>
    <w:rsid w:val="00E47F67"/>
    <w:rsid w:val="00E501E1"/>
    <w:rsid w:val="00E50286"/>
    <w:rsid w:val="00E502C2"/>
    <w:rsid w:val="00E5032B"/>
    <w:rsid w:val="00E503A4"/>
    <w:rsid w:val="00E508B7"/>
    <w:rsid w:val="00E50949"/>
    <w:rsid w:val="00E50D04"/>
    <w:rsid w:val="00E50ED3"/>
    <w:rsid w:val="00E50F8B"/>
    <w:rsid w:val="00E51459"/>
    <w:rsid w:val="00E51552"/>
    <w:rsid w:val="00E515E3"/>
    <w:rsid w:val="00E51732"/>
    <w:rsid w:val="00E517CC"/>
    <w:rsid w:val="00E51B52"/>
    <w:rsid w:val="00E51C6F"/>
    <w:rsid w:val="00E51CB5"/>
    <w:rsid w:val="00E51D6F"/>
    <w:rsid w:val="00E51F06"/>
    <w:rsid w:val="00E520F3"/>
    <w:rsid w:val="00E52125"/>
    <w:rsid w:val="00E522B8"/>
    <w:rsid w:val="00E52622"/>
    <w:rsid w:val="00E5262A"/>
    <w:rsid w:val="00E52717"/>
    <w:rsid w:val="00E527F1"/>
    <w:rsid w:val="00E52921"/>
    <w:rsid w:val="00E52986"/>
    <w:rsid w:val="00E52B87"/>
    <w:rsid w:val="00E52BB2"/>
    <w:rsid w:val="00E52D0A"/>
    <w:rsid w:val="00E52F44"/>
    <w:rsid w:val="00E52FDE"/>
    <w:rsid w:val="00E5360B"/>
    <w:rsid w:val="00E5376C"/>
    <w:rsid w:val="00E53AD0"/>
    <w:rsid w:val="00E53AEC"/>
    <w:rsid w:val="00E53BB9"/>
    <w:rsid w:val="00E53C3D"/>
    <w:rsid w:val="00E53C61"/>
    <w:rsid w:val="00E53D33"/>
    <w:rsid w:val="00E53D68"/>
    <w:rsid w:val="00E54394"/>
    <w:rsid w:val="00E544D8"/>
    <w:rsid w:val="00E544E6"/>
    <w:rsid w:val="00E545D9"/>
    <w:rsid w:val="00E54D28"/>
    <w:rsid w:val="00E54F2D"/>
    <w:rsid w:val="00E54F85"/>
    <w:rsid w:val="00E55113"/>
    <w:rsid w:val="00E552BA"/>
    <w:rsid w:val="00E554FA"/>
    <w:rsid w:val="00E55861"/>
    <w:rsid w:val="00E55B30"/>
    <w:rsid w:val="00E55FE2"/>
    <w:rsid w:val="00E5657B"/>
    <w:rsid w:val="00E5662C"/>
    <w:rsid w:val="00E56A7E"/>
    <w:rsid w:val="00E56B5C"/>
    <w:rsid w:val="00E56CD8"/>
    <w:rsid w:val="00E56EBB"/>
    <w:rsid w:val="00E571D3"/>
    <w:rsid w:val="00E576B1"/>
    <w:rsid w:val="00E576EC"/>
    <w:rsid w:val="00E576F0"/>
    <w:rsid w:val="00E577F2"/>
    <w:rsid w:val="00E57C34"/>
    <w:rsid w:val="00E60482"/>
    <w:rsid w:val="00E60494"/>
    <w:rsid w:val="00E606E6"/>
    <w:rsid w:val="00E606F7"/>
    <w:rsid w:val="00E607F2"/>
    <w:rsid w:val="00E60826"/>
    <w:rsid w:val="00E60B71"/>
    <w:rsid w:val="00E611B9"/>
    <w:rsid w:val="00E61236"/>
    <w:rsid w:val="00E614B6"/>
    <w:rsid w:val="00E615B1"/>
    <w:rsid w:val="00E61741"/>
    <w:rsid w:val="00E61779"/>
    <w:rsid w:val="00E618F8"/>
    <w:rsid w:val="00E61BCA"/>
    <w:rsid w:val="00E61CFD"/>
    <w:rsid w:val="00E61D28"/>
    <w:rsid w:val="00E61F9E"/>
    <w:rsid w:val="00E62010"/>
    <w:rsid w:val="00E62405"/>
    <w:rsid w:val="00E62452"/>
    <w:rsid w:val="00E6294A"/>
    <w:rsid w:val="00E629B2"/>
    <w:rsid w:val="00E62AA6"/>
    <w:rsid w:val="00E62E69"/>
    <w:rsid w:val="00E62EE5"/>
    <w:rsid w:val="00E6304D"/>
    <w:rsid w:val="00E630E0"/>
    <w:rsid w:val="00E63226"/>
    <w:rsid w:val="00E6335F"/>
    <w:rsid w:val="00E633A3"/>
    <w:rsid w:val="00E63433"/>
    <w:rsid w:val="00E63459"/>
    <w:rsid w:val="00E63520"/>
    <w:rsid w:val="00E6363F"/>
    <w:rsid w:val="00E636D9"/>
    <w:rsid w:val="00E63787"/>
    <w:rsid w:val="00E63947"/>
    <w:rsid w:val="00E63A4A"/>
    <w:rsid w:val="00E63D19"/>
    <w:rsid w:val="00E63F2A"/>
    <w:rsid w:val="00E63FBC"/>
    <w:rsid w:val="00E6405D"/>
    <w:rsid w:val="00E64359"/>
    <w:rsid w:val="00E644EF"/>
    <w:rsid w:val="00E645ED"/>
    <w:rsid w:val="00E64A7B"/>
    <w:rsid w:val="00E64CB9"/>
    <w:rsid w:val="00E65218"/>
    <w:rsid w:val="00E652AC"/>
    <w:rsid w:val="00E6532E"/>
    <w:rsid w:val="00E65363"/>
    <w:rsid w:val="00E65460"/>
    <w:rsid w:val="00E657D8"/>
    <w:rsid w:val="00E65AB4"/>
    <w:rsid w:val="00E65F2C"/>
    <w:rsid w:val="00E6668A"/>
    <w:rsid w:val="00E66959"/>
    <w:rsid w:val="00E66BC5"/>
    <w:rsid w:val="00E66DBE"/>
    <w:rsid w:val="00E66E21"/>
    <w:rsid w:val="00E66F69"/>
    <w:rsid w:val="00E67006"/>
    <w:rsid w:val="00E67297"/>
    <w:rsid w:val="00E6729D"/>
    <w:rsid w:val="00E67473"/>
    <w:rsid w:val="00E6750C"/>
    <w:rsid w:val="00E6758D"/>
    <w:rsid w:val="00E67664"/>
    <w:rsid w:val="00E676B7"/>
    <w:rsid w:val="00E67799"/>
    <w:rsid w:val="00E677ED"/>
    <w:rsid w:val="00E67A74"/>
    <w:rsid w:val="00E67A78"/>
    <w:rsid w:val="00E67A82"/>
    <w:rsid w:val="00E67DCE"/>
    <w:rsid w:val="00E67EF9"/>
    <w:rsid w:val="00E70516"/>
    <w:rsid w:val="00E70552"/>
    <w:rsid w:val="00E708BE"/>
    <w:rsid w:val="00E70971"/>
    <w:rsid w:val="00E7098F"/>
    <w:rsid w:val="00E709D0"/>
    <w:rsid w:val="00E709EE"/>
    <w:rsid w:val="00E70D1D"/>
    <w:rsid w:val="00E70E5C"/>
    <w:rsid w:val="00E70F89"/>
    <w:rsid w:val="00E71028"/>
    <w:rsid w:val="00E7107B"/>
    <w:rsid w:val="00E710E0"/>
    <w:rsid w:val="00E711C5"/>
    <w:rsid w:val="00E71340"/>
    <w:rsid w:val="00E71492"/>
    <w:rsid w:val="00E715F6"/>
    <w:rsid w:val="00E717C5"/>
    <w:rsid w:val="00E718A5"/>
    <w:rsid w:val="00E71B8D"/>
    <w:rsid w:val="00E722A7"/>
    <w:rsid w:val="00E7230B"/>
    <w:rsid w:val="00E72423"/>
    <w:rsid w:val="00E72479"/>
    <w:rsid w:val="00E724BA"/>
    <w:rsid w:val="00E724EE"/>
    <w:rsid w:val="00E727EB"/>
    <w:rsid w:val="00E72801"/>
    <w:rsid w:val="00E728F5"/>
    <w:rsid w:val="00E729BB"/>
    <w:rsid w:val="00E729C5"/>
    <w:rsid w:val="00E72A44"/>
    <w:rsid w:val="00E72C81"/>
    <w:rsid w:val="00E72D60"/>
    <w:rsid w:val="00E72F00"/>
    <w:rsid w:val="00E731D4"/>
    <w:rsid w:val="00E733F5"/>
    <w:rsid w:val="00E734BD"/>
    <w:rsid w:val="00E73598"/>
    <w:rsid w:val="00E73980"/>
    <w:rsid w:val="00E73E6A"/>
    <w:rsid w:val="00E746BE"/>
    <w:rsid w:val="00E74788"/>
    <w:rsid w:val="00E747E2"/>
    <w:rsid w:val="00E7494F"/>
    <w:rsid w:val="00E74A8F"/>
    <w:rsid w:val="00E74C3A"/>
    <w:rsid w:val="00E74C97"/>
    <w:rsid w:val="00E74C9B"/>
    <w:rsid w:val="00E74D42"/>
    <w:rsid w:val="00E74D4A"/>
    <w:rsid w:val="00E75168"/>
    <w:rsid w:val="00E751C5"/>
    <w:rsid w:val="00E751DC"/>
    <w:rsid w:val="00E758E0"/>
    <w:rsid w:val="00E75C98"/>
    <w:rsid w:val="00E75CCD"/>
    <w:rsid w:val="00E75EB6"/>
    <w:rsid w:val="00E75F97"/>
    <w:rsid w:val="00E7600A"/>
    <w:rsid w:val="00E760AD"/>
    <w:rsid w:val="00E763D3"/>
    <w:rsid w:val="00E7641F"/>
    <w:rsid w:val="00E7679A"/>
    <w:rsid w:val="00E76855"/>
    <w:rsid w:val="00E76AB2"/>
    <w:rsid w:val="00E76AD4"/>
    <w:rsid w:val="00E76B39"/>
    <w:rsid w:val="00E76E44"/>
    <w:rsid w:val="00E774EF"/>
    <w:rsid w:val="00E7764B"/>
    <w:rsid w:val="00E778BA"/>
    <w:rsid w:val="00E779E2"/>
    <w:rsid w:val="00E77DBD"/>
    <w:rsid w:val="00E77DCD"/>
    <w:rsid w:val="00E77EB9"/>
    <w:rsid w:val="00E80477"/>
    <w:rsid w:val="00E8070D"/>
    <w:rsid w:val="00E80923"/>
    <w:rsid w:val="00E80A8A"/>
    <w:rsid w:val="00E80C70"/>
    <w:rsid w:val="00E80CC6"/>
    <w:rsid w:val="00E80DAC"/>
    <w:rsid w:val="00E8104B"/>
    <w:rsid w:val="00E81172"/>
    <w:rsid w:val="00E813BA"/>
    <w:rsid w:val="00E814B6"/>
    <w:rsid w:val="00E81639"/>
    <w:rsid w:val="00E816B4"/>
    <w:rsid w:val="00E8177A"/>
    <w:rsid w:val="00E819AE"/>
    <w:rsid w:val="00E81C95"/>
    <w:rsid w:val="00E81CBB"/>
    <w:rsid w:val="00E81FBC"/>
    <w:rsid w:val="00E8205F"/>
    <w:rsid w:val="00E8236C"/>
    <w:rsid w:val="00E82927"/>
    <w:rsid w:val="00E82DF8"/>
    <w:rsid w:val="00E82F3C"/>
    <w:rsid w:val="00E82F46"/>
    <w:rsid w:val="00E830A3"/>
    <w:rsid w:val="00E83140"/>
    <w:rsid w:val="00E8327D"/>
    <w:rsid w:val="00E83360"/>
    <w:rsid w:val="00E8343D"/>
    <w:rsid w:val="00E8373A"/>
    <w:rsid w:val="00E83A77"/>
    <w:rsid w:val="00E83C9B"/>
    <w:rsid w:val="00E83E62"/>
    <w:rsid w:val="00E83FF7"/>
    <w:rsid w:val="00E8424D"/>
    <w:rsid w:val="00E842FC"/>
    <w:rsid w:val="00E84829"/>
    <w:rsid w:val="00E848BD"/>
    <w:rsid w:val="00E8498B"/>
    <w:rsid w:val="00E84DBB"/>
    <w:rsid w:val="00E84E9D"/>
    <w:rsid w:val="00E84F38"/>
    <w:rsid w:val="00E84FD8"/>
    <w:rsid w:val="00E850CB"/>
    <w:rsid w:val="00E854A4"/>
    <w:rsid w:val="00E855EA"/>
    <w:rsid w:val="00E856C2"/>
    <w:rsid w:val="00E8585F"/>
    <w:rsid w:val="00E85878"/>
    <w:rsid w:val="00E858D5"/>
    <w:rsid w:val="00E85BFB"/>
    <w:rsid w:val="00E85F6E"/>
    <w:rsid w:val="00E85F99"/>
    <w:rsid w:val="00E86062"/>
    <w:rsid w:val="00E860CE"/>
    <w:rsid w:val="00E861AA"/>
    <w:rsid w:val="00E862E8"/>
    <w:rsid w:val="00E86428"/>
    <w:rsid w:val="00E865CC"/>
    <w:rsid w:val="00E86830"/>
    <w:rsid w:val="00E868C4"/>
    <w:rsid w:val="00E86FB6"/>
    <w:rsid w:val="00E87014"/>
    <w:rsid w:val="00E870E0"/>
    <w:rsid w:val="00E8738B"/>
    <w:rsid w:val="00E873BE"/>
    <w:rsid w:val="00E87547"/>
    <w:rsid w:val="00E875B6"/>
    <w:rsid w:val="00E877B6"/>
    <w:rsid w:val="00E8788D"/>
    <w:rsid w:val="00E87AB9"/>
    <w:rsid w:val="00E87AF6"/>
    <w:rsid w:val="00E87D84"/>
    <w:rsid w:val="00E87E3A"/>
    <w:rsid w:val="00E87E90"/>
    <w:rsid w:val="00E87F41"/>
    <w:rsid w:val="00E87FD1"/>
    <w:rsid w:val="00E90344"/>
    <w:rsid w:val="00E90347"/>
    <w:rsid w:val="00E903F5"/>
    <w:rsid w:val="00E90427"/>
    <w:rsid w:val="00E90436"/>
    <w:rsid w:val="00E9069F"/>
    <w:rsid w:val="00E906F4"/>
    <w:rsid w:val="00E907BE"/>
    <w:rsid w:val="00E90A6C"/>
    <w:rsid w:val="00E90A9B"/>
    <w:rsid w:val="00E90B31"/>
    <w:rsid w:val="00E90D9B"/>
    <w:rsid w:val="00E90E4B"/>
    <w:rsid w:val="00E90E65"/>
    <w:rsid w:val="00E90EF7"/>
    <w:rsid w:val="00E9138F"/>
    <w:rsid w:val="00E913F3"/>
    <w:rsid w:val="00E9142F"/>
    <w:rsid w:val="00E91483"/>
    <w:rsid w:val="00E91618"/>
    <w:rsid w:val="00E9176D"/>
    <w:rsid w:val="00E917D5"/>
    <w:rsid w:val="00E91918"/>
    <w:rsid w:val="00E91A9E"/>
    <w:rsid w:val="00E91DBA"/>
    <w:rsid w:val="00E92120"/>
    <w:rsid w:val="00E921C9"/>
    <w:rsid w:val="00E925B7"/>
    <w:rsid w:val="00E92714"/>
    <w:rsid w:val="00E9274D"/>
    <w:rsid w:val="00E928AC"/>
    <w:rsid w:val="00E92945"/>
    <w:rsid w:val="00E92998"/>
    <w:rsid w:val="00E92C98"/>
    <w:rsid w:val="00E92CE4"/>
    <w:rsid w:val="00E92D3A"/>
    <w:rsid w:val="00E92E7C"/>
    <w:rsid w:val="00E9300E"/>
    <w:rsid w:val="00E930B4"/>
    <w:rsid w:val="00E933F9"/>
    <w:rsid w:val="00E93470"/>
    <w:rsid w:val="00E93793"/>
    <w:rsid w:val="00E937AE"/>
    <w:rsid w:val="00E93C19"/>
    <w:rsid w:val="00E93E4A"/>
    <w:rsid w:val="00E93EB0"/>
    <w:rsid w:val="00E93EF9"/>
    <w:rsid w:val="00E9414B"/>
    <w:rsid w:val="00E944C9"/>
    <w:rsid w:val="00E9468F"/>
    <w:rsid w:val="00E9471D"/>
    <w:rsid w:val="00E94B49"/>
    <w:rsid w:val="00E94B76"/>
    <w:rsid w:val="00E94DAB"/>
    <w:rsid w:val="00E94E38"/>
    <w:rsid w:val="00E94FDA"/>
    <w:rsid w:val="00E95045"/>
    <w:rsid w:val="00E9512B"/>
    <w:rsid w:val="00E95203"/>
    <w:rsid w:val="00E95659"/>
    <w:rsid w:val="00E958CC"/>
    <w:rsid w:val="00E95A29"/>
    <w:rsid w:val="00E95A39"/>
    <w:rsid w:val="00E95D82"/>
    <w:rsid w:val="00E95DE3"/>
    <w:rsid w:val="00E961DA"/>
    <w:rsid w:val="00E9621C"/>
    <w:rsid w:val="00E962D0"/>
    <w:rsid w:val="00E962FE"/>
    <w:rsid w:val="00E96401"/>
    <w:rsid w:val="00E966CF"/>
    <w:rsid w:val="00E96796"/>
    <w:rsid w:val="00E96980"/>
    <w:rsid w:val="00E96B4E"/>
    <w:rsid w:val="00E96EF9"/>
    <w:rsid w:val="00E970D7"/>
    <w:rsid w:val="00E97216"/>
    <w:rsid w:val="00E97264"/>
    <w:rsid w:val="00E97307"/>
    <w:rsid w:val="00E9730B"/>
    <w:rsid w:val="00E973BF"/>
    <w:rsid w:val="00E973DC"/>
    <w:rsid w:val="00E973FB"/>
    <w:rsid w:val="00E9740B"/>
    <w:rsid w:val="00E975D4"/>
    <w:rsid w:val="00E9760F"/>
    <w:rsid w:val="00E97677"/>
    <w:rsid w:val="00E977A6"/>
    <w:rsid w:val="00E977FF"/>
    <w:rsid w:val="00E97827"/>
    <w:rsid w:val="00E97869"/>
    <w:rsid w:val="00E979B7"/>
    <w:rsid w:val="00E979EC"/>
    <w:rsid w:val="00E97BA5"/>
    <w:rsid w:val="00EA0117"/>
    <w:rsid w:val="00EA0152"/>
    <w:rsid w:val="00EA0175"/>
    <w:rsid w:val="00EA01DC"/>
    <w:rsid w:val="00EA0363"/>
    <w:rsid w:val="00EA0374"/>
    <w:rsid w:val="00EA03D5"/>
    <w:rsid w:val="00EA03F4"/>
    <w:rsid w:val="00EA0494"/>
    <w:rsid w:val="00EA0681"/>
    <w:rsid w:val="00EA07D4"/>
    <w:rsid w:val="00EA081F"/>
    <w:rsid w:val="00EA0EDB"/>
    <w:rsid w:val="00EA0F14"/>
    <w:rsid w:val="00EA0F1A"/>
    <w:rsid w:val="00EA0F3C"/>
    <w:rsid w:val="00EA0FB0"/>
    <w:rsid w:val="00EA10AA"/>
    <w:rsid w:val="00EA11DB"/>
    <w:rsid w:val="00EA1277"/>
    <w:rsid w:val="00EA1435"/>
    <w:rsid w:val="00EA14C3"/>
    <w:rsid w:val="00EA14D0"/>
    <w:rsid w:val="00EA153B"/>
    <w:rsid w:val="00EA1654"/>
    <w:rsid w:val="00EA19E2"/>
    <w:rsid w:val="00EA1AEE"/>
    <w:rsid w:val="00EA1B5F"/>
    <w:rsid w:val="00EA1C87"/>
    <w:rsid w:val="00EA1CF9"/>
    <w:rsid w:val="00EA1F23"/>
    <w:rsid w:val="00EA20E7"/>
    <w:rsid w:val="00EA2426"/>
    <w:rsid w:val="00EA2440"/>
    <w:rsid w:val="00EA2700"/>
    <w:rsid w:val="00EA2757"/>
    <w:rsid w:val="00EA2DAD"/>
    <w:rsid w:val="00EA30B6"/>
    <w:rsid w:val="00EA328A"/>
    <w:rsid w:val="00EA32CB"/>
    <w:rsid w:val="00EA34E4"/>
    <w:rsid w:val="00EA3533"/>
    <w:rsid w:val="00EA3A89"/>
    <w:rsid w:val="00EA3DA3"/>
    <w:rsid w:val="00EA3E50"/>
    <w:rsid w:val="00EA4152"/>
    <w:rsid w:val="00EA43B8"/>
    <w:rsid w:val="00EA464B"/>
    <w:rsid w:val="00EA4864"/>
    <w:rsid w:val="00EA492E"/>
    <w:rsid w:val="00EA4939"/>
    <w:rsid w:val="00EA4DC5"/>
    <w:rsid w:val="00EA4DDC"/>
    <w:rsid w:val="00EA4F03"/>
    <w:rsid w:val="00EA4F58"/>
    <w:rsid w:val="00EA509A"/>
    <w:rsid w:val="00EA510A"/>
    <w:rsid w:val="00EA51A7"/>
    <w:rsid w:val="00EA51BE"/>
    <w:rsid w:val="00EA5487"/>
    <w:rsid w:val="00EA5560"/>
    <w:rsid w:val="00EA59CA"/>
    <w:rsid w:val="00EA5B9D"/>
    <w:rsid w:val="00EA5BC8"/>
    <w:rsid w:val="00EA5DF1"/>
    <w:rsid w:val="00EA6043"/>
    <w:rsid w:val="00EA60DF"/>
    <w:rsid w:val="00EA61F7"/>
    <w:rsid w:val="00EA6414"/>
    <w:rsid w:val="00EA661F"/>
    <w:rsid w:val="00EA68E5"/>
    <w:rsid w:val="00EA6924"/>
    <w:rsid w:val="00EA6972"/>
    <w:rsid w:val="00EA6987"/>
    <w:rsid w:val="00EA6C37"/>
    <w:rsid w:val="00EA722B"/>
    <w:rsid w:val="00EA74E4"/>
    <w:rsid w:val="00EA7597"/>
    <w:rsid w:val="00EA7598"/>
    <w:rsid w:val="00EA75E8"/>
    <w:rsid w:val="00EA779C"/>
    <w:rsid w:val="00EA7A29"/>
    <w:rsid w:val="00EA7A62"/>
    <w:rsid w:val="00EA7A72"/>
    <w:rsid w:val="00EA7A80"/>
    <w:rsid w:val="00EA7BEB"/>
    <w:rsid w:val="00EA7FA5"/>
    <w:rsid w:val="00EB0066"/>
    <w:rsid w:val="00EB0167"/>
    <w:rsid w:val="00EB06DD"/>
    <w:rsid w:val="00EB0757"/>
    <w:rsid w:val="00EB0833"/>
    <w:rsid w:val="00EB0999"/>
    <w:rsid w:val="00EB0B77"/>
    <w:rsid w:val="00EB0BCB"/>
    <w:rsid w:val="00EB1039"/>
    <w:rsid w:val="00EB108C"/>
    <w:rsid w:val="00EB1267"/>
    <w:rsid w:val="00EB1490"/>
    <w:rsid w:val="00EB191D"/>
    <w:rsid w:val="00EB1ADC"/>
    <w:rsid w:val="00EB1BF4"/>
    <w:rsid w:val="00EB1C38"/>
    <w:rsid w:val="00EB2288"/>
    <w:rsid w:val="00EB2383"/>
    <w:rsid w:val="00EB242F"/>
    <w:rsid w:val="00EB2549"/>
    <w:rsid w:val="00EB258C"/>
    <w:rsid w:val="00EB26AB"/>
    <w:rsid w:val="00EB279C"/>
    <w:rsid w:val="00EB27B4"/>
    <w:rsid w:val="00EB2855"/>
    <w:rsid w:val="00EB28DB"/>
    <w:rsid w:val="00EB2D3A"/>
    <w:rsid w:val="00EB2E33"/>
    <w:rsid w:val="00EB2F08"/>
    <w:rsid w:val="00EB2F63"/>
    <w:rsid w:val="00EB2FA0"/>
    <w:rsid w:val="00EB307A"/>
    <w:rsid w:val="00EB30DA"/>
    <w:rsid w:val="00EB3229"/>
    <w:rsid w:val="00EB3253"/>
    <w:rsid w:val="00EB32F4"/>
    <w:rsid w:val="00EB3377"/>
    <w:rsid w:val="00EB3492"/>
    <w:rsid w:val="00EB3761"/>
    <w:rsid w:val="00EB3853"/>
    <w:rsid w:val="00EB3A55"/>
    <w:rsid w:val="00EB3B77"/>
    <w:rsid w:val="00EB3C1A"/>
    <w:rsid w:val="00EB3C99"/>
    <w:rsid w:val="00EB3CCB"/>
    <w:rsid w:val="00EB4033"/>
    <w:rsid w:val="00EB403A"/>
    <w:rsid w:val="00EB4065"/>
    <w:rsid w:val="00EB40BC"/>
    <w:rsid w:val="00EB423D"/>
    <w:rsid w:val="00EB46A7"/>
    <w:rsid w:val="00EB4808"/>
    <w:rsid w:val="00EB4B6A"/>
    <w:rsid w:val="00EB4BD5"/>
    <w:rsid w:val="00EB4CAA"/>
    <w:rsid w:val="00EB4F3F"/>
    <w:rsid w:val="00EB53F7"/>
    <w:rsid w:val="00EB5474"/>
    <w:rsid w:val="00EB54D3"/>
    <w:rsid w:val="00EB5512"/>
    <w:rsid w:val="00EB57AD"/>
    <w:rsid w:val="00EB57AE"/>
    <w:rsid w:val="00EB5B61"/>
    <w:rsid w:val="00EB5E70"/>
    <w:rsid w:val="00EB5F70"/>
    <w:rsid w:val="00EB5FE2"/>
    <w:rsid w:val="00EB60FD"/>
    <w:rsid w:val="00EB6191"/>
    <w:rsid w:val="00EB6402"/>
    <w:rsid w:val="00EB65BC"/>
    <w:rsid w:val="00EB66F5"/>
    <w:rsid w:val="00EB67F0"/>
    <w:rsid w:val="00EB6EC6"/>
    <w:rsid w:val="00EB7289"/>
    <w:rsid w:val="00EB75AD"/>
    <w:rsid w:val="00EB79AF"/>
    <w:rsid w:val="00EB7D32"/>
    <w:rsid w:val="00EB7D4C"/>
    <w:rsid w:val="00EB7D91"/>
    <w:rsid w:val="00EC00D0"/>
    <w:rsid w:val="00EC0292"/>
    <w:rsid w:val="00EC042F"/>
    <w:rsid w:val="00EC073D"/>
    <w:rsid w:val="00EC078E"/>
    <w:rsid w:val="00EC07A0"/>
    <w:rsid w:val="00EC09B7"/>
    <w:rsid w:val="00EC0A1C"/>
    <w:rsid w:val="00EC0FAB"/>
    <w:rsid w:val="00EC101B"/>
    <w:rsid w:val="00EC140A"/>
    <w:rsid w:val="00EC146E"/>
    <w:rsid w:val="00EC1D10"/>
    <w:rsid w:val="00EC2008"/>
    <w:rsid w:val="00EC2034"/>
    <w:rsid w:val="00EC211E"/>
    <w:rsid w:val="00EC227B"/>
    <w:rsid w:val="00EC227D"/>
    <w:rsid w:val="00EC23EE"/>
    <w:rsid w:val="00EC2733"/>
    <w:rsid w:val="00EC2900"/>
    <w:rsid w:val="00EC2A1C"/>
    <w:rsid w:val="00EC2A31"/>
    <w:rsid w:val="00EC2B6C"/>
    <w:rsid w:val="00EC2CB5"/>
    <w:rsid w:val="00EC2CD6"/>
    <w:rsid w:val="00EC2D9F"/>
    <w:rsid w:val="00EC2DB3"/>
    <w:rsid w:val="00EC2E5E"/>
    <w:rsid w:val="00EC3205"/>
    <w:rsid w:val="00EC33C6"/>
    <w:rsid w:val="00EC3487"/>
    <w:rsid w:val="00EC3B4E"/>
    <w:rsid w:val="00EC3CFB"/>
    <w:rsid w:val="00EC3F43"/>
    <w:rsid w:val="00EC41BC"/>
    <w:rsid w:val="00EC442E"/>
    <w:rsid w:val="00EC4483"/>
    <w:rsid w:val="00EC455C"/>
    <w:rsid w:val="00EC46AB"/>
    <w:rsid w:val="00EC4743"/>
    <w:rsid w:val="00EC47CE"/>
    <w:rsid w:val="00EC4878"/>
    <w:rsid w:val="00EC4BFA"/>
    <w:rsid w:val="00EC4DCB"/>
    <w:rsid w:val="00EC5114"/>
    <w:rsid w:val="00EC5440"/>
    <w:rsid w:val="00EC55A0"/>
    <w:rsid w:val="00EC5601"/>
    <w:rsid w:val="00EC56F1"/>
    <w:rsid w:val="00EC571C"/>
    <w:rsid w:val="00EC571E"/>
    <w:rsid w:val="00EC57C2"/>
    <w:rsid w:val="00EC584D"/>
    <w:rsid w:val="00EC5A26"/>
    <w:rsid w:val="00EC5B8E"/>
    <w:rsid w:val="00EC5FEF"/>
    <w:rsid w:val="00EC6037"/>
    <w:rsid w:val="00EC63EE"/>
    <w:rsid w:val="00EC64EE"/>
    <w:rsid w:val="00EC64F5"/>
    <w:rsid w:val="00EC6551"/>
    <w:rsid w:val="00EC65F0"/>
    <w:rsid w:val="00EC6693"/>
    <w:rsid w:val="00EC689C"/>
    <w:rsid w:val="00EC691D"/>
    <w:rsid w:val="00EC694E"/>
    <w:rsid w:val="00EC695A"/>
    <w:rsid w:val="00EC6A02"/>
    <w:rsid w:val="00EC6A06"/>
    <w:rsid w:val="00EC6B20"/>
    <w:rsid w:val="00EC6B64"/>
    <w:rsid w:val="00EC6CCF"/>
    <w:rsid w:val="00EC6CF3"/>
    <w:rsid w:val="00EC74BE"/>
    <w:rsid w:val="00EC7A13"/>
    <w:rsid w:val="00EC7D7F"/>
    <w:rsid w:val="00EC7E5C"/>
    <w:rsid w:val="00EC7FAF"/>
    <w:rsid w:val="00EC7FC3"/>
    <w:rsid w:val="00ED01E1"/>
    <w:rsid w:val="00ED0232"/>
    <w:rsid w:val="00ED02DC"/>
    <w:rsid w:val="00ED0365"/>
    <w:rsid w:val="00ED069B"/>
    <w:rsid w:val="00ED0750"/>
    <w:rsid w:val="00ED0955"/>
    <w:rsid w:val="00ED0B4D"/>
    <w:rsid w:val="00ED0D7E"/>
    <w:rsid w:val="00ED0DA6"/>
    <w:rsid w:val="00ED0EEC"/>
    <w:rsid w:val="00ED0F02"/>
    <w:rsid w:val="00ED11A8"/>
    <w:rsid w:val="00ED11C9"/>
    <w:rsid w:val="00ED1298"/>
    <w:rsid w:val="00ED14DD"/>
    <w:rsid w:val="00ED1563"/>
    <w:rsid w:val="00ED169A"/>
    <w:rsid w:val="00ED1707"/>
    <w:rsid w:val="00ED182A"/>
    <w:rsid w:val="00ED1EBC"/>
    <w:rsid w:val="00ED1F81"/>
    <w:rsid w:val="00ED210F"/>
    <w:rsid w:val="00ED21B8"/>
    <w:rsid w:val="00ED222E"/>
    <w:rsid w:val="00ED224A"/>
    <w:rsid w:val="00ED241A"/>
    <w:rsid w:val="00ED241E"/>
    <w:rsid w:val="00ED305D"/>
    <w:rsid w:val="00ED3065"/>
    <w:rsid w:val="00ED354F"/>
    <w:rsid w:val="00ED3670"/>
    <w:rsid w:val="00ED3916"/>
    <w:rsid w:val="00ED3BEF"/>
    <w:rsid w:val="00ED3CB6"/>
    <w:rsid w:val="00ED3E25"/>
    <w:rsid w:val="00ED411B"/>
    <w:rsid w:val="00ED42B3"/>
    <w:rsid w:val="00ED434E"/>
    <w:rsid w:val="00ED469D"/>
    <w:rsid w:val="00ED4795"/>
    <w:rsid w:val="00ED47D7"/>
    <w:rsid w:val="00ED47FF"/>
    <w:rsid w:val="00ED48E9"/>
    <w:rsid w:val="00ED4949"/>
    <w:rsid w:val="00ED49C7"/>
    <w:rsid w:val="00ED4A9E"/>
    <w:rsid w:val="00ED4C98"/>
    <w:rsid w:val="00ED53F2"/>
    <w:rsid w:val="00ED5499"/>
    <w:rsid w:val="00ED54AE"/>
    <w:rsid w:val="00ED56A0"/>
    <w:rsid w:val="00ED57D8"/>
    <w:rsid w:val="00ED59A3"/>
    <w:rsid w:val="00ED5BA5"/>
    <w:rsid w:val="00ED5BE2"/>
    <w:rsid w:val="00ED5D55"/>
    <w:rsid w:val="00ED5DE6"/>
    <w:rsid w:val="00ED5EDA"/>
    <w:rsid w:val="00ED5EF2"/>
    <w:rsid w:val="00ED624E"/>
    <w:rsid w:val="00ED62E9"/>
    <w:rsid w:val="00ED6695"/>
    <w:rsid w:val="00ED6815"/>
    <w:rsid w:val="00ED68ED"/>
    <w:rsid w:val="00ED6AD1"/>
    <w:rsid w:val="00ED6C67"/>
    <w:rsid w:val="00ED6D8B"/>
    <w:rsid w:val="00ED6F51"/>
    <w:rsid w:val="00ED6F8C"/>
    <w:rsid w:val="00ED7024"/>
    <w:rsid w:val="00ED7231"/>
    <w:rsid w:val="00ED7347"/>
    <w:rsid w:val="00ED75CA"/>
    <w:rsid w:val="00ED7639"/>
    <w:rsid w:val="00ED767B"/>
    <w:rsid w:val="00ED76FD"/>
    <w:rsid w:val="00ED786D"/>
    <w:rsid w:val="00ED7AFE"/>
    <w:rsid w:val="00ED7B5F"/>
    <w:rsid w:val="00ED7BCA"/>
    <w:rsid w:val="00ED7E23"/>
    <w:rsid w:val="00EE00BF"/>
    <w:rsid w:val="00EE00E3"/>
    <w:rsid w:val="00EE0173"/>
    <w:rsid w:val="00EE0211"/>
    <w:rsid w:val="00EE05AF"/>
    <w:rsid w:val="00EE0624"/>
    <w:rsid w:val="00EE070B"/>
    <w:rsid w:val="00EE0A7B"/>
    <w:rsid w:val="00EE112D"/>
    <w:rsid w:val="00EE133D"/>
    <w:rsid w:val="00EE13FD"/>
    <w:rsid w:val="00EE14B1"/>
    <w:rsid w:val="00EE153E"/>
    <w:rsid w:val="00EE15C4"/>
    <w:rsid w:val="00EE1692"/>
    <w:rsid w:val="00EE16F1"/>
    <w:rsid w:val="00EE1725"/>
    <w:rsid w:val="00EE17E4"/>
    <w:rsid w:val="00EE184D"/>
    <w:rsid w:val="00EE1868"/>
    <w:rsid w:val="00EE1ABE"/>
    <w:rsid w:val="00EE1C70"/>
    <w:rsid w:val="00EE1D7E"/>
    <w:rsid w:val="00EE2164"/>
    <w:rsid w:val="00EE2273"/>
    <w:rsid w:val="00EE22C8"/>
    <w:rsid w:val="00EE23A7"/>
    <w:rsid w:val="00EE258F"/>
    <w:rsid w:val="00EE266C"/>
    <w:rsid w:val="00EE26E0"/>
    <w:rsid w:val="00EE291A"/>
    <w:rsid w:val="00EE2967"/>
    <w:rsid w:val="00EE2FA1"/>
    <w:rsid w:val="00EE314C"/>
    <w:rsid w:val="00EE3C89"/>
    <w:rsid w:val="00EE3D4C"/>
    <w:rsid w:val="00EE3DE3"/>
    <w:rsid w:val="00EE3E13"/>
    <w:rsid w:val="00EE40A2"/>
    <w:rsid w:val="00EE4402"/>
    <w:rsid w:val="00EE4688"/>
    <w:rsid w:val="00EE46BD"/>
    <w:rsid w:val="00EE46F9"/>
    <w:rsid w:val="00EE4707"/>
    <w:rsid w:val="00EE473B"/>
    <w:rsid w:val="00EE481F"/>
    <w:rsid w:val="00EE483B"/>
    <w:rsid w:val="00EE486E"/>
    <w:rsid w:val="00EE4940"/>
    <w:rsid w:val="00EE498D"/>
    <w:rsid w:val="00EE4AFF"/>
    <w:rsid w:val="00EE4C0B"/>
    <w:rsid w:val="00EE4CCE"/>
    <w:rsid w:val="00EE5384"/>
    <w:rsid w:val="00EE5467"/>
    <w:rsid w:val="00EE5688"/>
    <w:rsid w:val="00EE56B0"/>
    <w:rsid w:val="00EE56EB"/>
    <w:rsid w:val="00EE5768"/>
    <w:rsid w:val="00EE5879"/>
    <w:rsid w:val="00EE5887"/>
    <w:rsid w:val="00EE59FA"/>
    <w:rsid w:val="00EE5CE0"/>
    <w:rsid w:val="00EE5E01"/>
    <w:rsid w:val="00EE5E3F"/>
    <w:rsid w:val="00EE5EC7"/>
    <w:rsid w:val="00EE5EF2"/>
    <w:rsid w:val="00EE5F2E"/>
    <w:rsid w:val="00EE6225"/>
    <w:rsid w:val="00EE62BB"/>
    <w:rsid w:val="00EE657F"/>
    <w:rsid w:val="00EE7051"/>
    <w:rsid w:val="00EE70A6"/>
    <w:rsid w:val="00EE7125"/>
    <w:rsid w:val="00EE771E"/>
    <w:rsid w:val="00EE7932"/>
    <w:rsid w:val="00EE7986"/>
    <w:rsid w:val="00EE79D1"/>
    <w:rsid w:val="00EE7CA5"/>
    <w:rsid w:val="00EE7E38"/>
    <w:rsid w:val="00EE7E4C"/>
    <w:rsid w:val="00EE7F3A"/>
    <w:rsid w:val="00EF0193"/>
    <w:rsid w:val="00EF026A"/>
    <w:rsid w:val="00EF0354"/>
    <w:rsid w:val="00EF03EF"/>
    <w:rsid w:val="00EF054C"/>
    <w:rsid w:val="00EF05B7"/>
    <w:rsid w:val="00EF063C"/>
    <w:rsid w:val="00EF0974"/>
    <w:rsid w:val="00EF0A82"/>
    <w:rsid w:val="00EF0D7B"/>
    <w:rsid w:val="00EF0F7E"/>
    <w:rsid w:val="00EF0FA7"/>
    <w:rsid w:val="00EF1028"/>
    <w:rsid w:val="00EF10F6"/>
    <w:rsid w:val="00EF10F7"/>
    <w:rsid w:val="00EF11BC"/>
    <w:rsid w:val="00EF11CB"/>
    <w:rsid w:val="00EF13A2"/>
    <w:rsid w:val="00EF1475"/>
    <w:rsid w:val="00EF1727"/>
    <w:rsid w:val="00EF18BF"/>
    <w:rsid w:val="00EF1C85"/>
    <w:rsid w:val="00EF1CC8"/>
    <w:rsid w:val="00EF1CE6"/>
    <w:rsid w:val="00EF1D63"/>
    <w:rsid w:val="00EF1DB9"/>
    <w:rsid w:val="00EF1F16"/>
    <w:rsid w:val="00EF2445"/>
    <w:rsid w:val="00EF2565"/>
    <w:rsid w:val="00EF2579"/>
    <w:rsid w:val="00EF25E5"/>
    <w:rsid w:val="00EF282C"/>
    <w:rsid w:val="00EF2A39"/>
    <w:rsid w:val="00EF2BD0"/>
    <w:rsid w:val="00EF2C07"/>
    <w:rsid w:val="00EF2C32"/>
    <w:rsid w:val="00EF2CF5"/>
    <w:rsid w:val="00EF3273"/>
    <w:rsid w:val="00EF339D"/>
    <w:rsid w:val="00EF375B"/>
    <w:rsid w:val="00EF379E"/>
    <w:rsid w:val="00EF3A01"/>
    <w:rsid w:val="00EF3B59"/>
    <w:rsid w:val="00EF3D9C"/>
    <w:rsid w:val="00EF3F0A"/>
    <w:rsid w:val="00EF3F31"/>
    <w:rsid w:val="00EF3FB9"/>
    <w:rsid w:val="00EF40F5"/>
    <w:rsid w:val="00EF4101"/>
    <w:rsid w:val="00EF4234"/>
    <w:rsid w:val="00EF4252"/>
    <w:rsid w:val="00EF45E5"/>
    <w:rsid w:val="00EF46B3"/>
    <w:rsid w:val="00EF495B"/>
    <w:rsid w:val="00EF4A22"/>
    <w:rsid w:val="00EF4A8F"/>
    <w:rsid w:val="00EF4D3D"/>
    <w:rsid w:val="00EF4D64"/>
    <w:rsid w:val="00EF4EA1"/>
    <w:rsid w:val="00EF5041"/>
    <w:rsid w:val="00EF51C1"/>
    <w:rsid w:val="00EF5352"/>
    <w:rsid w:val="00EF5584"/>
    <w:rsid w:val="00EF561A"/>
    <w:rsid w:val="00EF56B2"/>
    <w:rsid w:val="00EF583F"/>
    <w:rsid w:val="00EF5B84"/>
    <w:rsid w:val="00EF5C5C"/>
    <w:rsid w:val="00EF5DF6"/>
    <w:rsid w:val="00EF5EA3"/>
    <w:rsid w:val="00EF602C"/>
    <w:rsid w:val="00EF62B1"/>
    <w:rsid w:val="00EF6548"/>
    <w:rsid w:val="00EF65B3"/>
    <w:rsid w:val="00EF66CA"/>
    <w:rsid w:val="00EF6849"/>
    <w:rsid w:val="00EF6A4C"/>
    <w:rsid w:val="00EF6BF9"/>
    <w:rsid w:val="00EF6C78"/>
    <w:rsid w:val="00EF6E15"/>
    <w:rsid w:val="00EF6F36"/>
    <w:rsid w:val="00EF6FE3"/>
    <w:rsid w:val="00EF70D4"/>
    <w:rsid w:val="00EF7127"/>
    <w:rsid w:val="00EF712E"/>
    <w:rsid w:val="00EF7450"/>
    <w:rsid w:val="00EF758D"/>
    <w:rsid w:val="00EF7666"/>
    <w:rsid w:val="00EF76E8"/>
    <w:rsid w:val="00EF76FE"/>
    <w:rsid w:val="00EF7832"/>
    <w:rsid w:val="00EF78C4"/>
    <w:rsid w:val="00EF7AB7"/>
    <w:rsid w:val="00EF7BAD"/>
    <w:rsid w:val="00EF7CE5"/>
    <w:rsid w:val="00EF7F17"/>
    <w:rsid w:val="00EF7F45"/>
    <w:rsid w:val="00F00473"/>
    <w:rsid w:val="00F008A7"/>
    <w:rsid w:val="00F00947"/>
    <w:rsid w:val="00F00A48"/>
    <w:rsid w:val="00F00B43"/>
    <w:rsid w:val="00F00BEF"/>
    <w:rsid w:val="00F00D42"/>
    <w:rsid w:val="00F00FA3"/>
    <w:rsid w:val="00F01043"/>
    <w:rsid w:val="00F0112D"/>
    <w:rsid w:val="00F0137D"/>
    <w:rsid w:val="00F014BB"/>
    <w:rsid w:val="00F014EC"/>
    <w:rsid w:val="00F01702"/>
    <w:rsid w:val="00F017D7"/>
    <w:rsid w:val="00F01A81"/>
    <w:rsid w:val="00F01B39"/>
    <w:rsid w:val="00F01C71"/>
    <w:rsid w:val="00F01C7F"/>
    <w:rsid w:val="00F01D54"/>
    <w:rsid w:val="00F01D63"/>
    <w:rsid w:val="00F020BB"/>
    <w:rsid w:val="00F020FC"/>
    <w:rsid w:val="00F02191"/>
    <w:rsid w:val="00F0221F"/>
    <w:rsid w:val="00F02844"/>
    <w:rsid w:val="00F02930"/>
    <w:rsid w:val="00F02DC2"/>
    <w:rsid w:val="00F02E9D"/>
    <w:rsid w:val="00F03108"/>
    <w:rsid w:val="00F0310B"/>
    <w:rsid w:val="00F0312C"/>
    <w:rsid w:val="00F032F8"/>
    <w:rsid w:val="00F03350"/>
    <w:rsid w:val="00F03370"/>
    <w:rsid w:val="00F03531"/>
    <w:rsid w:val="00F03638"/>
    <w:rsid w:val="00F036B1"/>
    <w:rsid w:val="00F0390B"/>
    <w:rsid w:val="00F03933"/>
    <w:rsid w:val="00F039EE"/>
    <w:rsid w:val="00F03C14"/>
    <w:rsid w:val="00F03DFA"/>
    <w:rsid w:val="00F03FB3"/>
    <w:rsid w:val="00F0415C"/>
    <w:rsid w:val="00F04175"/>
    <w:rsid w:val="00F043E5"/>
    <w:rsid w:val="00F046D4"/>
    <w:rsid w:val="00F04724"/>
    <w:rsid w:val="00F0485E"/>
    <w:rsid w:val="00F0487F"/>
    <w:rsid w:val="00F04DC9"/>
    <w:rsid w:val="00F0521B"/>
    <w:rsid w:val="00F0531C"/>
    <w:rsid w:val="00F054FE"/>
    <w:rsid w:val="00F05529"/>
    <w:rsid w:val="00F05582"/>
    <w:rsid w:val="00F057F6"/>
    <w:rsid w:val="00F058CE"/>
    <w:rsid w:val="00F05A6B"/>
    <w:rsid w:val="00F05ABF"/>
    <w:rsid w:val="00F05CEB"/>
    <w:rsid w:val="00F05CF8"/>
    <w:rsid w:val="00F05E93"/>
    <w:rsid w:val="00F0630F"/>
    <w:rsid w:val="00F066FB"/>
    <w:rsid w:val="00F068CB"/>
    <w:rsid w:val="00F069F5"/>
    <w:rsid w:val="00F06C6A"/>
    <w:rsid w:val="00F06CA7"/>
    <w:rsid w:val="00F06D5B"/>
    <w:rsid w:val="00F06D86"/>
    <w:rsid w:val="00F06EAC"/>
    <w:rsid w:val="00F06FC4"/>
    <w:rsid w:val="00F0713C"/>
    <w:rsid w:val="00F07274"/>
    <w:rsid w:val="00F0727A"/>
    <w:rsid w:val="00F0728E"/>
    <w:rsid w:val="00F0735B"/>
    <w:rsid w:val="00F0763C"/>
    <w:rsid w:val="00F0778B"/>
    <w:rsid w:val="00F0788F"/>
    <w:rsid w:val="00F07899"/>
    <w:rsid w:val="00F07A9A"/>
    <w:rsid w:val="00F10162"/>
    <w:rsid w:val="00F1048C"/>
    <w:rsid w:val="00F10548"/>
    <w:rsid w:val="00F10607"/>
    <w:rsid w:val="00F1072F"/>
    <w:rsid w:val="00F107FD"/>
    <w:rsid w:val="00F10988"/>
    <w:rsid w:val="00F10A1E"/>
    <w:rsid w:val="00F10AAE"/>
    <w:rsid w:val="00F10AD1"/>
    <w:rsid w:val="00F10B91"/>
    <w:rsid w:val="00F11144"/>
    <w:rsid w:val="00F11276"/>
    <w:rsid w:val="00F11601"/>
    <w:rsid w:val="00F11820"/>
    <w:rsid w:val="00F1191E"/>
    <w:rsid w:val="00F11B21"/>
    <w:rsid w:val="00F11EA0"/>
    <w:rsid w:val="00F11EFB"/>
    <w:rsid w:val="00F1210A"/>
    <w:rsid w:val="00F124B8"/>
    <w:rsid w:val="00F124E7"/>
    <w:rsid w:val="00F12715"/>
    <w:rsid w:val="00F12813"/>
    <w:rsid w:val="00F1299B"/>
    <w:rsid w:val="00F12CC9"/>
    <w:rsid w:val="00F12E7B"/>
    <w:rsid w:val="00F13162"/>
    <w:rsid w:val="00F1334D"/>
    <w:rsid w:val="00F13710"/>
    <w:rsid w:val="00F139BA"/>
    <w:rsid w:val="00F139F8"/>
    <w:rsid w:val="00F13A53"/>
    <w:rsid w:val="00F13CBF"/>
    <w:rsid w:val="00F13DF5"/>
    <w:rsid w:val="00F13FF2"/>
    <w:rsid w:val="00F14042"/>
    <w:rsid w:val="00F142BD"/>
    <w:rsid w:val="00F143D7"/>
    <w:rsid w:val="00F147D5"/>
    <w:rsid w:val="00F14B01"/>
    <w:rsid w:val="00F14B58"/>
    <w:rsid w:val="00F14CA5"/>
    <w:rsid w:val="00F14D43"/>
    <w:rsid w:val="00F14E20"/>
    <w:rsid w:val="00F14ECD"/>
    <w:rsid w:val="00F14ED4"/>
    <w:rsid w:val="00F14FA5"/>
    <w:rsid w:val="00F1514A"/>
    <w:rsid w:val="00F1516E"/>
    <w:rsid w:val="00F15821"/>
    <w:rsid w:val="00F1586A"/>
    <w:rsid w:val="00F158B7"/>
    <w:rsid w:val="00F158E0"/>
    <w:rsid w:val="00F15AA4"/>
    <w:rsid w:val="00F15B39"/>
    <w:rsid w:val="00F15E12"/>
    <w:rsid w:val="00F15FC8"/>
    <w:rsid w:val="00F15FD5"/>
    <w:rsid w:val="00F16397"/>
    <w:rsid w:val="00F163DB"/>
    <w:rsid w:val="00F16725"/>
    <w:rsid w:val="00F16769"/>
    <w:rsid w:val="00F167FF"/>
    <w:rsid w:val="00F1683A"/>
    <w:rsid w:val="00F168A9"/>
    <w:rsid w:val="00F16B4D"/>
    <w:rsid w:val="00F16CDF"/>
    <w:rsid w:val="00F16ECF"/>
    <w:rsid w:val="00F16EFF"/>
    <w:rsid w:val="00F16F28"/>
    <w:rsid w:val="00F170F2"/>
    <w:rsid w:val="00F171B6"/>
    <w:rsid w:val="00F1736C"/>
    <w:rsid w:val="00F173E1"/>
    <w:rsid w:val="00F17534"/>
    <w:rsid w:val="00F17808"/>
    <w:rsid w:val="00F1780C"/>
    <w:rsid w:val="00F17835"/>
    <w:rsid w:val="00F17870"/>
    <w:rsid w:val="00F17913"/>
    <w:rsid w:val="00F179EC"/>
    <w:rsid w:val="00F17C92"/>
    <w:rsid w:val="00F17CE0"/>
    <w:rsid w:val="00F17DB1"/>
    <w:rsid w:val="00F17DB3"/>
    <w:rsid w:val="00F17DFA"/>
    <w:rsid w:val="00F17EFF"/>
    <w:rsid w:val="00F200D7"/>
    <w:rsid w:val="00F201A9"/>
    <w:rsid w:val="00F203B6"/>
    <w:rsid w:val="00F207FA"/>
    <w:rsid w:val="00F20851"/>
    <w:rsid w:val="00F2088C"/>
    <w:rsid w:val="00F208FC"/>
    <w:rsid w:val="00F20941"/>
    <w:rsid w:val="00F20C48"/>
    <w:rsid w:val="00F20D1C"/>
    <w:rsid w:val="00F20E24"/>
    <w:rsid w:val="00F20E26"/>
    <w:rsid w:val="00F211D3"/>
    <w:rsid w:val="00F2138B"/>
    <w:rsid w:val="00F213E1"/>
    <w:rsid w:val="00F21A2D"/>
    <w:rsid w:val="00F21AA4"/>
    <w:rsid w:val="00F22180"/>
    <w:rsid w:val="00F2220D"/>
    <w:rsid w:val="00F2230F"/>
    <w:rsid w:val="00F22319"/>
    <w:rsid w:val="00F22361"/>
    <w:rsid w:val="00F223D7"/>
    <w:rsid w:val="00F22683"/>
    <w:rsid w:val="00F226F9"/>
    <w:rsid w:val="00F22ABF"/>
    <w:rsid w:val="00F22BB8"/>
    <w:rsid w:val="00F22D2B"/>
    <w:rsid w:val="00F22E21"/>
    <w:rsid w:val="00F22E2C"/>
    <w:rsid w:val="00F22EDE"/>
    <w:rsid w:val="00F22EE4"/>
    <w:rsid w:val="00F2321E"/>
    <w:rsid w:val="00F23371"/>
    <w:rsid w:val="00F233B4"/>
    <w:rsid w:val="00F235D8"/>
    <w:rsid w:val="00F235DE"/>
    <w:rsid w:val="00F23A2B"/>
    <w:rsid w:val="00F23B16"/>
    <w:rsid w:val="00F23BBA"/>
    <w:rsid w:val="00F244A0"/>
    <w:rsid w:val="00F246A7"/>
    <w:rsid w:val="00F2474C"/>
    <w:rsid w:val="00F247B1"/>
    <w:rsid w:val="00F248AA"/>
    <w:rsid w:val="00F248DF"/>
    <w:rsid w:val="00F249BE"/>
    <w:rsid w:val="00F24A22"/>
    <w:rsid w:val="00F24B74"/>
    <w:rsid w:val="00F24EE0"/>
    <w:rsid w:val="00F24EE9"/>
    <w:rsid w:val="00F24F92"/>
    <w:rsid w:val="00F24F95"/>
    <w:rsid w:val="00F2516A"/>
    <w:rsid w:val="00F2521F"/>
    <w:rsid w:val="00F25369"/>
    <w:rsid w:val="00F253E8"/>
    <w:rsid w:val="00F257DB"/>
    <w:rsid w:val="00F257FC"/>
    <w:rsid w:val="00F2589C"/>
    <w:rsid w:val="00F25929"/>
    <w:rsid w:val="00F25B46"/>
    <w:rsid w:val="00F25C72"/>
    <w:rsid w:val="00F26066"/>
    <w:rsid w:val="00F2606A"/>
    <w:rsid w:val="00F260FC"/>
    <w:rsid w:val="00F26175"/>
    <w:rsid w:val="00F26303"/>
    <w:rsid w:val="00F263A6"/>
    <w:rsid w:val="00F263C4"/>
    <w:rsid w:val="00F263ED"/>
    <w:rsid w:val="00F26486"/>
    <w:rsid w:val="00F266AE"/>
    <w:rsid w:val="00F269DC"/>
    <w:rsid w:val="00F26B38"/>
    <w:rsid w:val="00F26CF5"/>
    <w:rsid w:val="00F26DDE"/>
    <w:rsid w:val="00F26E04"/>
    <w:rsid w:val="00F26E70"/>
    <w:rsid w:val="00F270E0"/>
    <w:rsid w:val="00F27175"/>
    <w:rsid w:val="00F271B0"/>
    <w:rsid w:val="00F27234"/>
    <w:rsid w:val="00F2757F"/>
    <w:rsid w:val="00F27595"/>
    <w:rsid w:val="00F27664"/>
    <w:rsid w:val="00F27752"/>
    <w:rsid w:val="00F27EE8"/>
    <w:rsid w:val="00F27F08"/>
    <w:rsid w:val="00F27F88"/>
    <w:rsid w:val="00F27FA8"/>
    <w:rsid w:val="00F30213"/>
    <w:rsid w:val="00F302C8"/>
    <w:rsid w:val="00F30396"/>
    <w:rsid w:val="00F303D5"/>
    <w:rsid w:val="00F304A0"/>
    <w:rsid w:val="00F304BE"/>
    <w:rsid w:val="00F309AA"/>
    <w:rsid w:val="00F30AAA"/>
    <w:rsid w:val="00F30B84"/>
    <w:rsid w:val="00F30DD4"/>
    <w:rsid w:val="00F31064"/>
    <w:rsid w:val="00F310B6"/>
    <w:rsid w:val="00F313CE"/>
    <w:rsid w:val="00F3168B"/>
    <w:rsid w:val="00F316B0"/>
    <w:rsid w:val="00F31778"/>
    <w:rsid w:val="00F31E1F"/>
    <w:rsid w:val="00F3212B"/>
    <w:rsid w:val="00F321B0"/>
    <w:rsid w:val="00F321C7"/>
    <w:rsid w:val="00F32349"/>
    <w:rsid w:val="00F3236A"/>
    <w:rsid w:val="00F32421"/>
    <w:rsid w:val="00F324B8"/>
    <w:rsid w:val="00F3277F"/>
    <w:rsid w:val="00F327C6"/>
    <w:rsid w:val="00F327DE"/>
    <w:rsid w:val="00F32822"/>
    <w:rsid w:val="00F32AA6"/>
    <w:rsid w:val="00F32B84"/>
    <w:rsid w:val="00F32C95"/>
    <w:rsid w:val="00F32DED"/>
    <w:rsid w:val="00F32EF2"/>
    <w:rsid w:val="00F32F1B"/>
    <w:rsid w:val="00F33069"/>
    <w:rsid w:val="00F330C7"/>
    <w:rsid w:val="00F3342C"/>
    <w:rsid w:val="00F33667"/>
    <w:rsid w:val="00F336EE"/>
    <w:rsid w:val="00F337DC"/>
    <w:rsid w:val="00F33CDB"/>
    <w:rsid w:val="00F33EAA"/>
    <w:rsid w:val="00F340B9"/>
    <w:rsid w:val="00F3416E"/>
    <w:rsid w:val="00F342A2"/>
    <w:rsid w:val="00F343D7"/>
    <w:rsid w:val="00F34525"/>
    <w:rsid w:val="00F346F0"/>
    <w:rsid w:val="00F348E7"/>
    <w:rsid w:val="00F34FC1"/>
    <w:rsid w:val="00F35287"/>
    <w:rsid w:val="00F35957"/>
    <w:rsid w:val="00F35990"/>
    <w:rsid w:val="00F35A12"/>
    <w:rsid w:val="00F35CE0"/>
    <w:rsid w:val="00F35F71"/>
    <w:rsid w:val="00F36016"/>
    <w:rsid w:val="00F3605A"/>
    <w:rsid w:val="00F360B7"/>
    <w:rsid w:val="00F360FE"/>
    <w:rsid w:val="00F3642B"/>
    <w:rsid w:val="00F366FF"/>
    <w:rsid w:val="00F3673D"/>
    <w:rsid w:val="00F36779"/>
    <w:rsid w:val="00F367AD"/>
    <w:rsid w:val="00F3710F"/>
    <w:rsid w:val="00F373AA"/>
    <w:rsid w:val="00F37402"/>
    <w:rsid w:val="00F37404"/>
    <w:rsid w:val="00F374CC"/>
    <w:rsid w:val="00F374F4"/>
    <w:rsid w:val="00F37562"/>
    <w:rsid w:val="00F37572"/>
    <w:rsid w:val="00F37795"/>
    <w:rsid w:val="00F378FA"/>
    <w:rsid w:val="00F379D4"/>
    <w:rsid w:val="00F37C64"/>
    <w:rsid w:val="00F37D2D"/>
    <w:rsid w:val="00F37D5B"/>
    <w:rsid w:val="00F4026A"/>
    <w:rsid w:val="00F402AD"/>
    <w:rsid w:val="00F403C4"/>
    <w:rsid w:val="00F40428"/>
    <w:rsid w:val="00F40526"/>
    <w:rsid w:val="00F408A2"/>
    <w:rsid w:val="00F40AA3"/>
    <w:rsid w:val="00F40B0E"/>
    <w:rsid w:val="00F40DE3"/>
    <w:rsid w:val="00F41015"/>
    <w:rsid w:val="00F41064"/>
    <w:rsid w:val="00F4144A"/>
    <w:rsid w:val="00F4151C"/>
    <w:rsid w:val="00F41A02"/>
    <w:rsid w:val="00F41A6A"/>
    <w:rsid w:val="00F41A85"/>
    <w:rsid w:val="00F41AF8"/>
    <w:rsid w:val="00F41B31"/>
    <w:rsid w:val="00F41D7B"/>
    <w:rsid w:val="00F41E93"/>
    <w:rsid w:val="00F42001"/>
    <w:rsid w:val="00F420CC"/>
    <w:rsid w:val="00F420F3"/>
    <w:rsid w:val="00F4220F"/>
    <w:rsid w:val="00F4223D"/>
    <w:rsid w:val="00F424C1"/>
    <w:rsid w:val="00F42862"/>
    <w:rsid w:val="00F428CC"/>
    <w:rsid w:val="00F429BD"/>
    <w:rsid w:val="00F42C2A"/>
    <w:rsid w:val="00F42D60"/>
    <w:rsid w:val="00F42E20"/>
    <w:rsid w:val="00F42F7B"/>
    <w:rsid w:val="00F42FEA"/>
    <w:rsid w:val="00F43381"/>
    <w:rsid w:val="00F43541"/>
    <w:rsid w:val="00F4376B"/>
    <w:rsid w:val="00F43995"/>
    <w:rsid w:val="00F43B00"/>
    <w:rsid w:val="00F43C53"/>
    <w:rsid w:val="00F43D01"/>
    <w:rsid w:val="00F43E36"/>
    <w:rsid w:val="00F43F39"/>
    <w:rsid w:val="00F4423A"/>
    <w:rsid w:val="00F442F1"/>
    <w:rsid w:val="00F442F6"/>
    <w:rsid w:val="00F44309"/>
    <w:rsid w:val="00F44702"/>
    <w:rsid w:val="00F4474D"/>
    <w:rsid w:val="00F447DD"/>
    <w:rsid w:val="00F4487D"/>
    <w:rsid w:val="00F44929"/>
    <w:rsid w:val="00F44991"/>
    <w:rsid w:val="00F44BCB"/>
    <w:rsid w:val="00F44E47"/>
    <w:rsid w:val="00F44F0A"/>
    <w:rsid w:val="00F45154"/>
    <w:rsid w:val="00F45686"/>
    <w:rsid w:val="00F4569D"/>
    <w:rsid w:val="00F456BA"/>
    <w:rsid w:val="00F45805"/>
    <w:rsid w:val="00F4585F"/>
    <w:rsid w:val="00F45977"/>
    <w:rsid w:val="00F45B7A"/>
    <w:rsid w:val="00F45BE7"/>
    <w:rsid w:val="00F45CFB"/>
    <w:rsid w:val="00F45DD9"/>
    <w:rsid w:val="00F45FDE"/>
    <w:rsid w:val="00F4605F"/>
    <w:rsid w:val="00F4607C"/>
    <w:rsid w:val="00F46621"/>
    <w:rsid w:val="00F46942"/>
    <w:rsid w:val="00F46ACB"/>
    <w:rsid w:val="00F46EAF"/>
    <w:rsid w:val="00F46F93"/>
    <w:rsid w:val="00F471B0"/>
    <w:rsid w:val="00F471DD"/>
    <w:rsid w:val="00F472AB"/>
    <w:rsid w:val="00F477F1"/>
    <w:rsid w:val="00F47B24"/>
    <w:rsid w:val="00F47BC6"/>
    <w:rsid w:val="00F47C6C"/>
    <w:rsid w:val="00F47D2E"/>
    <w:rsid w:val="00F47E2A"/>
    <w:rsid w:val="00F47E55"/>
    <w:rsid w:val="00F47ED4"/>
    <w:rsid w:val="00F47F99"/>
    <w:rsid w:val="00F501AE"/>
    <w:rsid w:val="00F50314"/>
    <w:rsid w:val="00F5032A"/>
    <w:rsid w:val="00F503AF"/>
    <w:rsid w:val="00F50488"/>
    <w:rsid w:val="00F505E5"/>
    <w:rsid w:val="00F5093B"/>
    <w:rsid w:val="00F509AB"/>
    <w:rsid w:val="00F509F0"/>
    <w:rsid w:val="00F50A45"/>
    <w:rsid w:val="00F50B76"/>
    <w:rsid w:val="00F50E28"/>
    <w:rsid w:val="00F50E7F"/>
    <w:rsid w:val="00F50E89"/>
    <w:rsid w:val="00F50EAD"/>
    <w:rsid w:val="00F50FF1"/>
    <w:rsid w:val="00F510DA"/>
    <w:rsid w:val="00F517B7"/>
    <w:rsid w:val="00F51882"/>
    <w:rsid w:val="00F518B5"/>
    <w:rsid w:val="00F519E8"/>
    <w:rsid w:val="00F51A69"/>
    <w:rsid w:val="00F51B74"/>
    <w:rsid w:val="00F51CF8"/>
    <w:rsid w:val="00F51DD8"/>
    <w:rsid w:val="00F51E0D"/>
    <w:rsid w:val="00F51E25"/>
    <w:rsid w:val="00F52211"/>
    <w:rsid w:val="00F52314"/>
    <w:rsid w:val="00F5242C"/>
    <w:rsid w:val="00F52782"/>
    <w:rsid w:val="00F52833"/>
    <w:rsid w:val="00F52B26"/>
    <w:rsid w:val="00F52B44"/>
    <w:rsid w:val="00F52B90"/>
    <w:rsid w:val="00F52BA9"/>
    <w:rsid w:val="00F52C2B"/>
    <w:rsid w:val="00F52D7F"/>
    <w:rsid w:val="00F53460"/>
    <w:rsid w:val="00F53757"/>
    <w:rsid w:val="00F5387F"/>
    <w:rsid w:val="00F538B1"/>
    <w:rsid w:val="00F538C4"/>
    <w:rsid w:val="00F53DAD"/>
    <w:rsid w:val="00F53E6B"/>
    <w:rsid w:val="00F53EA6"/>
    <w:rsid w:val="00F53F0A"/>
    <w:rsid w:val="00F5404E"/>
    <w:rsid w:val="00F540C6"/>
    <w:rsid w:val="00F5412D"/>
    <w:rsid w:val="00F54173"/>
    <w:rsid w:val="00F5441F"/>
    <w:rsid w:val="00F544A1"/>
    <w:rsid w:val="00F544E2"/>
    <w:rsid w:val="00F54848"/>
    <w:rsid w:val="00F54855"/>
    <w:rsid w:val="00F548DE"/>
    <w:rsid w:val="00F549DD"/>
    <w:rsid w:val="00F54A45"/>
    <w:rsid w:val="00F54ABE"/>
    <w:rsid w:val="00F54D71"/>
    <w:rsid w:val="00F55101"/>
    <w:rsid w:val="00F55125"/>
    <w:rsid w:val="00F55775"/>
    <w:rsid w:val="00F55802"/>
    <w:rsid w:val="00F5580F"/>
    <w:rsid w:val="00F5587D"/>
    <w:rsid w:val="00F55AB5"/>
    <w:rsid w:val="00F55AE4"/>
    <w:rsid w:val="00F55BA2"/>
    <w:rsid w:val="00F55CBE"/>
    <w:rsid w:val="00F55D9B"/>
    <w:rsid w:val="00F55EED"/>
    <w:rsid w:val="00F55FE6"/>
    <w:rsid w:val="00F56144"/>
    <w:rsid w:val="00F56301"/>
    <w:rsid w:val="00F565BC"/>
    <w:rsid w:val="00F5665D"/>
    <w:rsid w:val="00F569F4"/>
    <w:rsid w:val="00F56AFC"/>
    <w:rsid w:val="00F56B2F"/>
    <w:rsid w:val="00F56BEA"/>
    <w:rsid w:val="00F56C0A"/>
    <w:rsid w:val="00F56C97"/>
    <w:rsid w:val="00F56DFD"/>
    <w:rsid w:val="00F56F4A"/>
    <w:rsid w:val="00F57173"/>
    <w:rsid w:val="00F571D3"/>
    <w:rsid w:val="00F57243"/>
    <w:rsid w:val="00F57819"/>
    <w:rsid w:val="00F57A55"/>
    <w:rsid w:val="00F60116"/>
    <w:rsid w:val="00F6037C"/>
    <w:rsid w:val="00F607D3"/>
    <w:rsid w:val="00F609F3"/>
    <w:rsid w:val="00F60E2A"/>
    <w:rsid w:val="00F6126A"/>
    <w:rsid w:val="00F6134F"/>
    <w:rsid w:val="00F614B8"/>
    <w:rsid w:val="00F6150B"/>
    <w:rsid w:val="00F61926"/>
    <w:rsid w:val="00F619D9"/>
    <w:rsid w:val="00F61BA7"/>
    <w:rsid w:val="00F61BE8"/>
    <w:rsid w:val="00F61FA7"/>
    <w:rsid w:val="00F6204A"/>
    <w:rsid w:val="00F621B1"/>
    <w:rsid w:val="00F62216"/>
    <w:rsid w:val="00F62884"/>
    <w:rsid w:val="00F62931"/>
    <w:rsid w:val="00F629ED"/>
    <w:rsid w:val="00F62A20"/>
    <w:rsid w:val="00F62D3A"/>
    <w:rsid w:val="00F62DC8"/>
    <w:rsid w:val="00F63054"/>
    <w:rsid w:val="00F63113"/>
    <w:rsid w:val="00F632A8"/>
    <w:rsid w:val="00F633EF"/>
    <w:rsid w:val="00F63437"/>
    <w:rsid w:val="00F635F1"/>
    <w:rsid w:val="00F6375E"/>
    <w:rsid w:val="00F6376B"/>
    <w:rsid w:val="00F6387F"/>
    <w:rsid w:val="00F63888"/>
    <w:rsid w:val="00F638FC"/>
    <w:rsid w:val="00F63A05"/>
    <w:rsid w:val="00F63B3A"/>
    <w:rsid w:val="00F63EE0"/>
    <w:rsid w:val="00F64298"/>
    <w:rsid w:val="00F64472"/>
    <w:rsid w:val="00F64521"/>
    <w:rsid w:val="00F64687"/>
    <w:rsid w:val="00F6474F"/>
    <w:rsid w:val="00F6479D"/>
    <w:rsid w:val="00F648BD"/>
    <w:rsid w:val="00F648DD"/>
    <w:rsid w:val="00F64922"/>
    <w:rsid w:val="00F64B3F"/>
    <w:rsid w:val="00F64B9E"/>
    <w:rsid w:val="00F64DEC"/>
    <w:rsid w:val="00F64F7F"/>
    <w:rsid w:val="00F65046"/>
    <w:rsid w:val="00F65155"/>
    <w:rsid w:val="00F6517A"/>
    <w:rsid w:val="00F65632"/>
    <w:rsid w:val="00F659CC"/>
    <w:rsid w:val="00F65F2D"/>
    <w:rsid w:val="00F65FB4"/>
    <w:rsid w:val="00F66082"/>
    <w:rsid w:val="00F66221"/>
    <w:rsid w:val="00F6651B"/>
    <w:rsid w:val="00F667D6"/>
    <w:rsid w:val="00F66A04"/>
    <w:rsid w:val="00F66CEC"/>
    <w:rsid w:val="00F66EF5"/>
    <w:rsid w:val="00F670E3"/>
    <w:rsid w:val="00F6714D"/>
    <w:rsid w:val="00F67177"/>
    <w:rsid w:val="00F671FB"/>
    <w:rsid w:val="00F672B7"/>
    <w:rsid w:val="00F6746F"/>
    <w:rsid w:val="00F674B7"/>
    <w:rsid w:val="00F6775A"/>
    <w:rsid w:val="00F67864"/>
    <w:rsid w:val="00F67B1C"/>
    <w:rsid w:val="00F67B6C"/>
    <w:rsid w:val="00F67DAB"/>
    <w:rsid w:val="00F67EE3"/>
    <w:rsid w:val="00F67F8D"/>
    <w:rsid w:val="00F67FDE"/>
    <w:rsid w:val="00F67FE0"/>
    <w:rsid w:val="00F700EB"/>
    <w:rsid w:val="00F70410"/>
    <w:rsid w:val="00F70674"/>
    <w:rsid w:val="00F709DB"/>
    <w:rsid w:val="00F70A6B"/>
    <w:rsid w:val="00F70A8C"/>
    <w:rsid w:val="00F71244"/>
    <w:rsid w:val="00F716B7"/>
    <w:rsid w:val="00F716CA"/>
    <w:rsid w:val="00F71816"/>
    <w:rsid w:val="00F71846"/>
    <w:rsid w:val="00F7196C"/>
    <w:rsid w:val="00F71C0E"/>
    <w:rsid w:val="00F71C95"/>
    <w:rsid w:val="00F71CAB"/>
    <w:rsid w:val="00F71CE8"/>
    <w:rsid w:val="00F71E40"/>
    <w:rsid w:val="00F72061"/>
    <w:rsid w:val="00F72284"/>
    <w:rsid w:val="00F722FE"/>
    <w:rsid w:val="00F72465"/>
    <w:rsid w:val="00F72573"/>
    <w:rsid w:val="00F726AB"/>
    <w:rsid w:val="00F7273B"/>
    <w:rsid w:val="00F728BD"/>
    <w:rsid w:val="00F72C4D"/>
    <w:rsid w:val="00F72CFB"/>
    <w:rsid w:val="00F72D1C"/>
    <w:rsid w:val="00F72D2C"/>
    <w:rsid w:val="00F72E50"/>
    <w:rsid w:val="00F73083"/>
    <w:rsid w:val="00F73329"/>
    <w:rsid w:val="00F73603"/>
    <w:rsid w:val="00F739FB"/>
    <w:rsid w:val="00F73A38"/>
    <w:rsid w:val="00F741BA"/>
    <w:rsid w:val="00F7420F"/>
    <w:rsid w:val="00F7446B"/>
    <w:rsid w:val="00F7449E"/>
    <w:rsid w:val="00F744F8"/>
    <w:rsid w:val="00F74699"/>
    <w:rsid w:val="00F746F3"/>
    <w:rsid w:val="00F74718"/>
    <w:rsid w:val="00F74B5B"/>
    <w:rsid w:val="00F74C0F"/>
    <w:rsid w:val="00F74CA3"/>
    <w:rsid w:val="00F753BC"/>
    <w:rsid w:val="00F75460"/>
    <w:rsid w:val="00F757D3"/>
    <w:rsid w:val="00F758E8"/>
    <w:rsid w:val="00F75A19"/>
    <w:rsid w:val="00F75A86"/>
    <w:rsid w:val="00F75B20"/>
    <w:rsid w:val="00F75B51"/>
    <w:rsid w:val="00F75BAA"/>
    <w:rsid w:val="00F75BFE"/>
    <w:rsid w:val="00F75C89"/>
    <w:rsid w:val="00F75F6A"/>
    <w:rsid w:val="00F7611C"/>
    <w:rsid w:val="00F7612C"/>
    <w:rsid w:val="00F76158"/>
    <w:rsid w:val="00F7619A"/>
    <w:rsid w:val="00F76255"/>
    <w:rsid w:val="00F762F2"/>
    <w:rsid w:val="00F76639"/>
    <w:rsid w:val="00F769EE"/>
    <w:rsid w:val="00F76BB6"/>
    <w:rsid w:val="00F76BFF"/>
    <w:rsid w:val="00F76D5D"/>
    <w:rsid w:val="00F76DA5"/>
    <w:rsid w:val="00F770B8"/>
    <w:rsid w:val="00F7744B"/>
    <w:rsid w:val="00F77460"/>
    <w:rsid w:val="00F77575"/>
    <w:rsid w:val="00F775A6"/>
    <w:rsid w:val="00F77698"/>
    <w:rsid w:val="00F777BF"/>
    <w:rsid w:val="00F77AFE"/>
    <w:rsid w:val="00F77BDA"/>
    <w:rsid w:val="00F77D34"/>
    <w:rsid w:val="00F77DD1"/>
    <w:rsid w:val="00F77E50"/>
    <w:rsid w:val="00F77F75"/>
    <w:rsid w:val="00F803B3"/>
    <w:rsid w:val="00F803E9"/>
    <w:rsid w:val="00F8041A"/>
    <w:rsid w:val="00F80480"/>
    <w:rsid w:val="00F806B7"/>
    <w:rsid w:val="00F80706"/>
    <w:rsid w:val="00F80708"/>
    <w:rsid w:val="00F80B61"/>
    <w:rsid w:val="00F80CFD"/>
    <w:rsid w:val="00F81183"/>
    <w:rsid w:val="00F8118F"/>
    <w:rsid w:val="00F81315"/>
    <w:rsid w:val="00F8144B"/>
    <w:rsid w:val="00F81780"/>
    <w:rsid w:val="00F81954"/>
    <w:rsid w:val="00F819D5"/>
    <w:rsid w:val="00F81A5B"/>
    <w:rsid w:val="00F81BCE"/>
    <w:rsid w:val="00F81C7C"/>
    <w:rsid w:val="00F81CB8"/>
    <w:rsid w:val="00F81E24"/>
    <w:rsid w:val="00F8216B"/>
    <w:rsid w:val="00F82351"/>
    <w:rsid w:val="00F82454"/>
    <w:rsid w:val="00F826C1"/>
    <w:rsid w:val="00F826C8"/>
    <w:rsid w:val="00F8288B"/>
    <w:rsid w:val="00F82A20"/>
    <w:rsid w:val="00F82AAB"/>
    <w:rsid w:val="00F82EAD"/>
    <w:rsid w:val="00F8326C"/>
    <w:rsid w:val="00F832CD"/>
    <w:rsid w:val="00F83311"/>
    <w:rsid w:val="00F83513"/>
    <w:rsid w:val="00F835B8"/>
    <w:rsid w:val="00F839FE"/>
    <w:rsid w:val="00F83A52"/>
    <w:rsid w:val="00F83BD8"/>
    <w:rsid w:val="00F83CEE"/>
    <w:rsid w:val="00F83DA9"/>
    <w:rsid w:val="00F83E18"/>
    <w:rsid w:val="00F83F02"/>
    <w:rsid w:val="00F84004"/>
    <w:rsid w:val="00F84195"/>
    <w:rsid w:val="00F8433A"/>
    <w:rsid w:val="00F84351"/>
    <w:rsid w:val="00F84399"/>
    <w:rsid w:val="00F843EE"/>
    <w:rsid w:val="00F84526"/>
    <w:rsid w:val="00F847AD"/>
    <w:rsid w:val="00F849B4"/>
    <w:rsid w:val="00F84BFA"/>
    <w:rsid w:val="00F84FC7"/>
    <w:rsid w:val="00F85225"/>
    <w:rsid w:val="00F8524B"/>
    <w:rsid w:val="00F85337"/>
    <w:rsid w:val="00F85521"/>
    <w:rsid w:val="00F85556"/>
    <w:rsid w:val="00F857A0"/>
    <w:rsid w:val="00F857AD"/>
    <w:rsid w:val="00F858DA"/>
    <w:rsid w:val="00F859C0"/>
    <w:rsid w:val="00F85AA5"/>
    <w:rsid w:val="00F85BAD"/>
    <w:rsid w:val="00F85C8C"/>
    <w:rsid w:val="00F85D80"/>
    <w:rsid w:val="00F85E5F"/>
    <w:rsid w:val="00F85EA7"/>
    <w:rsid w:val="00F85EE2"/>
    <w:rsid w:val="00F85FEE"/>
    <w:rsid w:val="00F863A1"/>
    <w:rsid w:val="00F863E9"/>
    <w:rsid w:val="00F8689B"/>
    <w:rsid w:val="00F86A8A"/>
    <w:rsid w:val="00F86B76"/>
    <w:rsid w:val="00F86D2E"/>
    <w:rsid w:val="00F86DB1"/>
    <w:rsid w:val="00F86F03"/>
    <w:rsid w:val="00F86FC5"/>
    <w:rsid w:val="00F871BD"/>
    <w:rsid w:val="00F8723C"/>
    <w:rsid w:val="00F8757C"/>
    <w:rsid w:val="00F87601"/>
    <w:rsid w:val="00F87672"/>
    <w:rsid w:val="00F878FB"/>
    <w:rsid w:val="00F8796F"/>
    <w:rsid w:val="00F87A35"/>
    <w:rsid w:val="00F87BC8"/>
    <w:rsid w:val="00F87C5A"/>
    <w:rsid w:val="00F87C92"/>
    <w:rsid w:val="00F87E1E"/>
    <w:rsid w:val="00F87FC8"/>
    <w:rsid w:val="00F9004F"/>
    <w:rsid w:val="00F900CE"/>
    <w:rsid w:val="00F903E4"/>
    <w:rsid w:val="00F90467"/>
    <w:rsid w:val="00F90478"/>
    <w:rsid w:val="00F90512"/>
    <w:rsid w:val="00F9068A"/>
    <w:rsid w:val="00F90796"/>
    <w:rsid w:val="00F90C89"/>
    <w:rsid w:val="00F90DBF"/>
    <w:rsid w:val="00F90F01"/>
    <w:rsid w:val="00F910BC"/>
    <w:rsid w:val="00F911BF"/>
    <w:rsid w:val="00F9133A"/>
    <w:rsid w:val="00F913C7"/>
    <w:rsid w:val="00F9147E"/>
    <w:rsid w:val="00F9153C"/>
    <w:rsid w:val="00F915DA"/>
    <w:rsid w:val="00F91885"/>
    <w:rsid w:val="00F9194A"/>
    <w:rsid w:val="00F91A35"/>
    <w:rsid w:val="00F91EB6"/>
    <w:rsid w:val="00F9201E"/>
    <w:rsid w:val="00F921F9"/>
    <w:rsid w:val="00F92232"/>
    <w:rsid w:val="00F923EF"/>
    <w:rsid w:val="00F92534"/>
    <w:rsid w:val="00F927B6"/>
    <w:rsid w:val="00F928ED"/>
    <w:rsid w:val="00F929BF"/>
    <w:rsid w:val="00F92AB8"/>
    <w:rsid w:val="00F92B56"/>
    <w:rsid w:val="00F92C68"/>
    <w:rsid w:val="00F92DED"/>
    <w:rsid w:val="00F92DF8"/>
    <w:rsid w:val="00F92E4D"/>
    <w:rsid w:val="00F92F27"/>
    <w:rsid w:val="00F932BF"/>
    <w:rsid w:val="00F934A0"/>
    <w:rsid w:val="00F9354E"/>
    <w:rsid w:val="00F93568"/>
    <w:rsid w:val="00F93573"/>
    <w:rsid w:val="00F93713"/>
    <w:rsid w:val="00F9384A"/>
    <w:rsid w:val="00F938DE"/>
    <w:rsid w:val="00F93AE0"/>
    <w:rsid w:val="00F93DDF"/>
    <w:rsid w:val="00F93EED"/>
    <w:rsid w:val="00F93F4D"/>
    <w:rsid w:val="00F9425C"/>
    <w:rsid w:val="00F94477"/>
    <w:rsid w:val="00F945B2"/>
    <w:rsid w:val="00F94ACC"/>
    <w:rsid w:val="00F94C65"/>
    <w:rsid w:val="00F94C6C"/>
    <w:rsid w:val="00F94CD5"/>
    <w:rsid w:val="00F950BB"/>
    <w:rsid w:val="00F952F9"/>
    <w:rsid w:val="00F953CF"/>
    <w:rsid w:val="00F95527"/>
    <w:rsid w:val="00F955AE"/>
    <w:rsid w:val="00F95669"/>
    <w:rsid w:val="00F956E7"/>
    <w:rsid w:val="00F95718"/>
    <w:rsid w:val="00F95B7F"/>
    <w:rsid w:val="00F95DE7"/>
    <w:rsid w:val="00F95E45"/>
    <w:rsid w:val="00F95FF6"/>
    <w:rsid w:val="00F9611A"/>
    <w:rsid w:val="00F96710"/>
    <w:rsid w:val="00F96887"/>
    <w:rsid w:val="00F96CBC"/>
    <w:rsid w:val="00F96D53"/>
    <w:rsid w:val="00F96F57"/>
    <w:rsid w:val="00F96FD3"/>
    <w:rsid w:val="00F97272"/>
    <w:rsid w:val="00F97280"/>
    <w:rsid w:val="00F972B5"/>
    <w:rsid w:val="00F97A41"/>
    <w:rsid w:val="00F97CE3"/>
    <w:rsid w:val="00F97D09"/>
    <w:rsid w:val="00F97D24"/>
    <w:rsid w:val="00F97D51"/>
    <w:rsid w:val="00F97DCA"/>
    <w:rsid w:val="00F97E68"/>
    <w:rsid w:val="00F97EF2"/>
    <w:rsid w:val="00FA0215"/>
    <w:rsid w:val="00FA0334"/>
    <w:rsid w:val="00FA0491"/>
    <w:rsid w:val="00FA056F"/>
    <w:rsid w:val="00FA07DD"/>
    <w:rsid w:val="00FA0BA5"/>
    <w:rsid w:val="00FA0BCA"/>
    <w:rsid w:val="00FA0C23"/>
    <w:rsid w:val="00FA0C83"/>
    <w:rsid w:val="00FA0F86"/>
    <w:rsid w:val="00FA1152"/>
    <w:rsid w:val="00FA130C"/>
    <w:rsid w:val="00FA1325"/>
    <w:rsid w:val="00FA1630"/>
    <w:rsid w:val="00FA182B"/>
    <w:rsid w:val="00FA1BFD"/>
    <w:rsid w:val="00FA1E08"/>
    <w:rsid w:val="00FA1F0B"/>
    <w:rsid w:val="00FA1FA5"/>
    <w:rsid w:val="00FA2203"/>
    <w:rsid w:val="00FA2314"/>
    <w:rsid w:val="00FA23AF"/>
    <w:rsid w:val="00FA23F5"/>
    <w:rsid w:val="00FA250D"/>
    <w:rsid w:val="00FA2641"/>
    <w:rsid w:val="00FA28B4"/>
    <w:rsid w:val="00FA293A"/>
    <w:rsid w:val="00FA2B11"/>
    <w:rsid w:val="00FA2F17"/>
    <w:rsid w:val="00FA301B"/>
    <w:rsid w:val="00FA30DC"/>
    <w:rsid w:val="00FA3130"/>
    <w:rsid w:val="00FA33BC"/>
    <w:rsid w:val="00FA36DF"/>
    <w:rsid w:val="00FA374F"/>
    <w:rsid w:val="00FA3882"/>
    <w:rsid w:val="00FA3A1D"/>
    <w:rsid w:val="00FA3B4C"/>
    <w:rsid w:val="00FA3B67"/>
    <w:rsid w:val="00FA3C35"/>
    <w:rsid w:val="00FA3DD9"/>
    <w:rsid w:val="00FA413D"/>
    <w:rsid w:val="00FA414D"/>
    <w:rsid w:val="00FA41C6"/>
    <w:rsid w:val="00FA4284"/>
    <w:rsid w:val="00FA434E"/>
    <w:rsid w:val="00FA4375"/>
    <w:rsid w:val="00FA4377"/>
    <w:rsid w:val="00FA4472"/>
    <w:rsid w:val="00FA44A9"/>
    <w:rsid w:val="00FA4664"/>
    <w:rsid w:val="00FA4714"/>
    <w:rsid w:val="00FA4718"/>
    <w:rsid w:val="00FA4800"/>
    <w:rsid w:val="00FA49D0"/>
    <w:rsid w:val="00FA4A5C"/>
    <w:rsid w:val="00FA4A75"/>
    <w:rsid w:val="00FA4B3F"/>
    <w:rsid w:val="00FA4BF0"/>
    <w:rsid w:val="00FA4D02"/>
    <w:rsid w:val="00FA4DD7"/>
    <w:rsid w:val="00FA5211"/>
    <w:rsid w:val="00FA52B8"/>
    <w:rsid w:val="00FA54EB"/>
    <w:rsid w:val="00FA5802"/>
    <w:rsid w:val="00FA58FA"/>
    <w:rsid w:val="00FA593B"/>
    <w:rsid w:val="00FA5CF1"/>
    <w:rsid w:val="00FA5E75"/>
    <w:rsid w:val="00FA5F84"/>
    <w:rsid w:val="00FA60FC"/>
    <w:rsid w:val="00FA61B7"/>
    <w:rsid w:val="00FA634B"/>
    <w:rsid w:val="00FA6523"/>
    <w:rsid w:val="00FA670B"/>
    <w:rsid w:val="00FA6A0C"/>
    <w:rsid w:val="00FA6D9E"/>
    <w:rsid w:val="00FA6DA7"/>
    <w:rsid w:val="00FA710A"/>
    <w:rsid w:val="00FA72BE"/>
    <w:rsid w:val="00FA735E"/>
    <w:rsid w:val="00FA7440"/>
    <w:rsid w:val="00FA7612"/>
    <w:rsid w:val="00FA7A9F"/>
    <w:rsid w:val="00FA7B5B"/>
    <w:rsid w:val="00FA7CA1"/>
    <w:rsid w:val="00FA7DF9"/>
    <w:rsid w:val="00FA7E9C"/>
    <w:rsid w:val="00FB01BD"/>
    <w:rsid w:val="00FB02C4"/>
    <w:rsid w:val="00FB0533"/>
    <w:rsid w:val="00FB05FE"/>
    <w:rsid w:val="00FB070F"/>
    <w:rsid w:val="00FB0B0A"/>
    <w:rsid w:val="00FB0BC6"/>
    <w:rsid w:val="00FB0E0A"/>
    <w:rsid w:val="00FB123B"/>
    <w:rsid w:val="00FB14DA"/>
    <w:rsid w:val="00FB16AC"/>
    <w:rsid w:val="00FB16C2"/>
    <w:rsid w:val="00FB16D8"/>
    <w:rsid w:val="00FB1774"/>
    <w:rsid w:val="00FB19A1"/>
    <w:rsid w:val="00FB1CD5"/>
    <w:rsid w:val="00FB1F12"/>
    <w:rsid w:val="00FB20C2"/>
    <w:rsid w:val="00FB2164"/>
    <w:rsid w:val="00FB217D"/>
    <w:rsid w:val="00FB21BB"/>
    <w:rsid w:val="00FB26B8"/>
    <w:rsid w:val="00FB26E4"/>
    <w:rsid w:val="00FB2A77"/>
    <w:rsid w:val="00FB2C04"/>
    <w:rsid w:val="00FB2C4F"/>
    <w:rsid w:val="00FB2C7A"/>
    <w:rsid w:val="00FB2D98"/>
    <w:rsid w:val="00FB2F57"/>
    <w:rsid w:val="00FB3016"/>
    <w:rsid w:val="00FB345E"/>
    <w:rsid w:val="00FB3665"/>
    <w:rsid w:val="00FB3702"/>
    <w:rsid w:val="00FB3921"/>
    <w:rsid w:val="00FB39B4"/>
    <w:rsid w:val="00FB3B28"/>
    <w:rsid w:val="00FB3C51"/>
    <w:rsid w:val="00FB3DDA"/>
    <w:rsid w:val="00FB421A"/>
    <w:rsid w:val="00FB44D1"/>
    <w:rsid w:val="00FB44E1"/>
    <w:rsid w:val="00FB4541"/>
    <w:rsid w:val="00FB4581"/>
    <w:rsid w:val="00FB4660"/>
    <w:rsid w:val="00FB4789"/>
    <w:rsid w:val="00FB4822"/>
    <w:rsid w:val="00FB4F3D"/>
    <w:rsid w:val="00FB4FCB"/>
    <w:rsid w:val="00FB502E"/>
    <w:rsid w:val="00FB52B9"/>
    <w:rsid w:val="00FB5526"/>
    <w:rsid w:val="00FB55EC"/>
    <w:rsid w:val="00FB5612"/>
    <w:rsid w:val="00FB5625"/>
    <w:rsid w:val="00FB5670"/>
    <w:rsid w:val="00FB570C"/>
    <w:rsid w:val="00FB583D"/>
    <w:rsid w:val="00FB5A3B"/>
    <w:rsid w:val="00FB5E77"/>
    <w:rsid w:val="00FB5F63"/>
    <w:rsid w:val="00FB5FFF"/>
    <w:rsid w:val="00FB6134"/>
    <w:rsid w:val="00FB62BF"/>
    <w:rsid w:val="00FB6337"/>
    <w:rsid w:val="00FB67BE"/>
    <w:rsid w:val="00FB68C4"/>
    <w:rsid w:val="00FB69C9"/>
    <w:rsid w:val="00FB6A02"/>
    <w:rsid w:val="00FB6B13"/>
    <w:rsid w:val="00FB6C7E"/>
    <w:rsid w:val="00FB6DDF"/>
    <w:rsid w:val="00FB6F2D"/>
    <w:rsid w:val="00FB6FC8"/>
    <w:rsid w:val="00FB7B1A"/>
    <w:rsid w:val="00FB7C29"/>
    <w:rsid w:val="00FB7EE4"/>
    <w:rsid w:val="00FC027E"/>
    <w:rsid w:val="00FC02D2"/>
    <w:rsid w:val="00FC031F"/>
    <w:rsid w:val="00FC03DB"/>
    <w:rsid w:val="00FC04AB"/>
    <w:rsid w:val="00FC04B6"/>
    <w:rsid w:val="00FC05A8"/>
    <w:rsid w:val="00FC05F2"/>
    <w:rsid w:val="00FC0776"/>
    <w:rsid w:val="00FC088A"/>
    <w:rsid w:val="00FC0B0F"/>
    <w:rsid w:val="00FC0B2C"/>
    <w:rsid w:val="00FC0B70"/>
    <w:rsid w:val="00FC0BF1"/>
    <w:rsid w:val="00FC0F7F"/>
    <w:rsid w:val="00FC132D"/>
    <w:rsid w:val="00FC13C1"/>
    <w:rsid w:val="00FC16D0"/>
    <w:rsid w:val="00FC177F"/>
    <w:rsid w:val="00FC187D"/>
    <w:rsid w:val="00FC1A0A"/>
    <w:rsid w:val="00FC1B9A"/>
    <w:rsid w:val="00FC1C43"/>
    <w:rsid w:val="00FC1EBB"/>
    <w:rsid w:val="00FC2488"/>
    <w:rsid w:val="00FC2634"/>
    <w:rsid w:val="00FC283C"/>
    <w:rsid w:val="00FC28D1"/>
    <w:rsid w:val="00FC2B9B"/>
    <w:rsid w:val="00FC2CF0"/>
    <w:rsid w:val="00FC2F39"/>
    <w:rsid w:val="00FC32E8"/>
    <w:rsid w:val="00FC33D2"/>
    <w:rsid w:val="00FC354C"/>
    <w:rsid w:val="00FC35E1"/>
    <w:rsid w:val="00FC36E2"/>
    <w:rsid w:val="00FC3814"/>
    <w:rsid w:val="00FC397B"/>
    <w:rsid w:val="00FC39A7"/>
    <w:rsid w:val="00FC3AF8"/>
    <w:rsid w:val="00FC3E2E"/>
    <w:rsid w:val="00FC3EFB"/>
    <w:rsid w:val="00FC4070"/>
    <w:rsid w:val="00FC4156"/>
    <w:rsid w:val="00FC4460"/>
    <w:rsid w:val="00FC45AB"/>
    <w:rsid w:val="00FC4764"/>
    <w:rsid w:val="00FC4790"/>
    <w:rsid w:val="00FC4AAC"/>
    <w:rsid w:val="00FC4AE2"/>
    <w:rsid w:val="00FC4BAB"/>
    <w:rsid w:val="00FC4DF8"/>
    <w:rsid w:val="00FC4EC2"/>
    <w:rsid w:val="00FC4FAB"/>
    <w:rsid w:val="00FC5002"/>
    <w:rsid w:val="00FC5188"/>
    <w:rsid w:val="00FC51ED"/>
    <w:rsid w:val="00FC522F"/>
    <w:rsid w:val="00FC581D"/>
    <w:rsid w:val="00FC58BC"/>
    <w:rsid w:val="00FC5B2C"/>
    <w:rsid w:val="00FC5B64"/>
    <w:rsid w:val="00FC5BDB"/>
    <w:rsid w:val="00FC5C55"/>
    <w:rsid w:val="00FC5CB3"/>
    <w:rsid w:val="00FC5DAE"/>
    <w:rsid w:val="00FC5DF9"/>
    <w:rsid w:val="00FC5F54"/>
    <w:rsid w:val="00FC5FF1"/>
    <w:rsid w:val="00FC61BE"/>
    <w:rsid w:val="00FC6341"/>
    <w:rsid w:val="00FC6474"/>
    <w:rsid w:val="00FC64BE"/>
    <w:rsid w:val="00FC6585"/>
    <w:rsid w:val="00FC65CB"/>
    <w:rsid w:val="00FC6742"/>
    <w:rsid w:val="00FC677A"/>
    <w:rsid w:val="00FC68D3"/>
    <w:rsid w:val="00FC68FA"/>
    <w:rsid w:val="00FC6C1D"/>
    <w:rsid w:val="00FC6E7B"/>
    <w:rsid w:val="00FC6ED8"/>
    <w:rsid w:val="00FC6FED"/>
    <w:rsid w:val="00FC7097"/>
    <w:rsid w:val="00FC7181"/>
    <w:rsid w:val="00FC72F3"/>
    <w:rsid w:val="00FC75C3"/>
    <w:rsid w:val="00FC765F"/>
    <w:rsid w:val="00FC7691"/>
    <w:rsid w:val="00FC77E3"/>
    <w:rsid w:val="00FC78E3"/>
    <w:rsid w:val="00FC7960"/>
    <w:rsid w:val="00FC79DA"/>
    <w:rsid w:val="00FC7ACE"/>
    <w:rsid w:val="00FC7D1C"/>
    <w:rsid w:val="00FC7DED"/>
    <w:rsid w:val="00FD031E"/>
    <w:rsid w:val="00FD044E"/>
    <w:rsid w:val="00FD0469"/>
    <w:rsid w:val="00FD06DB"/>
    <w:rsid w:val="00FD071B"/>
    <w:rsid w:val="00FD07A1"/>
    <w:rsid w:val="00FD086B"/>
    <w:rsid w:val="00FD08F6"/>
    <w:rsid w:val="00FD092A"/>
    <w:rsid w:val="00FD0D56"/>
    <w:rsid w:val="00FD0DB2"/>
    <w:rsid w:val="00FD0FE9"/>
    <w:rsid w:val="00FD1152"/>
    <w:rsid w:val="00FD115C"/>
    <w:rsid w:val="00FD12B0"/>
    <w:rsid w:val="00FD135A"/>
    <w:rsid w:val="00FD1376"/>
    <w:rsid w:val="00FD1995"/>
    <w:rsid w:val="00FD19B1"/>
    <w:rsid w:val="00FD1AAA"/>
    <w:rsid w:val="00FD1CB8"/>
    <w:rsid w:val="00FD1D0C"/>
    <w:rsid w:val="00FD1D45"/>
    <w:rsid w:val="00FD1D91"/>
    <w:rsid w:val="00FD1ECF"/>
    <w:rsid w:val="00FD1FD8"/>
    <w:rsid w:val="00FD207F"/>
    <w:rsid w:val="00FD2147"/>
    <w:rsid w:val="00FD218A"/>
    <w:rsid w:val="00FD2407"/>
    <w:rsid w:val="00FD2428"/>
    <w:rsid w:val="00FD2502"/>
    <w:rsid w:val="00FD252B"/>
    <w:rsid w:val="00FD2557"/>
    <w:rsid w:val="00FD2583"/>
    <w:rsid w:val="00FD25F3"/>
    <w:rsid w:val="00FD260C"/>
    <w:rsid w:val="00FD26B2"/>
    <w:rsid w:val="00FD27C3"/>
    <w:rsid w:val="00FD2A60"/>
    <w:rsid w:val="00FD2B71"/>
    <w:rsid w:val="00FD2B76"/>
    <w:rsid w:val="00FD2C3C"/>
    <w:rsid w:val="00FD2C4E"/>
    <w:rsid w:val="00FD2C4F"/>
    <w:rsid w:val="00FD2C94"/>
    <w:rsid w:val="00FD2EA8"/>
    <w:rsid w:val="00FD3174"/>
    <w:rsid w:val="00FD3491"/>
    <w:rsid w:val="00FD35C1"/>
    <w:rsid w:val="00FD361C"/>
    <w:rsid w:val="00FD373F"/>
    <w:rsid w:val="00FD3745"/>
    <w:rsid w:val="00FD3A7D"/>
    <w:rsid w:val="00FD3AE3"/>
    <w:rsid w:val="00FD3B35"/>
    <w:rsid w:val="00FD3BDD"/>
    <w:rsid w:val="00FD3FE3"/>
    <w:rsid w:val="00FD44A9"/>
    <w:rsid w:val="00FD44CD"/>
    <w:rsid w:val="00FD453F"/>
    <w:rsid w:val="00FD47CF"/>
    <w:rsid w:val="00FD488C"/>
    <w:rsid w:val="00FD490E"/>
    <w:rsid w:val="00FD4A1E"/>
    <w:rsid w:val="00FD4ADC"/>
    <w:rsid w:val="00FD4AFA"/>
    <w:rsid w:val="00FD528B"/>
    <w:rsid w:val="00FD57FB"/>
    <w:rsid w:val="00FD5AE1"/>
    <w:rsid w:val="00FD5C9F"/>
    <w:rsid w:val="00FD5CCA"/>
    <w:rsid w:val="00FD5CFE"/>
    <w:rsid w:val="00FD5D4A"/>
    <w:rsid w:val="00FD5F53"/>
    <w:rsid w:val="00FD6114"/>
    <w:rsid w:val="00FD63FF"/>
    <w:rsid w:val="00FD6471"/>
    <w:rsid w:val="00FD6713"/>
    <w:rsid w:val="00FD6817"/>
    <w:rsid w:val="00FD6B9B"/>
    <w:rsid w:val="00FD6BB9"/>
    <w:rsid w:val="00FD6C5A"/>
    <w:rsid w:val="00FD6D77"/>
    <w:rsid w:val="00FD6F4D"/>
    <w:rsid w:val="00FD6F73"/>
    <w:rsid w:val="00FD6F8A"/>
    <w:rsid w:val="00FD6FAB"/>
    <w:rsid w:val="00FD70B2"/>
    <w:rsid w:val="00FD70C1"/>
    <w:rsid w:val="00FD71BE"/>
    <w:rsid w:val="00FD7237"/>
    <w:rsid w:val="00FD74C6"/>
    <w:rsid w:val="00FD74C8"/>
    <w:rsid w:val="00FD75AB"/>
    <w:rsid w:val="00FD776F"/>
    <w:rsid w:val="00FD795C"/>
    <w:rsid w:val="00FD7A1B"/>
    <w:rsid w:val="00FD7BB2"/>
    <w:rsid w:val="00FE00F1"/>
    <w:rsid w:val="00FE01E8"/>
    <w:rsid w:val="00FE0259"/>
    <w:rsid w:val="00FE04DF"/>
    <w:rsid w:val="00FE0A23"/>
    <w:rsid w:val="00FE0C6C"/>
    <w:rsid w:val="00FE0D48"/>
    <w:rsid w:val="00FE0DD4"/>
    <w:rsid w:val="00FE0EC8"/>
    <w:rsid w:val="00FE1584"/>
    <w:rsid w:val="00FE1A34"/>
    <w:rsid w:val="00FE1A9E"/>
    <w:rsid w:val="00FE1BEB"/>
    <w:rsid w:val="00FE1E5C"/>
    <w:rsid w:val="00FE1EA1"/>
    <w:rsid w:val="00FE2042"/>
    <w:rsid w:val="00FE21D2"/>
    <w:rsid w:val="00FE25D0"/>
    <w:rsid w:val="00FE26B7"/>
    <w:rsid w:val="00FE26D1"/>
    <w:rsid w:val="00FE2763"/>
    <w:rsid w:val="00FE27AC"/>
    <w:rsid w:val="00FE286B"/>
    <w:rsid w:val="00FE2FFB"/>
    <w:rsid w:val="00FE327C"/>
    <w:rsid w:val="00FE3386"/>
    <w:rsid w:val="00FE343E"/>
    <w:rsid w:val="00FE3686"/>
    <w:rsid w:val="00FE3768"/>
    <w:rsid w:val="00FE3872"/>
    <w:rsid w:val="00FE3B3A"/>
    <w:rsid w:val="00FE3B9C"/>
    <w:rsid w:val="00FE402A"/>
    <w:rsid w:val="00FE40DA"/>
    <w:rsid w:val="00FE411B"/>
    <w:rsid w:val="00FE4234"/>
    <w:rsid w:val="00FE42B9"/>
    <w:rsid w:val="00FE43C9"/>
    <w:rsid w:val="00FE4484"/>
    <w:rsid w:val="00FE45E5"/>
    <w:rsid w:val="00FE47B4"/>
    <w:rsid w:val="00FE49F2"/>
    <w:rsid w:val="00FE4D26"/>
    <w:rsid w:val="00FE506E"/>
    <w:rsid w:val="00FE545B"/>
    <w:rsid w:val="00FE55C1"/>
    <w:rsid w:val="00FE5D8E"/>
    <w:rsid w:val="00FE5F60"/>
    <w:rsid w:val="00FE6049"/>
    <w:rsid w:val="00FE6061"/>
    <w:rsid w:val="00FE609E"/>
    <w:rsid w:val="00FE6134"/>
    <w:rsid w:val="00FE6324"/>
    <w:rsid w:val="00FE6579"/>
    <w:rsid w:val="00FE6623"/>
    <w:rsid w:val="00FE667B"/>
    <w:rsid w:val="00FE668B"/>
    <w:rsid w:val="00FE6A73"/>
    <w:rsid w:val="00FE6C88"/>
    <w:rsid w:val="00FE6DC6"/>
    <w:rsid w:val="00FE6E45"/>
    <w:rsid w:val="00FE70F4"/>
    <w:rsid w:val="00FE7125"/>
    <w:rsid w:val="00FE7196"/>
    <w:rsid w:val="00FE72C2"/>
    <w:rsid w:val="00FE7465"/>
    <w:rsid w:val="00FE78FC"/>
    <w:rsid w:val="00FE7BCB"/>
    <w:rsid w:val="00FE7C21"/>
    <w:rsid w:val="00FE7DBB"/>
    <w:rsid w:val="00FE7F6A"/>
    <w:rsid w:val="00FF014D"/>
    <w:rsid w:val="00FF0178"/>
    <w:rsid w:val="00FF0454"/>
    <w:rsid w:val="00FF04E9"/>
    <w:rsid w:val="00FF0595"/>
    <w:rsid w:val="00FF05DD"/>
    <w:rsid w:val="00FF064A"/>
    <w:rsid w:val="00FF06BD"/>
    <w:rsid w:val="00FF0732"/>
    <w:rsid w:val="00FF098B"/>
    <w:rsid w:val="00FF0A32"/>
    <w:rsid w:val="00FF0B30"/>
    <w:rsid w:val="00FF0C1E"/>
    <w:rsid w:val="00FF0CD5"/>
    <w:rsid w:val="00FF0FF6"/>
    <w:rsid w:val="00FF1175"/>
    <w:rsid w:val="00FF12FB"/>
    <w:rsid w:val="00FF13F0"/>
    <w:rsid w:val="00FF15AA"/>
    <w:rsid w:val="00FF172C"/>
    <w:rsid w:val="00FF1947"/>
    <w:rsid w:val="00FF1A7A"/>
    <w:rsid w:val="00FF1BB2"/>
    <w:rsid w:val="00FF1F0A"/>
    <w:rsid w:val="00FF21AB"/>
    <w:rsid w:val="00FF221F"/>
    <w:rsid w:val="00FF231A"/>
    <w:rsid w:val="00FF237D"/>
    <w:rsid w:val="00FF239F"/>
    <w:rsid w:val="00FF2413"/>
    <w:rsid w:val="00FF28C8"/>
    <w:rsid w:val="00FF29B7"/>
    <w:rsid w:val="00FF2A18"/>
    <w:rsid w:val="00FF2AC8"/>
    <w:rsid w:val="00FF2BD2"/>
    <w:rsid w:val="00FF2CB5"/>
    <w:rsid w:val="00FF326E"/>
    <w:rsid w:val="00FF3509"/>
    <w:rsid w:val="00FF3525"/>
    <w:rsid w:val="00FF359D"/>
    <w:rsid w:val="00FF35DC"/>
    <w:rsid w:val="00FF398A"/>
    <w:rsid w:val="00FF39BD"/>
    <w:rsid w:val="00FF39F1"/>
    <w:rsid w:val="00FF3CAC"/>
    <w:rsid w:val="00FF3D43"/>
    <w:rsid w:val="00FF3D5C"/>
    <w:rsid w:val="00FF4166"/>
    <w:rsid w:val="00FF4347"/>
    <w:rsid w:val="00FF47E9"/>
    <w:rsid w:val="00FF48BA"/>
    <w:rsid w:val="00FF4920"/>
    <w:rsid w:val="00FF4949"/>
    <w:rsid w:val="00FF4CD5"/>
    <w:rsid w:val="00FF4CD7"/>
    <w:rsid w:val="00FF4FC8"/>
    <w:rsid w:val="00FF50BD"/>
    <w:rsid w:val="00FF5107"/>
    <w:rsid w:val="00FF516E"/>
    <w:rsid w:val="00FF53E3"/>
    <w:rsid w:val="00FF5666"/>
    <w:rsid w:val="00FF56C8"/>
    <w:rsid w:val="00FF59C5"/>
    <w:rsid w:val="00FF59D2"/>
    <w:rsid w:val="00FF5AA3"/>
    <w:rsid w:val="00FF5C6B"/>
    <w:rsid w:val="00FF5E9B"/>
    <w:rsid w:val="00FF5E9E"/>
    <w:rsid w:val="00FF5FE8"/>
    <w:rsid w:val="00FF6314"/>
    <w:rsid w:val="00FF63D3"/>
    <w:rsid w:val="00FF6CE0"/>
    <w:rsid w:val="00FF6DE9"/>
    <w:rsid w:val="00FF6E7B"/>
    <w:rsid w:val="00FF6F22"/>
    <w:rsid w:val="00FF6F47"/>
    <w:rsid w:val="00FF6F99"/>
    <w:rsid w:val="00FF70D5"/>
    <w:rsid w:val="00FF7158"/>
    <w:rsid w:val="00FF72F9"/>
    <w:rsid w:val="00FF7333"/>
    <w:rsid w:val="00FF776D"/>
    <w:rsid w:val="00FF7783"/>
    <w:rsid w:val="00FF77C5"/>
    <w:rsid w:val="00FF7C40"/>
    <w:rsid w:val="00FF7CF3"/>
    <w:rsid w:val="00FF7D1F"/>
    <w:rsid w:val="00FF7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er" w:locked="1" w:semiHidden="0" w:uiPriority="0"/>
    <w:lsdException w:name="caption" w:locked="1" w:uiPriority="0" w:qFormat="1"/>
    <w:lsdException w:name="page number" w:locked="1" w:semiHidden="0" w:uiPriority="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735"/>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016B6"/>
    <w:rPr>
      <w:rFonts w:cs="Times New Roman"/>
      <w:color w:val="0000FF"/>
      <w:u w:val="none"/>
      <w:effect w:val="none"/>
    </w:rPr>
  </w:style>
  <w:style w:type="paragraph" w:styleId="Footer">
    <w:name w:val="footer"/>
    <w:basedOn w:val="Normal"/>
    <w:link w:val="FooterChar"/>
    <w:uiPriority w:val="99"/>
    <w:rsid w:val="00062A23"/>
    <w:pPr>
      <w:tabs>
        <w:tab w:val="center" w:pos="4320"/>
        <w:tab w:val="right" w:pos="8640"/>
      </w:tabs>
    </w:pPr>
    <w:rPr>
      <w:lang w:val="en-US" w:eastAsia="ja-JP"/>
    </w:rPr>
  </w:style>
  <w:style w:type="character" w:customStyle="1" w:styleId="FooterChar">
    <w:name w:val="Footer Char"/>
    <w:link w:val="Footer"/>
    <w:uiPriority w:val="99"/>
    <w:semiHidden/>
    <w:locked/>
    <w:rsid w:val="00D121BF"/>
    <w:rPr>
      <w:sz w:val="24"/>
    </w:rPr>
  </w:style>
  <w:style w:type="character" w:styleId="PageNumber">
    <w:name w:val="page number"/>
    <w:uiPriority w:val="99"/>
    <w:rsid w:val="00062A23"/>
    <w:rPr>
      <w:rFonts w:cs="Times New Roman"/>
    </w:rPr>
  </w:style>
  <w:style w:type="character" w:customStyle="1" w:styleId="text">
    <w:name w:val="text"/>
    <w:uiPriority w:val="99"/>
    <w:rsid w:val="00DD3C7B"/>
  </w:style>
  <w:style w:type="character" w:styleId="FollowedHyperlink">
    <w:name w:val="FollowedHyperlink"/>
    <w:uiPriority w:val="99"/>
    <w:rsid w:val="003E7D76"/>
    <w:rPr>
      <w:rFonts w:cs="Times New Roman"/>
      <w:color w:val="800080"/>
      <w:u w:val="single"/>
    </w:rPr>
  </w:style>
  <w:style w:type="paragraph" w:styleId="Header">
    <w:name w:val="header"/>
    <w:basedOn w:val="Normal"/>
    <w:link w:val="HeaderChar"/>
    <w:uiPriority w:val="99"/>
    <w:rsid w:val="007D167E"/>
    <w:pPr>
      <w:tabs>
        <w:tab w:val="center" w:pos="4320"/>
        <w:tab w:val="right" w:pos="8640"/>
      </w:tabs>
    </w:pPr>
    <w:rPr>
      <w:lang w:val="en-US" w:eastAsia="ja-JP"/>
    </w:rPr>
  </w:style>
  <w:style w:type="character" w:customStyle="1" w:styleId="HeaderChar">
    <w:name w:val="Header Char"/>
    <w:link w:val="Header"/>
    <w:uiPriority w:val="99"/>
    <w:semiHidden/>
    <w:locked/>
    <w:rsid w:val="00D121BF"/>
    <w:rPr>
      <w:sz w:val="24"/>
    </w:rPr>
  </w:style>
  <w:style w:type="character" w:customStyle="1" w:styleId="definition">
    <w:name w:val="definition"/>
    <w:uiPriority w:val="99"/>
    <w:rsid w:val="0050326D"/>
  </w:style>
  <w:style w:type="paragraph" w:styleId="ListParagraph">
    <w:name w:val="List Paragraph"/>
    <w:basedOn w:val="Normal"/>
    <w:uiPriority w:val="99"/>
    <w:qFormat/>
    <w:rsid w:val="0093669F"/>
    <w:pPr>
      <w:ind w:left="720"/>
    </w:pPr>
  </w:style>
  <w:style w:type="paragraph" w:styleId="BalloonText">
    <w:name w:val="Balloon Text"/>
    <w:basedOn w:val="Normal"/>
    <w:link w:val="BalloonTextChar"/>
    <w:uiPriority w:val="99"/>
    <w:rsid w:val="001E0BCC"/>
    <w:rPr>
      <w:rFonts w:ascii="Segoe UI" w:hAnsi="Segoe UI"/>
      <w:sz w:val="18"/>
      <w:szCs w:val="20"/>
      <w:lang w:val="en-US"/>
    </w:rPr>
  </w:style>
  <w:style w:type="character" w:customStyle="1" w:styleId="BalloonTextChar">
    <w:name w:val="Balloon Text Char"/>
    <w:link w:val="BalloonText"/>
    <w:uiPriority w:val="99"/>
    <w:locked/>
    <w:rsid w:val="001E0BCC"/>
    <w:rPr>
      <w:rFonts w:ascii="Segoe UI" w:hAnsi="Segoe UI"/>
      <w:sz w:val="18"/>
      <w:lang w:val="en-US" w:eastAsia="en-US"/>
    </w:rPr>
  </w:style>
  <w:style w:type="character" w:styleId="CommentReference">
    <w:name w:val="annotation reference"/>
    <w:uiPriority w:val="99"/>
    <w:semiHidden/>
    <w:rsid w:val="00AA135F"/>
    <w:rPr>
      <w:rFonts w:cs="Times New Roman"/>
      <w:sz w:val="16"/>
    </w:rPr>
  </w:style>
  <w:style w:type="paragraph" w:styleId="CommentText">
    <w:name w:val="annotation text"/>
    <w:basedOn w:val="Normal"/>
    <w:link w:val="CommentTextChar"/>
    <w:uiPriority w:val="99"/>
    <w:semiHidden/>
    <w:rsid w:val="00AA135F"/>
    <w:rPr>
      <w:sz w:val="20"/>
      <w:szCs w:val="20"/>
      <w:lang w:val="en-US" w:eastAsia="ja-JP"/>
    </w:rPr>
  </w:style>
  <w:style w:type="character" w:customStyle="1" w:styleId="CommentTextChar">
    <w:name w:val="Comment Text Char"/>
    <w:link w:val="CommentText"/>
    <w:uiPriority w:val="99"/>
    <w:semiHidden/>
    <w:locked/>
    <w:rsid w:val="00D121BF"/>
    <w:rPr>
      <w:sz w:val="20"/>
    </w:rPr>
  </w:style>
  <w:style w:type="paragraph" w:styleId="CommentSubject">
    <w:name w:val="annotation subject"/>
    <w:basedOn w:val="CommentText"/>
    <w:next w:val="CommentText"/>
    <w:link w:val="CommentSubjectChar"/>
    <w:uiPriority w:val="99"/>
    <w:semiHidden/>
    <w:rsid w:val="00AA135F"/>
    <w:rPr>
      <w:b/>
      <w:bCs/>
    </w:rPr>
  </w:style>
  <w:style w:type="character" w:customStyle="1" w:styleId="CommentSubjectChar">
    <w:name w:val="Comment Subject Char"/>
    <w:link w:val="CommentSubject"/>
    <w:uiPriority w:val="99"/>
    <w:semiHidden/>
    <w:locked/>
    <w:rsid w:val="00D121BF"/>
    <w:rPr>
      <w:b/>
      <w:sz w:val="20"/>
    </w:rPr>
  </w:style>
  <w:style w:type="table" w:styleId="TableGrid">
    <w:name w:val="Table Grid"/>
    <w:basedOn w:val="TableNormal"/>
    <w:uiPriority w:val="99"/>
    <w:locked/>
    <w:rsid w:val="00256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5E020C"/>
    <w:rPr>
      <w:rFonts w:ascii="Calibri" w:hAnsi="Calibri"/>
      <w:lang w:val="en-GB" w:eastAsia="en-GB"/>
    </w:rPr>
  </w:style>
  <w:style w:type="character" w:customStyle="1" w:styleId="NoSpacingChar">
    <w:name w:val="No Spacing Char"/>
    <w:link w:val="NoSpacing"/>
    <w:uiPriority w:val="99"/>
    <w:locked/>
    <w:rsid w:val="005E020C"/>
    <w:rPr>
      <w:rFonts w:ascii="Calibri" w:hAnsi="Calibri"/>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747677">
      <w:marLeft w:val="0"/>
      <w:marRight w:val="0"/>
      <w:marTop w:val="0"/>
      <w:marBottom w:val="0"/>
      <w:divBdr>
        <w:top w:val="none" w:sz="0" w:space="0" w:color="auto"/>
        <w:left w:val="none" w:sz="0" w:space="0" w:color="auto"/>
        <w:bottom w:val="none" w:sz="0" w:space="0" w:color="auto"/>
        <w:right w:val="none" w:sz="0" w:space="0" w:color="auto"/>
      </w:divBdr>
    </w:div>
    <w:div w:id="1865747678">
      <w:marLeft w:val="0"/>
      <w:marRight w:val="0"/>
      <w:marTop w:val="0"/>
      <w:marBottom w:val="0"/>
      <w:divBdr>
        <w:top w:val="none" w:sz="0" w:space="0" w:color="auto"/>
        <w:left w:val="none" w:sz="0" w:space="0" w:color="auto"/>
        <w:bottom w:val="none" w:sz="0" w:space="0" w:color="auto"/>
        <w:right w:val="none" w:sz="0" w:space="0" w:color="auto"/>
      </w:divBdr>
    </w:div>
    <w:div w:id="1865747679">
      <w:marLeft w:val="0"/>
      <w:marRight w:val="0"/>
      <w:marTop w:val="0"/>
      <w:marBottom w:val="0"/>
      <w:divBdr>
        <w:top w:val="none" w:sz="0" w:space="0" w:color="auto"/>
        <w:left w:val="none" w:sz="0" w:space="0" w:color="auto"/>
        <w:bottom w:val="none" w:sz="0" w:space="0" w:color="auto"/>
        <w:right w:val="none" w:sz="0" w:space="0" w:color="auto"/>
      </w:divBdr>
    </w:div>
    <w:div w:id="1865747680">
      <w:marLeft w:val="0"/>
      <w:marRight w:val="0"/>
      <w:marTop w:val="0"/>
      <w:marBottom w:val="0"/>
      <w:divBdr>
        <w:top w:val="none" w:sz="0" w:space="0" w:color="auto"/>
        <w:left w:val="none" w:sz="0" w:space="0" w:color="auto"/>
        <w:bottom w:val="none" w:sz="0" w:space="0" w:color="auto"/>
        <w:right w:val="none" w:sz="0" w:space="0" w:color="auto"/>
      </w:divBdr>
    </w:div>
    <w:div w:id="1865747681">
      <w:marLeft w:val="0"/>
      <w:marRight w:val="0"/>
      <w:marTop w:val="0"/>
      <w:marBottom w:val="0"/>
      <w:divBdr>
        <w:top w:val="none" w:sz="0" w:space="0" w:color="auto"/>
        <w:left w:val="none" w:sz="0" w:space="0" w:color="auto"/>
        <w:bottom w:val="none" w:sz="0" w:space="0" w:color="auto"/>
        <w:right w:val="none" w:sz="0" w:space="0" w:color="auto"/>
      </w:divBdr>
    </w:div>
    <w:div w:id="1865747682">
      <w:marLeft w:val="0"/>
      <w:marRight w:val="0"/>
      <w:marTop w:val="0"/>
      <w:marBottom w:val="0"/>
      <w:divBdr>
        <w:top w:val="none" w:sz="0" w:space="0" w:color="auto"/>
        <w:left w:val="none" w:sz="0" w:space="0" w:color="auto"/>
        <w:bottom w:val="none" w:sz="0" w:space="0" w:color="auto"/>
        <w:right w:val="none" w:sz="0" w:space="0" w:color="auto"/>
      </w:divBdr>
    </w:div>
    <w:div w:id="1865747683">
      <w:marLeft w:val="0"/>
      <w:marRight w:val="0"/>
      <w:marTop w:val="0"/>
      <w:marBottom w:val="0"/>
      <w:divBdr>
        <w:top w:val="none" w:sz="0" w:space="0" w:color="auto"/>
        <w:left w:val="none" w:sz="0" w:space="0" w:color="auto"/>
        <w:bottom w:val="none" w:sz="0" w:space="0" w:color="auto"/>
        <w:right w:val="none" w:sz="0" w:space="0" w:color="auto"/>
      </w:divBdr>
    </w:div>
    <w:div w:id="1865747684">
      <w:marLeft w:val="0"/>
      <w:marRight w:val="0"/>
      <w:marTop w:val="0"/>
      <w:marBottom w:val="0"/>
      <w:divBdr>
        <w:top w:val="none" w:sz="0" w:space="0" w:color="auto"/>
        <w:left w:val="none" w:sz="0" w:space="0" w:color="auto"/>
        <w:bottom w:val="none" w:sz="0" w:space="0" w:color="auto"/>
        <w:right w:val="none" w:sz="0" w:space="0" w:color="auto"/>
      </w:divBdr>
    </w:div>
    <w:div w:id="1865747685">
      <w:marLeft w:val="0"/>
      <w:marRight w:val="0"/>
      <w:marTop w:val="0"/>
      <w:marBottom w:val="0"/>
      <w:divBdr>
        <w:top w:val="none" w:sz="0" w:space="0" w:color="auto"/>
        <w:left w:val="none" w:sz="0" w:space="0" w:color="auto"/>
        <w:bottom w:val="none" w:sz="0" w:space="0" w:color="auto"/>
        <w:right w:val="none" w:sz="0" w:space="0" w:color="auto"/>
      </w:divBdr>
    </w:div>
    <w:div w:id="1865747686">
      <w:marLeft w:val="0"/>
      <w:marRight w:val="0"/>
      <w:marTop w:val="0"/>
      <w:marBottom w:val="0"/>
      <w:divBdr>
        <w:top w:val="none" w:sz="0" w:space="0" w:color="auto"/>
        <w:left w:val="none" w:sz="0" w:space="0" w:color="auto"/>
        <w:bottom w:val="none" w:sz="0" w:space="0" w:color="auto"/>
        <w:right w:val="none" w:sz="0" w:space="0" w:color="auto"/>
      </w:divBdr>
    </w:div>
    <w:div w:id="1865747687">
      <w:marLeft w:val="0"/>
      <w:marRight w:val="0"/>
      <w:marTop w:val="0"/>
      <w:marBottom w:val="0"/>
      <w:divBdr>
        <w:top w:val="none" w:sz="0" w:space="0" w:color="auto"/>
        <w:left w:val="none" w:sz="0" w:space="0" w:color="auto"/>
        <w:bottom w:val="none" w:sz="0" w:space="0" w:color="auto"/>
        <w:right w:val="none" w:sz="0" w:space="0" w:color="auto"/>
      </w:divBdr>
    </w:div>
    <w:div w:id="1865747688">
      <w:marLeft w:val="0"/>
      <w:marRight w:val="0"/>
      <w:marTop w:val="0"/>
      <w:marBottom w:val="0"/>
      <w:divBdr>
        <w:top w:val="none" w:sz="0" w:space="0" w:color="auto"/>
        <w:left w:val="none" w:sz="0" w:space="0" w:color="auto"/>
        <w:bottom w:val="none" w:sz="0" w:space="0" w:color="auto"/>
        <w:right w:val="none" w:sz="0" w:space="0" w:color="auto"/>
      </w:divBdr>
    </w:div>
    <w:div w:id="1865747689">
      <w:marLeft w:val="0"/>
      <w:marRight w:val="0"/>
      <w:marTop w:val="0"/>
      <w:marBottom w:val="0"/>
      <w:divBdr>
        <w:top w:val="none" w:sz="0" w:space="0" w:color="auto"/>
        <w:left w:val="none" w:sz="0" w:space="0" w:color="auto"/>
        <w:bottom w:val="none" w:sz="0" w:space="0" w:color="auto"/>
        <w:right w:val="none" w:sz="0" w:space="0" w:color="auto"/>
      </w:divBdr>
    </w:div>
    <w:div w:id="1865747690">
      <w:marLeft w:val="0"/>
      <w:marRight w:val="0"/>
      <w:marTop w:val="0"/>
      <w:marBottom w:val="0"/>
      <w:divBdr>
        <w:top w:val="none" w:sz="0" w:space="0" w:color="auto"/>
        <w:left w:val="none" w:sz="0" w:space="0" w:color="auto"/>
        <w:bottom w:val="none" w:sz="0" w:space="0" w:color="auto"/>
        <w:right w:val="none" w:sz="0" w:space="0" w:color="auto"/>
      </w:divBdr>
    </w:div>
    <w:div w:id="1865747691">
      <w:marLeft w:val="0"/>
      <w:marRight w:val="0"/>
      <w:marTop w:val="0"/>
      <w:marBottom w:val="0"/>
      <w:divBdr>
        <w:top w:val="none" w:sz="0" w:space="0" w:color="auto"/>
        <w:left w:val="none" w:sz="0" w:space="0" w:color="auto"/>
        <w:bottom w:val="none" w:sz="0" w:space="0" w:color="auto"/>
        <w:right w:val="none" w:sz="0" w:space="0" w:color="auto"/>
      </w:divBdr>
    </w:div>
    <w:div w:id="1865747692">
      <w:marLeft w:val="0"/>
      <w:marRight w:val="0"/>
      <w:marTop w:val="0"/>
      <w:marBottom w:val="0"/>
      <w:divBdr>
        <w:top w:val="none" w:sz="0" w:space="0" w:color="auto"/>
        <w:left w:val="none" w:sz="0" w:space="0" w:color="auto"/>
        <w:bottom w:val="none" w:sz="0" w:space="0" w:color="auto"/>
        <w:right w:val="none" w:sz="0" w:space="0" w:color="auto"/>
      </w:divBdr>
    </w:div>
    <w:div w:id="1865747693">
      <w:marLeft w:val="0"/>
      <w:marRight w:val="0"/>
      <w:marTop w:val="0"/>
      <w:marBottom w:val="0"/>
      <w:divBdr>
        <w:top w:val="none" w:sz="0" w:space="0" w:color="auto"/>
        <w:left w:val="none" w:sz="0" w:space="0" w:color="auto"/>
        <w:bottom w:val="none" w:sz="0" w:space="0" w:color="auto"/>
        <w:right w:val="none" w:sz="0" w:space="0" w:color="auto"/>
      </w:divBdr>
    </w:div>
    <w:div w:id="1865747694">
      <w:marLeft w:val="0"/>
      <w:marRight w:val="0"/>
      <w:marTop w:val="0"/>
      <w:marBottom w:val="0"/>
      <w:divBdr>
        <w:top w:val="none" w:sz="0" w:space="0" w:color="auto"/>
        <w:left w:val="none" w:sz="0" w:space="0" w:color="auto"/>
        <w:bottom w:val="none" w:sz="0" w:space="0" w:color="auto"/>
        <w:right w:val="none" w:sz="0" w:space="0" w:color="auto"/>
      </w:divBdr>
    </w:div>
    <w:div w:id="1865747695">
      <w:marLeft w:val="0"/>
      <w:marRight w:val="0"/>
      <w:marTop w:val="0"/>
      <w:marBottom w:val="0"/>
      <w:divBdr>
        <w:top w:val="none" w:sz="0" w:space="0" w:color="auto"/>
        <w:left w:val="none" w:sz="0" w:space="0" w:color="auto"/>
        <w:bottom w:val="none" w:sz="0" w:space="0" w:color="auto"/>
        <w:right w:val="none" w:sz="0" w:space="0" w:color="auto"/>
      </w:divBdr>
    </w:div>
    <w:div w:id="1865747696">
      <w:marLeft w:val="0"/>
      <w:marRight w:val="0"/>
      <w:marTop w:val="0"/>
      <w:marBottom w:val="0"/>
      <w:divBdr>
        <w:top w:val="none" w:sz="0" w:space="0" w:color="auto"/>
        <w:left w:val="none" w:sz="0" w:space="0" w:color="auto"/>
        <w:bottom w:val="none" w:sz="0" w:space="0" w:color="auto"/>
        <w:right w:val="none" w:sz="0" w:space="0" w:color="auto"/>
      </w:divBdr>
    </w:div>
    <w:div w:id="1865747697">
      <w:marLeft w:val="0"/>
      <w:marRight w:val="0"/>
      <w:marTop w:val="0"/>
      <w:marBottom w:val="0"/>
      <w:divBdr>
        <w:top w:val="none" w:sz="0" w:space="0" w:color="auto"/>
        <w:left w:val="none" w:sz="0" w:space="0" w:color="auto"/>
        <w:bottom w:val="none" w:sz="0" w:space="0" w:color="auto"/>
        <w:right w:val="none" w:sz="0" w:space="0" w:color="auto"/>
      </w:divBdr>
    </w:div>
    <w:div w:id="1865747698">
      <w:marLeft w:val="0"/>
      <w:marRight w:val="0"/>
      <w:marTop w:val="0"/>
      <w:marBottom w:val="0"/>
      <w:divBdr>
        <w:top w:val="none" w:sz="0" w:space="0" w:color="auto"/>
        <w:left w:val="none" w:sz="0" w:space="0" w:color="auto"/>
        <w:bottom w:val="none" w:sz="0" w:space="0" w:color="auto"/>
        <w:right w:val="none" w:sz="0" w:space="0" w:color="auto"/>
      </w:divBdr>
    </w:div>
    <w:div w:id="1865747699">
      <w:marLeft w:val="0"/>
      <w:marRight w:val="0"/>
      <w:marTop w:val="0"/>
      <w:marBottom w:val="0"/>
      <w:divBdr>
        <w:top w:val="none" w:sz="0" w:space="0" w:color="auto"/>
        <w:left w:val="none" w:sz="0" w:space="0" w:color="auto"/>
        <w:bottom w:val="none" w:sz="0" w:space="0" w:color="auto"/>
        <w:right w:val="none" w:sz="0" w:space="0" w:color="auto"/>
      </w:divBdr>
    </w:div>
    <w:div w:id="1865747700">
      <w:marLeft w:val="0"/>
      <w:marRight w:val="0"/>
      <w:marTop w:val="0"/>
      <w:marBottom w:val="0"/>
      <w:divBdr>
        <w:top w:val="none" w:sz="0" w:space="0" w:color="auto"/>
        <w:left w:val="none" w:sz="0" w:space="0" w:color="auto"/>
        <w:bottom w:val="none" w:sz="0" w:space="0" w:color="auto"/>
        <w:right w:val="none" w:sz="0" w:space="0" w:color="auto"/>
      </w:divBdr>
    </w:div>
    <w:div w:id="1865747701">
      <w:marLeft w:val="0"/>
      <w:marRight w:val="0"/>
      <w:marTop w:val="0"/>
      <w:marBottom w:val="0"/>
      <w:divBdr>
        <w:top w:val="none" w:sz="0" w:space="0" w:color="auto"/>
        <w:left w:val="none" w:sz="0" w:space="0" w:color="auto"/>
        <w:bottom w:val="none" w:sz="0" w:space="0" w:color="auto"/>
        <w:right w:val="none" w:sz="0" w:space="0" w:color="auto"/>
      </w:divBdr>
    </w:div>
    <w:div w:id="1865747702">
      <w:marLeft w:val="0"/>
      <w:marRight w:val="0"/>
      <w:marTop w:val="0"/>
      <w:marBottom w:val="0"/>
      <w:divBdr>
        <w:top w:val="none" w:sz="0" w:space="0" w:color="auto"/>
        <w:left w:val="none" w:sz="0" w:space="0" w:color="auto"/>
        <w:bottom w:val="none" w:sz="0" w:space="0" w:color="auto"/>
        <w:right w:val="none" w:sz="0" w:space="0" w:color="auto"/>
      </w:divBdr>
    </w:div>
    <w:div w:id="1865747703">
      <w:marLeft w:val="0"/>
      <w:marRight w:val="0"/>
      <w:marTop w:val="0"/>
      <w:marBottom w:val="0"/>
      <w:divBdr>
        <w:top w:val="none" w:sz="0" w:space="0" w:color="auto"/>
        <w:left w:val="none" w:sz="0" w:space="0" w:color="auto"/>
        <w:bottom w:val="none" w:sz="0" w:space="0" w:color="auto"/>
        <w:right w:val="none" w:sz="0" w:space="0" w:color="auto"/>
      </w:divBdr>
    </w:div>
    <w:div w:id="1865747704">
      <w:marLeft w:val="0"/>
      <w:marRight w:val="0"/>
      <w:marTop w:val="0"/>
      <w:marBottom w:val="0"/>
      <w:divBdr>
        <w:top w:val="none" w:sz="0" w:space="0" w:color="auto"/>
        <w:left w:val="none" w:sz="0" w:space="0" w:color="auto"/>
        <w:bottom w:val="none" w:sz="0" w:space="0" w:color="auto"/>
        <w:right w:val="none" w:sz="0" w:space="0" w:color="auto"/>
      </w:divBdr>
    </w:div>
    <w:div w:id="1865747705">
      <w:marLeft w:val="0"/>
      <w:marRight w:val="0"/>
      <w:marTop w:val="0"/>
      <w:marBottom w:val="0"/>
      <w:divBdr>
        <w:top w:val="none" w:sz="0" w:space="0" w:color="auto"/>
        <w:left w:val="none" w:sz="0" w:space="0" w:color="auto"/>
        <w:bottom w:val="none" w:sz="0" w:space="0" w:color="auto"/>
        <w:right w:val="none" w:sz="0" w:space="0" w:color="auto"/>
      </w:divBdr>
    </w:div>
    <w:div w:id="1865747706">
      <w:marLeft w:val="0"/>
      <w:marRight w:val="0"/>
      <w:marTop w:val="0"/>
      <w:marBottom w:val="0"/>
      <w:divBdr>
        <w:top w:val="none" w:sz="0" w:space="0" w:color="auto"/>
        <w:left w:val="none" w:sz="0" w:space="0" w:color="auto"/>
        <w:bottom w:val="none" w:sz="0" w:space="0" w:color="auto"/>
        <w:right w:val="none" w:sz="0" w:space="0" w:color="auto"/>
      </w:divBdr>
    </w:div>
    <w:div w:id="1865747707">
      <w:marLeft w:val="0"/>
      <w:marRight w:val="0"/>
      <w:marTop w:val="0"/>
      <w:marBottom w:val="0"/>
      <w:divBdr>
        <w:top w:val="none" w:sz="0" w:space="0" w:color="auto"/>
        <w:left w:val="none" w:sz="0" w:space="0" w:color="auto"/>
        <w:bottom w:val="none" w:sz="0" w:space="0" w:color="auto"/>
        <w:right w:val="none" w:sz="0" w:space="0" w:color="auto"/>
      </w:divBdr>
    </w:div>
    <w:div w:id="1865747708">
      <w:marLeft w:val="0"/>
      <w:marRight w:val="0"/>
      <w:marTop w:val="0"/>
      <w:marBottom w:val="0"/>
      <w:divBdr>
        <w:top w:val="none" w:sz="0" w:space="0" w:color="auto"/>
        <w:left w:val="none" w:sz="0" w:space="0" w:color="auto"/>
        <w:bottom w:val="none" w:sz="0" w:space="0" w:color="auto"/>
        <w:right w:val="none" w:sz="0" w:space="0" w:color="auto"/>
      </w:divBdr>
    </w:div>
    <w:div w:id="1865747709">
      <w:marLeft w:val="0"/>
      <w:marRight w:val="0"/>
      <w:marTop w:val="0"/>
      <w:marBottom w:val="0"/>
      <w:divBdr>
        <w:top w:val="none" w:sz="0" w:space="0" w:color="auto"/>
        <w:left w:val="none" w:sz="0" w:space="0" w:color="auto"/>
        <w:bottom w:val="none" w:sz="0" w:space="0" w:color="auto"/>
        <w:right w:val="none" w:sz="0" w:space="0" w:color="auto"/>
      </w:divBdr>
    </w:div>
    <w:div w:id="1865747710">
      <w:marLeft w:val="0"/>
      <w:marRight w:val="0"/>
      <w:marTop w:val="0"/>
      <w:marBottom w:val="0"/>
      <w:divBdr>
        <w:top w:val="none" w:sz="0" w:space="0" w:color="auto"/>
        <w:left w:val="none" w:sz="0" w:space="0" w:color="auto"/>
        <w:bottom w:val="none" w:sz="0" w:space="0" w:color="auto"/>
        <w:right w:val="none" w:sz="0" w:space="0" w:color="auto"/>
      </w:divBdr>
    </w:div>
    <w:div w:id="1865747711">
      <w:marLeft w:val="0"/>
      <w:marRight w:val="0"/>
      <w:marTop w:val="0"/>
      <w:marBottom w:val="0"/>
      <w:divBdr>
        <w:top w:val="none" w:sz="0" w:space="0" w:color="auto"/>
        <w:left w:val="none" w:sz="0" w:space="0" w:color="auto"/>
        <w:bottom w:val="none" w:sz="0" w:space="0" w:color="auto"/>
        <w:right w:val="none" w:sz="0" w:space="0" w:color="auto"/>
      </w:divBdr>
    </w:div>
    <w:div w:id="18657477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rcdatasrv01\Guidancenotes\Bulletin\2014\Bulletin%20(July%20to%20Dec%202014)\Methodology%20Manual\IFRS%2013%20-%20Fair%20Value%20Measurement.doc" TargetMode="External"/><Relationship Id="rId13" Type="http://schemas.openxmlformats.org/officeDocument/2006/relationships/footer" Target="footer1.xml"/><Relationship Id="rId1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ifrs.iasb.org/eifrs/stdcontent/2008_Bound_Volume/IAS24c_2004-12-16_en-3.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ifrs.iasb.org/eifrs/stdcontent/2008_Bound_Volume/IAS24c_2004-12-16_en-3.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ifrs.iasb.org/eifrs/stdcontent/2008_Bound_Volume/IAS17c_2005-08-18_en-3.html"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eifrs.iasb.org/eifrs/stdcontent/2008_Bound_Volume/IAS17c_2005-08-18_en-3.htm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0589A42DCACB4AA414BCC53A3B2812" ma:contentTypeVersion="1" ma:contentTypeDescription="Create a new document." ma:contentTypeScope="" ma:versionID="c63d93a18e59ee1c58bb623bfc12c7b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196E564-1911-499D-9D52-54ABA6AA429C}"/>
</file>

<file path=customXml/itemProps2.xml><?xml version="1.0" encoding="utf-8"?>
<ds:datastoreItem xmlns:ds="http://schemas.openxmlformats.org/officeDocument/2006/customXml" ds:itemID="{7B0AEA41-F82A-42BF-AF32-78DD4DA5A78C}"/>
</file>

<file path=customXml/itemProps3.xml><?xml version="1.0" encoding="utf-8"?>
<ds:datastoreItem xmlns:ds="http://schemas.openxmlformats.org/officeDocument/2006/customXml" ds:itemID="{7827A97E-3F13-4C8C-B687-0DF877A627BD}"/>
</file>

<file path=docProps/app.xml><?xml version="1.0" encoding="utf-8"?>
<Properties xmlns="http://schemas.openxmlformats.org/officeDocument/2006/extended-properties" xmlns:vt="http://schemas.openxmlformats.org/officeDocument/2006/docPropsVTypes">
  <Template>Normal</Template>
  <TotalTime>4465</TotalTime>
  <Pages>1</Pages>
  <Words>5575</Words>
  <Characters>31778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Financial Reporting Council</vt:lpstr>
    </vt:vector>
  </TitlesOfParts>
  <Company>.</Company>
  <LinksUpToDate>false</LinksUpToDate>
  <CharactersWithSpaces>37279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Reporting Council</dc:title>
  <dc:subject>Bulletin on Review of Annual Reports for the six months ended 30 June 2016</dc:subject>
  <dc:creator>frc.govmu.org</dc:creator>
  <cp:keywords/>
  <dc:description/>
  <cp:lastModifiedBy>DTranquille</cp:lastModifiedBy>
  <cp:revision>381</cp:revision>
  <cp:lastPrinted>2016-09-29T09:04:00Z</cp:lastPrinted>
  <dcterms:created xsi:type="dcterms:W3CDTF">2016-01-04T06:05:00Z</dcterms:created>
  <dcterms:modified xsi:type="dcterms:W3CDTF">2016-10-17T11:45:00Z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0x010100360589A42DCACB4AA414BCC53A3B2812</vt:lpwstr>
  </property>
  <property fmtid="{D5CDD505-2E9C-101B-9397-08002B2CF9AE}" pid="3" name="Order">
    <vt:r8>25500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