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C0" w:rsidRPr="00C35531" w:rsidRDefault="00EE67C0" w:rsidP="00BC15F9">
      <w:pPr>
        <w:jc w:val="center"/>
        <w:rPr>
          <w:rFonts w:ascii="Calibri" w:hAnsi="Calibri" w:cs="Arial"/>
          <w:b/>
          <w:sz w:val="32"/>
          <w:szCs w:val="32"/>
        </w:rPr>
      </w:pPr>
      <w:r w:rsidRPr="00C35531">
        <w:rPr>
          <w:rFonts w:ascii="Calibri" w:hAnsi="Calibri" w:cs="Arial"/>
          <w:b/>
          <w:sz w:val="32"/>
          <w:szCs w:val="32"/>
        </w:rPr>
        <w:t>Financial Reporting Council</w:t>
      </w:r>
    </w:p>
    <w:p w:rsidR="00EE67C0" w:rsidRPr="00C35531" w:rsidRDefault="00EE67C0" w:rsidP="00BC15F9">
      <w:pPr>
        <w:jc w:val="center"/>
        <w:rPr>
          <w:rFonts w:ascii="Calibri" w:hAnsi="Calibri" w:cs="Arial"/>
          <w:b/>
          <w:sz w:val="32"/>
          <w:szCs w:val="32"/>
        </w:rPr>
      </w:pPr>
    </w:p>
    <w:p w:rsidR="00EE67C0" w:rsidRPr="00C35531" w:rsidRDefault="00EE67C0"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lang w:val="en-GB"/>
        </w:rPr>
      </w:pPr>
      <w:r w:rsidRPr="00C35531">
        <w:rPr>
          <w:rFonts w:ascii="Calibri" w:hAnsi="Calibri" w:cs="Arial"/>
          <w:b/>
          <w:bCs/>
          <w:sz w:val="32"/>
          <w:szCs w:val="32"/>
          <w:lang w:val="en-GB"/>
        </w:rPr>
        <w:t>Bulletin on Review of Annual Reports</w:t>
      </w:r>
    </w:p>
    <w:p w:rsidR="00EE67C0" w:rsidRPr="00C35531" w:rsidRDefault="00EE67C0"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lang w:val="en-GB"/>
        </w:rPr>
      </w:pPr>
    </w:p>
    <w:p w:rsidR="00EE67C0" w:rsidRPr="00C35531" w:rsidRDefault="00EE67C0"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lang w:val="en-GB"/>
        </w:rPr>
      </w:pPr>
      <w:r w:rsidRPr="00C35531">
        <w:rPr>
          <w:rFonts w:ascii="Calibri" w:hAnsi="Calibri" w:cs="Arial"/>
          <w:b/>
          <w:bCs/>
          <w:sz w:val="32"/>
          <w:szCs w:val="32"/>
          <w:lang w:val="en-GB"/>
        </w:rPr>
        <w:t>for the six months ended 31 December 2014</w:t>
      </w:r>
    </w:p>
    <w:p w:rsidR="00EE67C0" w:rsidRPr="00C35531" w:rsidRDefault="00EE67C0" w:rsidP="00BC15F9">
      <w:pPr>
        <w:pBdr>
          <w:bottom w:val="single" w:sz="4" w:space="1" w:color="auto"/>
        </w:pBdr>
        <w:jc w:val="both"/>
        <w:rPr>
          <w:rFonts w:ascii="Calibri" w:hAnsi="Calibri" w:cs="Arial"/>
          <w:lang w:val="en-GB"/>
        </w:rPr>
      </w:pPr>
    </w:p>
    <w:p w:rsidR="00EE67C0" w:rsidRPr="00C35531" w:rsidRDefault="00EE67C0" w:rsidP="00BC15F9">
      <w:pPr>
        <w:jc w:val="both"/>
        <w:rPr>
          <w:rFonts w:ascii="Calibri" w:hAnsi="Calibri" w:cs="Arial"/>
          <w:b/>
          <w:color w:val="FF0000"/>
          <w:lang w:val="en-GB"/>
        </w:rPr>
      </w:pPr>
    </w:p>
    <w:p w:rsidR="00EE67C0" w:rsidRPr="00C35531" w:rsidRDefault="00EE67C0" w:rsidP="00BC15F9">
      <w:pPr>
        <w:jc w:val="both"/>
        <w:rPr>
          <w:rFonts w:ascii="Calibri" w:hAnsi="Calibri" w:cs="Arial"/>
          <w:b/>
          <w:color w:val="0000FF"/>
          <w:sz w:val="28"/>
          <w:szCs w:val="28"/>
          <w:lang w:val="en-GB"/>
        </w:rPr>
      </w:pPr>
      <w:r w:rsidRPr="00C35531">
        <w:rPr>
          <w:rFonts w:ascii="Calibri" w:hAnsi="Calibri" w:cs="Arial"/>
          <w:b/>
          <w:color w:val="0000FF"/>
          <w:sz w:val="28"/>
          <w:szCs w:val="28"/>
          <w:lang w:val="en-GB"/>
        </w:rPr>
        <w:t>I</w:t>
      </w:r>
      <w:r w:rsidRPr="00C35531">
        <w:rPr>
          <w:rFonts w:ascii="Calibri" w:hAnsi="Calibri" w:cs="Arial"/>
          <w:b/>
          <w:color w:val="0000FF"/>
          <w:sz w:val="28"/>
          <w:szCs w:val="28"/>
          <w:lang w:val="en-GB"/>
        </w:rPr>
        <w:tab/>
        <w:t>Overvie</w:t>
      </w:r>
      <w:r>
        <w:rPr>
          <w:rFonts w:ascii="Calibri" w:hAnsi="Calibri" w:cs="Arial"/>
          <w:b/>
          <w:color w:val="0000FF"/>
          <w:sz w:val="28"/>
          <w:szCs w:val="28"/>
          <w:lang w:val="en-GB"/>
        </w:rPr>
        <w:t>w</w:t>
      </w:r>
    </w:p>
    <w:p w:rsidR="00EE67C0" w:rsidRPr="00C35531" w:rsidRDefault="00EE67C0" w:rsidP="00BC15F9">
      <w:pPr>
        <w:jc w:val="both"/>
        <w:rPr>
          <w:rFonts w:ascii="Calibri" w:hAnsi="Calibri" w:cs="Arial"/>
          <w:bCs/>
          <w:lang w:val="en-GB"/>
        </w:rPr>
      </w:pPr>
    </w:p>
    <w:p w:rsidR="00EE67C0" w:rsidRPr="009146ED" w:rsidRDefault="00EE67C0" w:rsidP="009146ED">
      <w:pPr>
        <w:ind w:left="720"/>
        <w:jc w:val="both"/>
        <w:rPr>
          <w:rFonts w:ascii="Calibri" w:hAnsi="Calibri" w:cs="Arial"/>
          <w:bCs/>
          <w:lang w:val="en-GB"/>
        </w:rPr>
      </w:pPr>
      <w:r w:rsidRPr="009146ED">
        <w:rPr>
          <w:rFonts w:ascii="Calibri" w:hAnsi="Calibri" w:cs="Arial"/>
          <w:bCs/>
          <w:lang w:val="en-GB"/>
        </w:rPr>
        <w:t xml:space="preserve">As part of its function, the FRC reviewed annual reports to ensure compliance with the National Code of Corporate Governance and with the International Financial Reporting Standards issued by International Accounting Standards Board.  Such exercise allows FRC to meet its objective of promoting quality reporting by Public Interest Entities (PIEs).  </w:t>
      </w:r>
    </w:p>
    <w:p w:rsidR="00EE67C0" w:rsidRPr="00C35531" w:rsidRDefault="00EE67C0" w:rsidP="00C83B87">
      <w:pPr>
        <w:autoSpaceDE w:val="0"/>
        <w:autoSpaceDN w:val="0"/>
        <w:adjustRightInd w:val="0"/>
        <w:ind w:left="720"/>
        <w:jc w:val="both"/>
        <w:rPr>
          <w:rFonts w:ascii="Calibri" w:hAnsi="Calibri" w:cs="Arial"/>
          <w:bCs/>
          <w:lang w:val="en-GB"/>
        </w:rPr>
      </w:pPr>
    </w:p>
    <w:p w:rsidR="00EE67C0" w:rsidRPr="00C35531" w:rsidRDefault="00EE67C0" w:rsidP="00C83B87">
      <w:pPr>
        <w:autoSpaceDE w:val="0"/>
        <w:autoSpaceDN w:val="0"/>
        <w:adjustRightInd w:val="0"/>
        <w:ind w:left="720"/>
        <w:jc w:val="both"/>
        <w:rPr>
          <w:rFonts w:ascii="Calibri" w:hAnsi="Calibri" w:cs="Arial"/>
          <w:bCs/>
          <w:lang w:val="en-GB"/>
        </w:rPr>
      </w:pPr>
      <w:r>
        <w:rPr>
          <w:rFonts w:ascii="Calibri" w:hAnsi="Calibri" w:cs="Arial"/>
          <w:bCs/>
          <w:lang w:val="en-GB"/>
        </w:rPr>
        <w:t xml:space="preserve">FRC also ensures </w:t>
      </w:r>
      <w:r w:rsidRPr="00C35531">
        <w:rPr>
          <w:rFonts w:ascii="Calibri" w:hAnsi="Calibri" w:cs="Arial"/>
          <w:bCs/>
          <w:lang w:val="en-GB"/>
        </w:rPr>
        <w:t xml:space="preserve">that </w:t>
      </w:r>
      <w:r>
        <w:rPr>
          <w:rFonts w:ascii="Calibri" w:hAnsi="Calibri" w:cs="Arial"/>
          <w:bCs/>
          <w:lang w:val="en-GB"/>
        </w:rPr>
        <w:t xml:space="preserve">the </w:t>
      </w:r>
      <w:r w:rsidRPr="00C35531">
        <w:rPr>
          <w:rFonts w:ascii="Calibri" w:hAnsi="Calibri" w:cs="Arial"/>
          <w:bCs/>
          <w:lang w:val="en-GB"/>
        </w:rPr>
        <w:t>annual reports present a comprehensive and objective assessment of the activities of the company, which allow the stakeholders to understand how the entity is managed.</w:t>
      </w:r>
    </w:p>
    <w:p w:rsidR="00EE67C0" w:rsidRPr="00C35531" w:rsidRDefault="00EE67C0" w:rsidP="00C83B87">
      <w:pPr>
        <w:ind w:left="720"/>
        <w:jc w:val="both"/>
        <w:rPr>
          <w:rFonts w:ascii="Calibri" w:hAnsi="Calibri" w:cs="Arial"/>
          <w:bCs/>
          <w:lang w:val="en-GB"/>
        </w:rPr>
      </w:pPr>
    </w:p>
    <w:p w:rsidR="00EE67C0" w:rsidRPr="00C40FF9" w:rsidRDefault="00EE67C0" w:rsidP="00C83B87">
      <w:pPr>
        <w:ind w:left="720"/>
        <w:jc w:val="both"/>
        <w:rPr>
          <w:rFonts w:ascii="Calibri" w:hAnsi="Calibri" w:cs="Arial"/>
          <w:bCs/>
          <w:lang w:val="en-GB"/>
        </w:rPr>
      </w:pPr>
      <w:r w:rsidRPr="00C40FF9">
        <w:rPr>
          <w:rFonts w:ascii="Calibri" w:hAnsi="Calibri" w:cs="Arial"/>
          <w:bCs/>
          <w:lang w:val="en-GB"/>
        </w:rPr>
        <w:t>For the six months ended 31 December 2014, FRC had reviewed the annual reports of 99 PIEs consisting of 56 full reviews and 43 follow-up reviews. Annual reports of PIEs from various sectors of the economy were reviewed.</w:t>
      </w:r>
    </w:p>
    <w:p w:rsidR="00EE67C0" w:rsidRPr="00C35531" w:rsidRDefault="00EE67C0" w:rsidP="00C83B87">
      <w:pPr>
        <w:ind w:left="720"/>
        <w:jc w:val="both"/>
        <w:rPr>
          <w:rFonts w:ascii="Calibri" w:hAnsi="Calibri" w:cs="Arial"/>
          <w:bCs/>
          <w:highlight w:val="yellow"/>
          <w:lang w:val="en-GB"/>
        </w:rPr>
      </w:pPr>
    </w:p>
    <w:p w:rsidR="00EE67C0" w:rsidRPr="00A1161D" w:rsidRDefault="00EE67C0" w:rsidP="00C83B87">
      <w:pPr>
        <w:ind w:left="720"/>
        <w:jc w:val="both"/>
        <w:rPr>
          <w:rFonts w:ascii="Calibri" w:hAnsi="Calibri" w:cs="Arial"/>
          <w:bCs/>
          <w:lang w:val="en-GB"/>
        </w:rPr>
      </w:pPr>
      <w:r w:rsidRPr="00A1161D">
        <w:rPr>
          <w:rFonts w:ascii="Calibri" w:hAnsi="Calibri" w:cs="Arial"/>
          <w:bCs/>
          <w:lang w:val="en-GB"/>
        </w:rPr>
        <w:t xml:space="preserve">The annual reports reviewed had year ends </w:t>
      </w:r>
      <w:bookmarkStart w:id="0" w:name="OLE_LINK9"/>
      <w:bookmarkStart w:id="1" w:name="OLE_LINK10"/>
      <w:r w:rsidRPr="00A1161D">
        <w:rPr>
          <w:rFonts w:ascii="Calibri" w:hAnsi="Calibri" w:cs="Arial"/>
          <w:bCs/>
          <w:lang w:val="en-GB"/>
        </w:rPr>
        <w:t xml:space="preserve">June 2013 </w:t>
      </w:r>
      <w:bookmarkEnd w:id="0"/>
      <w:bookmarkEnd w:id="1"/>
      <w:r w:rsidRPr="00A1161D">
        <w:rPr>
          <w:rFonts w:ascii="Calibri" w:hAnsi="Calibri" w:cs="Arial"/>
          <w:bCs/>
          <w:lang w:val="en-GB"/>
        </w:rPr>
        <w:t>(24), September 2013 (5), December 2013 (58), February 2014 (1), March 2014 (4) and June 2014 (7).</w:t>
      </w:r>
    </w:p>
    <w:p w:rsidR="00EE67C0" w:rsidRPr="00C35531" w:rsidRDefault="00EE67C0" w:rsidP="00C83B87">
      <w:pPr>
        <w:ind w:left="720"/>
        <w:jc w:val="both"/>
        <w:rPr>
          <w:rFonts w:ascii="Calibri" w:hAnsi="Calibri" w:cs="Arial"/>
          <w:bCs/>
          <w:highlight w:val="yellow"/>
          <w:lang w:val="en-GB"/>
        </w:rPr>
      </w:pPr>
    </w:p>
    <w:p w:rsidR="00EE67C0" w:rsidRPr="00B13E2C" w:rsidRDefault="00EE67C0" w:rsidP="00590541">
      <w:pPr>
        <w:jc w:val="both"/>
        <w:rPr>
          <w:rFonts w:ascii="Calibri" w:hAnsi="Calibri" w:cs="Arial"/>
          <w:b/>
          <w:color w:val="0000FF"/>
          <w:sz w:val="28"/>
          <w:szCs w:val="28"/>
          <w:lang w:val="en-GB"/>
        </w:rPr>
      </w:pPr>
      <w:r w:rsidRPr="00B13E2C">
        <w:rPr>
          <w:rFonts w:ascii="Calibri" w:hAnsi="Calibri" w:cs="Arial"/>
          <w:b/>
          <w:color w:val="0000FF"/>
          <w:sz w:val="28"/>
          <w:szCs w:val="28"/>
          <w:lang w:val="en-GB"/>
        </w:rPr>
        <w:t>II</w:t>
      </w:r>
      <w:r w:rsidRPr="00B13E2C">
        <w:rPr>
          <w:rFonts w:ascii="Calibri" w:hAnsi="Calibri" w:cs="Arial"/>
          <w:b/>
          <w:color w:val="0000FF"/>
          <w:sz w:val="28"/>
          <w:szCs w:val="28"/>
          <w:lang w:val="en-GB"/>
        </w:rPr>
        <w:tab/>
        <w:t>The bulletin is in four parts:</w:t>
      </w:r>
    </w:p>
    <w:p w:rsidR="00EE67C0" w:rsidRPr="00B13E2C" w:rsidRDefault="00EE67C0" w:rsidP="00C83B87">
      <w:pPr>
        <w:ind w:left="720"/>
        <w:jc w:val="both"/>
        <w:rPr>
          <w:rFonts w:ascii="Calibri" w:hAnsi="Calibri" w:cs="Arial"/>
          <w:bCs/>
          <w:lang w:val="en-GB"/>
        </w:rPr>
      </w:pPr>
    </w:p>
    <w:p w:rsidR="00EE67C0" w:rsidRPr="00B13E2C" w:rsidRDefault="00EE67C0" w:rsidP="00C83B87">
      <w:pPr>
        <w:ind w:left="720"/>
        <w:jc w:val="both"/>
        <w:rPr>
          <w:rFonts w:ascii="Calibri" w:hAnsi="Calibri" w:cs="Arial"/>
          <w:bCs/>
          <w:lang w:val="en-GB"/>
        </w:rPr>
      </w:pPr>
      <w:r>
        <w:rPr>
          <w:rFonts w:ascii="Calibri" w:hAnsi="Calibri" w:cs="Arial"/>
          <w:bCs/>
          <w:lang w:val="en-GB"/>
        </w:rPr>
        <w:t xml:space="preserve">Part A – </w:t>
      </w:r>
      <w:r w:rsidRPr="00B13E2C">
        <w:rPr>
          <w:rFonts w:ascii="Calibri" w:hAnsi="Calibri" w:cs="Arial"/>
          <w:bCs/>
          <w:lang w:val="en-GB"/>
        </w:rPr>
        <w:t>Full reviews</w:t>
      </w:r>
    </w:p>
    <w:p w:rsidR="00EE67C0" w:rsidRPr="00B13E2C" w:rsidRDefault="00EE67C0" w:rsidP="00C83B87">
      <w:pPr>
        <w:ind w:left="720"/>
        <w:jc w:val="both"/>
        <w:rPr>
          <w:rFonts w:ascii="Calibri" w:hAnsi="Calibri" w:cs="Arial"/>
          <w:bCs/>
          <w:lang w:val="en-GB"/>
        </w:rPr>
      </w:pPr>
      <w:r w:rsidRPr="00B13E2C">
        <w:rPr>
          <w:rFonts w:ascii="Calibri" w:hAnsi="Calibri" w:cs="Arial"/>
          <w:bCs/>
          <w:lang w:val="en-GB"/>
        </w:rPr>
        <w:t>P</w:t>
      </w:r>
      <w:r>
        <w:rPr>
          <w:rFonts w:ascii="Calibri" w:hAnsi="Calibri" w:cs="Arial"/>
          <w:bCs/>
          <w:lang w:val="en-GB"/>
        </w:rPr>
        <w:t xml:space="preserve">art B – </w:t>
      </w:r>
      <w:r w:rsidRPr="00B13E2C">
        <w:rPr>
          <w:rFonts w:ascii="Calibri" w:hAnsi="Calibri" w:cs="Arial"/>
          <w:bCs/>
          <w:lang w:val="en-GB"/>
        </w:rPr>
        <w:t>Follow up reviews</w:t>
      </w:r>
    </w:p>
    <w:p w:rsidR="00EE67C0" w:rsidRPr="00B13E2C" w:rsidRDefault="00EE67C0" w:rsidP="00C83B87">
      <w:pPr>
        <w:ind w:left="720"/>
        <w:jc w:val="both"/>
        <w:rPr>
          <w:rFonts w:ascii="Calibri" w:hAnsi="Calibri" w:cs="Arial"/>
          <w:bCs/>
          <w:lang w:val="en-GB"/>
        </w:rPr>
      </w:pPr>
      <w:r>
        <w:rPr>
          <w:rFonts w:ascii="Calibri" w:hAnsi="Calibri" w:cs="Arial"/>
          <w:bCs/>
          <w:lang w:val="en-GB"/>
        </w:rPr>
        <w:t xml:space="preserve">Part C – </w:t>
      </w:r>
      <w:r w:rsidRPr="00B13E2C">
        <w:rPr>
          <w:rFonts w:ascii="Calibri" w:hAnsi="Calibri" w:cs="Arial"/>
          <w:bCs/>
          <w:lang w:val="en-GB"/>
        </w:rPr>
        <w:t>Grading</w:t>
      </w:r>
    </w:p>
    <w:p w:rsidR="00EE67C0" w:rsidRPr="00B13E2C" w:rsidRDefault="00EE67C0" w:rsidP="00C83B87">
      <w:pPr>
        <w:ind w:left="720"/>
        <w:jc w:val="both"/>
        <w:rPr>
          <w:rFonts w:ascii="Calibri" w:hAnsi="Calibri" w:cs="Arial"/>
          <w:bCs/>
          <w:lang w:val="en-GB"/>
        </w:rPr>
      </w:pPr>
      <w:r>
        <w:rPr>
          <w:rFonts w:ascii="Calibri" w:hAnsi="Calibri" w:cs="Arial"/>
          <w:bCs/>
          <w:lang w:val="en-GB"/>
        </w:rPr>
        <w:t xml:space="preserve">Part D – </w:t>
      </w:r>
      <w:r w:rsidRPr="00B13E2C">
        <w:rPr>
          <w:rFonts w:ascii="Calibri" w:hAnsi="Calibri" w:cs="Arial"/>
          <w:bCs/>
          <w:lang w:val="en-GB"/>
        </w:rPr>
        <w:t>Conclusion</w:t>
      </w:r>
    </w:p>
    <w:p w:rsidR="00EE67C0" w:rsidRPr="00B13E2C" w:rsidRDefault="00EE67C0" w:rsidP="00E51B52">
      <w:pPr>
        <w:ind w:left="720"/>
        <w:jc w:val="both"/>
        <w:rPr>
          <w:rFonts w:ascii="Calibri" w:hAnsi="Calibri" w:cs="Arial"/>
          <w:bCs/>
          <w:color w:val="0070C0"/>
          <w:lang w:val="en-GB"/>
        </w:rPr>
      </w:pPr>
      <w:r w:rsidRPr="00B13E2C">
        <w:rPr>
          <w:rFonts w:ascii="Calibri" w:hAnsi="Calibri" w:cs="Arial"/>
          <w:bCs/>
          <w:lang w:val="en-GB"/>
        </w:rPr>
        <w:br w:type="page"/>
        <w:t>The table below indicates the categories of PIEs and their corresponding sectors for full annual report reviews:</w:t>
      </w:r>
    </w:p>
    <w:p w:rsidR="00EE67C0" w:rsidRPr="00C35531" w:rsidRDefault="00EE67C0" w:rsidP="00BC15F9">
      <w:pPr>
        <w:jc w:val="both"/>
        <w:rPr>
          <w:rFonts w:ascii="Calibri" w:hAnsi="Calibri" w:cs="Arial"/>
          <w:bCs/>
          <w:highlight w:val="yellow"/>
          <w:lang w:val="en-GB"/>
        </w:rPr>
      </w:pPr>
    </w:p>
    <w:p w:rsidR="00EE67C0" w:rsidRPr="00C35531" w:rsidRDefault="00EE67C0" w:rsidP="00BC15F9">
      <w:pPr>
        <w:tabs>
          <w:tab w:val="left" w:pos="2353"/>
          <w:tab w:val="left" w:pos="2924"/>
          <w:tab w:val="left" w:pos="3923"/>
          <w:tab w:val="left" w:pos="4883"/>
          <w:tab w:val="left" w:pos="5926"/>
          <w:tab w:val="left" w:pos="7366"/>
          <w:tab w:val="left" w:pos="8326"/>
          <w:tab w:val="left" w:pos="9286"/>
        </w:tabs>
        <w:jc w:val="both"/>
        <w:rPr>
          <w:rFonts w:ascii="Calibri" w:hAnsi="Calibri"/>
          <w:b/>
          <w:bCs/>
          <w:highlight w:val="yellow"/>
          <w:u w:val="single"/>
        </w:rPr>
      </w:pPr>
    </w:p>
    <w:tbl>
      <w:tblPr>
        <w:tblW w:w="9360" w:type="dxa"/>
        <w:tblInd w:w="828" w:type="dxa"/>
        <w:tblLayout w:type="fixed"/>
        <w:tblLook w:val="00A0"/>
      </w:tblPr>
      <w:tblGrid>
        <w:gridCol w:w="1080"/>
        <w:gridCol w:w="540"/>
        <w:gridCol w:w="990"/>
        <w:gridCol w:w="810"/>
        <w:gridCol w:w="1052"/>
        <w:gridCol w:w="1018"/>
        <w:gridCol w:w="720"/>
        <w:gridCol w:w="720"/>
        <w:gridCol w:w="1170"/>
        <w:gridCol w:w="630"/>
        <w:gridCol w:w="630"/>
      </w:tblGrid>
      <w:tr w:rsidR="00EE67C0" w:rsidRPr="00C35531" w:rsidTr="002108A0">
        <w:trPr>
          <w:trHeight w:val="270"/>
        </w:trPr>
        <w:tc>
          <w:tcPr>
            <w:tcW w:w="1080" w:type="dxa"/>
            <w:vMerge w:val="restart"/>
            <w:tcBorders>
              <w:top w:val="single" w:sz="8" w:space="0" w:color="auto"/>
              <w:left w:val="single" w:sz="8" w:space="0" w:color="auto"/>
              <w:bottom w:val="single" w:sz="8" w:space="0" w:color="000000"/>
              <w:right w:val="single" w:sz="8" w:space="0" w:color="000000"/>
            </w:tcBorders>
            <w:shd w:val="clear" w:color="auto" w:fill="D9D9D9"/>
            <w:vAlign w:val="bottom"/>
          </w:tcPr>
          <w:p w:rsidR="00EE67C0" w:rsidRPr="00A1161D" w:rsidRDefault="00EE67C0" w:rsidP="00BC15F9">
            <w:pPr>
              <w:jc w:val="center"/>
              <w:rPr>
                <w:rFonts w:ascii="Calibri" w:hAnsi="Calibri" w:cs="Arial"/>
                <w:b/>
                <w:bCs/>
                <w:sz w:val="16"/>
                <w:szCs w:val="16"/>
              </w:rPr>
            </w:pPr>
            <w:r w:rsidRPr="00A1161D">
              <w:rPr>
                <w:rFonts w:ascii="Calibri" w:hAnsi="Calibri" w:cs="Arial"/>
                <w:b/>
                <w:bCs/>
                <w:sz w:val="16"/>
                <w:szCs w:val="16"/>
              </w:rPr>
              <w:t>Types of reviews</w:t>
            </w:r>
          </w:p>
        </w:tc>
        <w:tc>
          <w:tcPr>
            <w:tcW w:w="8280" w:type="dxa"/>
            <w:gridSpan w:val="10"/>
            <w:tcBorders>
              <w:top w:val="single" w:sz="8" w:space="0" w:color="auto"/>
              <w:left w:val="nil"/>
              <w:bottom w:val="single" w:sz="8" w:space="0" w:color="auto"/>
              <w:right w:val="single" w:sz="8" w:space="0" w:color="000000"/>
            </w:tcBorders>
            <w:shd w:val="clear" w:color="auto" w:fill="D9D9D9"/>
          </w:tcPr>
          <w:p w:rsidR="00EE67C0" w:rsidRPr="00A1161D" w:rsidRDefault="00EE67C0" w:rsidP="00BC15F9">
            <w:pPr>
              <w:jc w:val="center"/>
              <w:rPr>
                <w:rFonts w:ascii="Calibri" w:hAnsi="Calibri" w:cs="Arial"/>
                <w:b/>
                <w:bCs/>
                <w:sz w:val="16"/>
                <w:szCs w:val="16"/>
              </w:rPr>
            </w:pPr>
            <w:r w:rsidRPr="00A1161D">
              <w:rPr>
                <w:rFonts w:ascii="Calibri" w:hAnsi="Calibri" w:cs="Arial"/>
                <w:b/>
                <w:bCs/>
                <w:sz w:val="16"/>
                <w:szCs w:val="16"/>
              </w:rPr>
              <w:t>Sectors</w:t>
            </w:r>
          </w:p>
        </w:tc>
      </w:tr>
      <w:tr w:rsidR="00EE67C0" w:rsidRPr="00C35531" w:rsidTr="00100A49">
        <w:trPr>
          <w:trHeight w:val="735"/>
        </w:trPr>
        <w:tc>
          <w:tcPr>
            <w:tcW w:w="1080" w:type="dxa"/>
            <w:vMerge/>
            <w:tcBorders>
              <w:top w:val="single" w:sz="8" w:space="0" w:color="auto"/>
              <w:left w:val="single" w:sz="8" w:space="0" w:color="auto"/>
              <w:bottom w:val="single" w:sz="8" w:space="0" w:color="000000"/>
              <w:right w:val="single" w:sz="8" w:space="0" w:color="000000"/>
            </w:tcBorders>
            <w:shd w:val="clear" w:color="auto" w:fill="D9D9D9"/>
            <w:vAlign w:val="center"/>
          </w:tcPr>
          <w:p w:rsidR="00EE67C0" w:rsidRPr="00A1161D" w:rsidRDefault="00EE67C0" w:rsidP="00BC15F9">
            <w:pPr>
              <w:jc w:val="center"/>
              <w:rPr>
                <w:rFonts w:ascii="Calibri" w:hAnsi="Calibri" w:cs="Arial"/>
                <w:b/>
                <w:bCs/>
                <w:sz w:val="16"/>
                <w:szCs w:val="16"/>
              </w:rPr>
            </w:pPr>
          </w:p>
        </w:tc>
        <w:tc>
          <w:tcPr>
            <w:tcW w:w="540" w:type="dxa"/>
            <w:tcBorders>
              <w:top w:val="nil"/>
              <w:left w:val="nil"/>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A1161D">
              <w:rPr>
                <w:rFonts w:ascii="Calibri" w:hAnsi="Calibri" w:cs="Arial"/>
                <w:b/>
                <w:bCs/>
                <w:sz w:val="16"/>
                <w:szCs w:val="16"/>
              </w:rPr>
              <w:t>BIF</w:t>
            </w:r>
          </w:p>
        </w:tc>
        <w:tc>
          <w:tcPr>
            <w:tcW w:w="990" w:type="dxa"/>
            <w:tcBorders>
              <w:top w:val="nil"/>
              <w:left w:val="nil"/>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A1161D">
              <w:rPr>
                <w:rFonts w:ascii="Calibri" w:hAnsi="Calibri" w:cs="Arial"/>
                <w:b/>
                <w:bCs/>
                <w:sz w:val="16"/>
                <w:szCs w:val="16"/>
              </w:rPr>
              <w:t>Commerce</w:t>
            </w:r>
          </w:p>
        </w:tc>
        <w:tc>
          <w:tcPr>
            <w:tcW w:w="810" w:type="dxa"/>
            <w:tcBorders>
              <w:top w:val="nil"/>
              <w:left w:val="nil"/>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A1161D">
              <w:rPr>
                <w:rFonts w:ascii="Calibri" w:hAnsi="Calibri" w:cs="Arial"/>
                <w:b/>
                <w:bCs/>
                <w:sz w:val="16"/>
                <w:szCs w:val="16"/>
              </w:rPr>
              <w:t>Industry</w:t>
            </w:r>
          </w:p>
        </w:tc>
        <w:tc>
          <w:tcPr>
            <w:tcW w:w="1052" w:type="dxa"/>
            <w:tcBorders>
              <w:top w:val="nil"/>
              <w:left w:val="nil"/>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2108A0">
              <w:rPr>
                <w:rFonts w:ascii="Calibri" w:hAnsi="Calibri" w:cs="Arial"/>
                <w:b/>
                <w:bCs/>
                <w:sz w:val="16"/>
                <w:szCs w:val="16"/>
              </w:rPr>
              <w:t>Information technology</w:t>
            </w:r>
          </w:p>
        </w:tc>
        <w:tc>
          <w:tcPr>
            <w:tcW w:w="1018" w:type="dxa"/>
            <w:tcBorders>
              <w:top w:val="nil"/>
              <w:left w:val="nil"/>
              <w:bottom w:val="single" w:sz="8" w:space="0" w:color="auto"/>
              <w:right w:val="single" w:sz="8" w:space="0" w:color="auto"/>
            </w:tcBorders>
            <w:shd w:val="clear" w:color="auto" w:fill="D9D9D9"/>
            <w:vAlign w:val="bottom"/>
          </w:tcPr>
          <w:p w:rsidR="00EE67C0" w:rsidRPr="00A1161D" w:rsidRDefault="00EE67C0" w:rsidP="002108A0">
            <w:pPr>
              <w:jc w:val="center"/>
              <w:rPr>
                <w:rFonts w:ascii="Calibri" w:hAnsi="Calibri" w:cs="Arial"/>
                <w:b/>
                <w:bCs/>
                <w:sz w:val="16"/>
                <w:szCs w:val="16"/>
              </w:rPr>
            </w:pPr>
            <w:r w:rsidRPr="00A1161D">
              <w:rPr>
                <w:rFonts w:ascii="Calibri" w:hAnsi="Calibri" w:cs="Arial"/>
                <w:b/>
                <w:bCs/>
                <w:sz w:val="16"/>
                <w:szCs w:val="16"/>
              </w:rPr>
              <w:t>Investment</w:t>
            </w:r>
          </w:p>
        </w:tc>
        <w:tc>
          <w:tcPr>
            <w:tcW w:w="720" w:type="dxa"/>
            <w:tcBorders>
              <w:top w:val="nil"/>
              <w:left w:val="nil"/>
              <w:bottom w:val="single" w:sz="8" w:space="0" w:color="auto"/>
              <w:right w:val="single" w:sz="8" w:space="0" w:color="auto"/>
            </w:tcBorders>
            <w:shd w:val="clear" w:color="auto" w:fill="D9D9D9"/>
            <w:vAlign w:val="bottom"/>
          </w:tcPr>
          <w:p w:rsidR="00EE67C0" w:rsidRPr="00A1161D" w:rsidRDefault="00EE67C0" w:rsidP="002108A0">
            <w:pPr>
              <w:jc w:val="center"/>
              <w:rPr>
                <w:rFonts w:ascii="Calibri" w:hAnsi="Calibri" w:cs="Arial"/>
                <w:b/>
                <w:bCs/>
                <w:sz w:val="16"/>
                <w:szCs w:val="16"/>
              </w:rPr>
            </w:pPr>
            <w:r w:rsidRPr="00A1161D">
              <w:rPr>
                <w:rFonts w:ascii="Calibri" w:hAnsi="Calibri" w:cs="Arial"/>
                <w:b/>
                <w:bCs/>
                <w:sz w:val="16"/>
                <w:szCs w:val="16"/>
              </w:rPr>
              <w:t>Leisure &amp; Hotels</w:t>
            </w:r>
          </w:p>
        </w:tc>
        <w:tc>
          <w:tcPr>
            <w:tcW w:w="720" w:type="dxa"/>
            <w:tcBorders>
              <w:top w:val="nil"/>
              <w:left w:val="nil"/>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A1161D">
              <w:rPr>
                <w:rFonts w:ascii="Calibri" w:hAnsi="Calibri" w:cs="Arial"/>
                <w:b/>
                <w:bCs/>
                <w:sz w:val="16"/>
                <w:szCs w:val="16"/>
              </w:rPr>
              <w:t>Others</w:t>
            </w:r>
          </w:p>
        </w:tc>
        <w:tc>
          <w:tcPr>
            <w:tcW w:w="1170" w:type="dxa"/>
            <w:tcBorders>
              <w:top w:val="nil"/>
              <w:left w:val="nil"/>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A1161D">
              <w:rPr>
                <w:rFonts w:ascii="Calibri" w:hAnsi="Calibri" w:cs="Arial"/>
                <w:b/>
                <w:bCs/>
                <w:sz w:val="16"/>
                <w:szCs w:val="16"/>
              </w:rPr>
              <w:t>Property Development</w:t>
            </w:r>
          </w:p>
        </w:tc>
        <w:tc>
          <w:tcPr>
            <w:tcW w:w="630" w:type="dxa"/>
            <w:tcBorders>
              <w:top w:val="nil"/>
              <w:left w:val="nil"/>
              <w:bottom w:val="single" w:sz="8" w:space="0" w:color="auto"/>
              <w:right w:val="single" w:sz="4" w:space="0" w:color="auto"/>
            </w:tcBorders>
            <w:shd w:val="clear" w:color="auto" w:fill="D9D9D9"/>
          </w:tcPr>
          <w:p w:rsidR="00EE67C0" w:rsidRDefault="00EE67C0" w:rsidP="0037408D">
            <w:pPr>
              <w:jc w:val="center"/>
              <w:rPr>
                <w:rFonts w:ascii="Calibri" w:hAnsi="Calibri" w:cs="Arial"/>
                <w:b/>
                <w:bCs/>
                <w:sz w:val="16"/>
                <w:szCs w:val="16"/>
              </w:rPr>
            </w:pPr>
          </w:p>
          <w:p w:rsidR="00EE67C0" w:rsidRDefault="00EE67C0" w:rsidP="0037408D">
            <w:pPr>
              <w:jc w:val="center"/>
              <w:rPr>
                <w:rFonts w:ascii="Calibri" w:hAnsi="Calibri" w:cs="Arial"/>
                <w:b/>
                <w:bCs/>
                <w:sz w:val="16"/>
                <w:szCs w:val="16"/>
              </w:rPr>
            </w:pPr>
          </w:p>
          <w:p w:rsidR="00EE67C0" w:rsidRDefault="00EE67C0" w:rsidP="0037408D">
            <w:pPr>
              <w:jc w:val="center"/>
              <w:rPr>
                <w:rFonts w:ascii="Calibri" w:hAnsi="Calibri" w:cs="Arial"/>
                <w:b/>
                <w:bCs/>
                <w:sz w:val="16"/>
                <w:szCs w:val="16"/>
              </w:rPr>
            </w:pPr>
          </w:p>
          <w:p w:rsidR="00EE67C0" w:rsidRPr="00A1161D" w:rsidRDefault="00EE67C0" w:rsidP="0037408D">
            <w:pPr>
              <w:jc w:val="center"/>
              <w:rPr>
                <w:rFonts w:ascii="Calibri" w:hAnsi="Calibri" w:cs="Arial"/>
                <w:b/>
                <w:bCs/>
                <w:sz w:val="16"/>
                <w:szCs w:val="16"/>
              </w:rPr>
            </w:pPr>
            <w:r>
              <w:rPr>
                <w:rFonts w:ascii="Calibri" w:hAnsi="Calibri" w:cs="Arial"/>
                <w:b/>
                <w:bCs/>
                <w:sz w:val="16"/>
                <w:szCs w:val="16"/>
              </w:rPr>
              <w:t>Sugar</w:t>
            </w:r>
          </w:p>
        </w:tc>
        <w:tc>
          <w:tcPr>
            <w:tcW w:w="630" w:type="dxa"/>
            <w:tcBorders>
              <w:top w:val="nil"/>
              <w:left w:val="single" w:sz="4" w:space="0" w:color="auto"/>
              <w:bottom w:val="single" w:sz="8" w:space="0" w:color="auto"/>
              <w:right w:val="single" w:sz="8" w:space="0" w:color="auto"/>
            </w:tcBorders>
            <w:shd w:val="clear" w:color="auto" w:fill="D9D9D9"/>
            <w:vAlign w:val="bottom"/>
          </w:tcPr>
          <w:p w:rsidR="00EE67C0" w:rsidRPr="00A1161D" w:rsidRDefault="00EE67C0" w:rsidP="00E07CF2">
            <w:pPr>
              <w:jc w:val="center"/>
              <w:rPr>
                <w:rFonts w:ascii="Calibri" w:hAnsi="Calibri" w:cs="Arial"/>
                <w:b/>
                <w:bCs/>
                <w:sz w:val="16"/>
                <w:szCs w:val="16"/>
              </w:rPr>
            </w:pPr>
            <w:r w:rsidRPr="00A1161D">
              <w:rPr>
                <w:rFonts w:ascii="Calibri" w:hAnsi="Calibri" w:cs="Arial"/>
                <w:b/>
                <w:bCs/>
                <w:sz w:val="16"/>
                <w:szCs w:val="16"/>
              </w:rPr>
              <w:t>Total</w:t>
            </w:r>
          </w:p>
        </w:tc>
      </w:tr>
      <w:tr w:rsidR="00EE67C0" w:rsidRPr="00A1161D" w:rsidTr="00100A49">
        <w:trPr>
          <w:trHeight w:val="270"/>
        </w:trPr>
        <w:tc>
          <w:tcPr>
            <w:tcW w:w="1080" w:type="dxa"/>
            <w:tcBorders>
              <w:top w:val="nil"/>
              <w:left w:val="single" w:sz="8" w:space="0" w:color="auto"/>
              <w:bottom w:val="single" w:sz="8" w:space="0" w:color="auto"/>
              <w:right w:val="single" w:sz="8" w:space="0" w:color="auto"/>
            </w:tcBorders>
          </w:tcPr>
          <w:p w:rsidR="00EE67C0" w:rsidRPr="00A1161D" w:rsidRDefault="00EE67C0" w:rsidP="00BC15F9">
            <w:pPr>
              <w:rPr>
                <w:rFonts w:ascii="Calibri" w:hAnsi="Calibri" w:cs="Arial"/>
                <w:sz w:val="18"/>
                <w:szCs w:val="18"/>
              </w:rPr>
            </w:pPr>
            <w:r w:rsidRPr="00A1161D">
              <w:rPr>
                <w:rFonts w:ascii="Calibri" w:hAnsi="Calibri" w:cs="Arial"/>
                <w:sz w:val="18"/>
                <w:szCs w:val="18"/>
              </w:rPr>
              <w:t>Listed on SEM</w:t>
            </w:r>
          </w:p>
        </w:tc>
        <w:tc>
          <w:tcPr>
            <w:tcW w:w="54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1</w:t>
            </w:r>
          </w:p>
        </w:tc>
        <w:tc>
          <w:tcPr>
            <w:tcW w:w="99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2</w:t>
            </w:r>
          </w:p>
        </w:tc>
        <w:tc>
          <w:tcPr>
            <w:tcW w:w="81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3</w:t>
            </w:r>
          </w:p>
        </w:tc>
        <w:tc>
          <w:tcPr>
            <w:tcW w:w="1052"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018" w:type="dxa"/>
            <w:tcBorders>
              <w:top w:val="nil"/>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720" w:type="dxa"/>
            <w:tcBorders>
              <w:top w:val="nil"/>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1</w:t>
            </w:r>
          </w:p>
        </w:tc>
        <w:tc>
          <w:tcPr>
            <w:tcW w:w="72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17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4" w:space="0" w:color="auto"/>
            </w:tcBorders>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630" w:type="dxa"/>
            <w:tcBorders>
              <w:top w:val="nil"/>
              <w:left w:val="single" w:sz="4" w:space="0" w:color="auto"/>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7</w:t>
            </w:r>
          </w:p>
        </w:tc>
      </w:tr>
      <w:tr w:rsidR="00EE67C0" w:rsidRPr="00A1161D" w:rsidTr="00100A49">
        <w:trPr>
          <w:trHeight w:val="1455"/>
        </w:trPr>
        <w:tc>
          <w:tcPr>
            <w:tcW w:w="1080" w:type="dxa"/>
            <w:tcBorders>
              <w:top w:val="nil"/>
              <w:left w:val="single" w:sz="8" w:space="0" w:color="auto"/>
              <w:bottom w:val="single" w:sz="8" w:space="0" w:color="auto"/>
              <w:right w:val="single" w:sz="8" w:space="0" w:color="auto"/>
            </w:tcBorders>
          </w:tcPr>
          <w:p w:rsidR="00EE67C0" w:rsidRPr="00A1161D" w:rsidRDefault="00EE67C0" w:rsidP="00BC15F9">
            <w:pPr>
              <w:rPr>
                <w:rFonts w:ascii="Calibri" w:hAnsi="Calibri" w:cs="Arial"/>
                <w:sz w:val="18"/>
                <w:szCs w:val="18"/>
              </w:rPr>
            </w:pPr>
            <w:r w:rsidRPr="00A1161D">
              <w:rPr>
                <w:rFonts w:ascii="Calibri" w:hAnsi="Calibri" w:cs="Arial"/>
                <w:sz w:val="18"/>
                <w:szCs w:val="18"/>
              </w:rPr>
              <w:t>Financial institutions regulated by BOM (excluding cash dealers)</w:t>
            </w:r>
          </w:p>
        </w:tc>
        <w:tc>
          <w:tcPr>
            <w:tcW w:w="54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3</w:t>
            </w:r>
          </w:p>
        </w:tc>
        <w:tc>
          <w:tcPr>
            <w:tcW w:w="99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81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052"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018" w:type="dxa"/>
            <w:tcBorders>
              <w:top w:val="nil"/>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720" w:type="dxa"/>
            <w:tcBorders>
              <w:top w:val="nil"/>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72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17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4" w:space="0" w:color="auto"/>
            </w:tcBorders>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630" w:type="dxa"/>
            <w:tcBorders>
              <w:top w:val="nil"/>
              <w:left w:val="single" w:sz="4" w:space="0" w:color="auto"/>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3</w:t>
            </w:r>
          </w:p>
        </w:tc>
      </w:tr>
      <w:tr w:rsidR="00EE67C0" w:rsidRPr="00A1161D" w:rsidTr="00100A49">
        <w:trPr>
          <w:trHeight w:val="943"/>
        </w:trPr>
        <w:tc>
          <w:tcPr>
            <w:tcW w:w="1080" w:type="dxa"/>
            <w:tcBorders>
              <w:top w:val="nil"/>
              <w:left w:val="single" w:sz="8" w:space="0" w:color="auto"/>
              <w:bottom w:val="single" w:sz="4" w:space="0" w:color="auto"/>
              <w:right w:val="single" w:sz="8" w:space="0" w:color="auto"/>
            </w:tcBorders>
          </w:tcPr>
          <w:p w:rsidR="00EE67C0" w:rsidRPr="00A1161D" w:rsidRDefault="00EE67C0" w:rsidP="00BC15F9">
            <w:pPr>
              <w:rPr>
                <w:rFonts w:ascii="Calibri" w:hAnsi="Calibri" w:cs="Arial"/>
                <w:sz w:val="18"/>
                <w:szCs w:val="18"/>
              </w:rPr>
            </w:pPr>
            <w:r w:rsidRPr="00A1161D">
              <w:rPr>
                <w:rFonts w:ascii="Calibri" w:hAnsi="Calibri" w:cs="Arial"/>
                <w:sz w:val="18"/>
                <w:szCs w:val="18"/>
              </w:rPr>
              <w:t>Financia</w:t>
            </w:r>
            <w:r>
              <w:rPr>
                <w:rFonts w:ascii="Calibri" w:hAnsi="Calibri" w:cs="Arial"/>
                <w:sz w:val="18"/>
                <w:szCs w:val="18"/>
              </w:rPr>
              <w:t>l institutions regulated by FSC</w:t>
            </w:r>
          </w:p>
        </w:tc>
        <w:tc>
          <w:tcPr>
            <w:tcW w:w="540" w:type="dxa"/>
            <w:tcBorders>
              <w:top w:val="nil"/>
              <w:left w:val="nil"/>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3</w:t>
            </w:r>
          </w:p>
        </w:tc>
        <w:tc>
          <w:tcPr>
            <w:tcW w:w="990" w:type="dxa"/>
            <w:tcBorders>
              <w:top w:val="nil"/>
              <w:left w:val="nil"/>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810" w:type="dxa"/>
            <w:tcBorders>
              <w:top w:val="nil"/>
              <w:left w:val="nil"/>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052" w:type="dxa"/>
            <w:tcBorders>
              <w:top w:val="nil"/>
              <w:left w:val="nil"/>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018" w:type="dxa"/>
            <w:tcBorders>
              <w:top w:val="nil"/>
              <w:left w:val="nil"/>
              <w:bottom w:val="single" w:sz="4"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2</w:t>
            </w:r>
          </w:p>
        </w:tc>
        <w:tc>
          <w:tcPr>
            <w:tcW w:w="720" w:type="dxa"/>
            <w:tcBorders>
              <w:top w:val="nil"/>
              <w:left w:val="nil"/>
              <w:bottom w:val="single" w:sz="4"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720" w:type="dxa"/>
            <w:tcBorders>
              <w:top w:val="nil"/>
              <w:left w:val="nil"/>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1170" w:type="dxa"/>
            <w:tcBorders>
              <w:top w:val="nil"/>
              <w:left w:val="nil"/>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4" w:space="0" w:color="auto"/>
              <w:right w:val="single" w:sz="4" w:space="0" w:color="auto"/>
            </w:tcBorders>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w:t>
            </w:r>
          </w:p>
        </w:tc>
        <w:tc>
          <w:tcPr>
            <w:tcW w:w="630" w:type="dxa"/>
            <w:tcBorders>
              <w:top w:val="nil"/>
              <w:left w:val="single" w:sz="4" w:space="0" w:color="auto"/>
              <w:bottom w:val="single" w:sz="4"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5</w:t>
            </w:r>
          </w:p>
        </w:tc>
      </w:tr>
      <w:tr w:rsidR="00EE67C0" w:rsidRPr="00A1161D" w:rsidTr="00100A49">
        <w:trPr>
          <w:trHeight w:val="270"/>
        </w:trPr>
        <w:tc>
          <w:tcPr>
            <w:tcW w:w="1080" w:type="dxa"/>
            <w:tcBorders>
              <w:top w:val="single" w:sz="4" w:space="0" w:color="auto"/>
              <w:left w:val="single" w:sz="8" w:space="0" w:color="auto"/>
              <w:bottom w:val="single" w:sz="8" w:space="0" w:color="auto"/>
              <w:right w:val="single" w:sz="8" w:space="0" w:color="auto"/>
            </w:tcBorders>
          </w:tcPr>
          <w:p w:rsidR="00EE67C0" w:rsidRPr="00A1161D" w:rsidRDefault="00EE67C0" w:rsidP="00BC15F9">
            <w:pPr>
              <w:rPr>
                <w:rFonts w:ascii="Calibri" w:hAnsi="Calibri" w:cs="Arial"/>
                <w:sz w:val="18"/>
                <w:szCs w:val="18"/>
              </w:rPr>
            </w:pPr>
            <w:r>
              <w:rPr>
                <w:rFonts w:ascii="Calibri" w:hAnsi="Calibri" w:cs="Arial"/>
                <w:sz w:val="18"/>
                <w:szCs w:val="18"/>
              </w:rPr>
              <w:t>Category 4 PIEs as per the FRA</w:t>
            </w:r>
          </w:p>
        </w:tc>
        <w:tc>
          <w:tcPr>
            <w:tcW w:w="540" w:type="dxa"/>
            <w:tcBorders>
              <w:top w:val="single" w:sz="4" w:space="0" w:color="auto"/>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w:t>
            </w:r>
          </w:p>
        </w:tc>
        <w:tc>
          <w:tcPr>
            <w:tcW w:w="990" w:type="dxa"/>
            <w:tcBorders>
              <w:top w:val="single" w:sz="4" w:space="0" w:color="auto"/>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11</w:t>
            </w:r>
          </w:p>
        </w:tc>
        <w:tc>
          <w:tcPr>
            <w:tcW w:w="810" w:type="dxa"/>
            <w:tcBorders>
              <w:top w:val="single" w:sz="4" w:space="0" w:color="auto"/>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10</w:t>
            </w:r>
          </w:p>
        </w:tc>
        <w:tc>
          <w:tcPr>
            <w:tcW w:w="1052" w:type="dxa"/>
            <w:tcBorders>
              <w:top w:val="single" w:sz="4" w:space="0" w:color="auto"/>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1</w:t>
            </w:r>
          </w:p>
        </w:tc>
        <w:tc>
          <w:tcPr>
            <w:tcW w:w="1018" w:type="dxa"/>
            <w:tcBorders>
              <w:top w:val="single" w:sz="4" w:space="0" w:color="auto"/>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6</w:t>
            </w:r>
          </w:p>
        </w:tc>
        <w:tc>
          <w:tcPr>
            <w:tcW w:w="720" w:type="dxa"/>
            <w:tcBorders>
              <w:top w:val="single" w:sz="4" w:space="0" w:color="auto"/>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3</w:t>
            </w:r>
          </w:p>
        </w:tc>
        <w:tc>
          <w:tcPr>
            <w:tcW w:w="720" w:type="dxa"/>
            <w:tcBorders>
              <w:top w:val="single" w:sz="4" w:space="0" w:color="auto"/>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6</w:t>
            </w:r>
          </w:p>
        </w:tc>
        <w:tc>
          <w:tcPr>
            <w:tcW w:w="1170" w:type="dxa"/>
            <w:tcBorders>
              <w:top w:val="single" w:sz="4" w:space="0" w:color="auto"/>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3</w:t>
            </w:r>
          </w:p>
        </w:tc>
        <w:tc>
          <w:tcPr>
            <w:tcW w:w="630" w:type="dxa"/>
            <w:tcBorders>
              <w:top w:val="single" w:sz="4" w:space="0" w:color="auto"/>
              <w:left w:val="nil"/>
              <w:bottom w:val="single" w:sz="8" w:space="0" w:color="auto"/>
              <w:right w:val="single" w:sz="4" w:space="0" w:color="auto"/>
            </w:tcBorders>
            <w:vAlign w:val="bottom"/>
          </w:tcPr>
          <w:p w:rsidR="00EE67C0" w:rsidRPr="00A1161D" w:rsidRDefault="00EE67C0" w:rsidP="002108A0">
            <w:pPr>
              <w:jc w:val="center"/>
              <w:rPr>
                <w:rFonts w:ascii="Calibri" w:hAnsi="Calibri" w:cs="Arial"/>
                <w:sz w:val="18"/>
                <w:szCs w:val="18"/>
              </w:rPr>
            </w:pPr>
            <w:r>
              <w:rPr>
                <w:rFonts w:ascii="Calibri" w:hAnsi="Calibri" w:cs="Arial"/>
                <w:sz w:val="18"/>
                <w:szCs w:val="18"/>
              </w:rPr>
              <w:t>1</w:t>
            </w:r>
          </w:p>
        </w:tc>
        <w:tc>
          <w:tcPr>
            <w:tcW w:w="630" w:type="dxa"/>
            <w:tcBorders>
              <w:top w:val="single" w:sz="4" w:space="0" w:color="auto"/>
              <w:left w:val="single" w:sz="4" w:space="0" w:color="auto"/>
              <w:bottom w:val="single" w:sz="8" w:space="0" w:color="auto"/>
              <w:right w:val="single" w:sz="8" w:space="0" w:color="auto"/>
            </w:tcBorders>
            <w:noWrap/>
            <w:vAlign w:val="bottom"/>
          </w:tcPr>
          <w:p w:rsidR="00EE67C0" w:rsidRPr="00A1161D" w:rsidRDefault="00EE67C0" w:rsidP="00BC15F9">
            <w:pPr>
              <w:jc w:val="center"/>
              <w:rPr>
                <w:rFonts w:ascii="Calibri" w:hAnsi="Calibri" w:cs="Arial"/>
                <w:sz w:val="18"/>
                <w:szCs w:val="18"/>
              </w:rPr>
            </w:pPr>
            <w:r>
              <w:rPr>
                <w:rFonts w:ascii="Calibri" w:hAnsi="Calibri" w:cs="Arial"/>
                <w:sz w:val="18"/>
                <w:szCs w:val="18"/>
              </w:rPr>
              <w:t>41</w:t>
            </w:r>
          </w:p>
        </w:tc>
      </w:tr>
      <w:tr w:rsidR="00EE67C0" w:rsidRPr="00A1161D" w:rsidTr="00100A49">
        <w:trPr>
          <w:trHeight w:val="270"/>
        </w:trPr>
        <w:tc>
          <w:tcPr>
            <w:tcW w:w="1080" w:type="dxa"/>
            <w:tcBorders>
              <w:top w:val="nil"/>
              <w:left w:val="single" w:sz="8" w:space="0" w:color="auto"/>
              <w:bottom w:val="single" w:sz="8" w:space="0" w:color="auto"/>
              <w:right w:val="single" w:sz="8" w:space="0" w:color="auto"/>
            </w:tcBorders>
            <w:vAlign w:val="bottom"/>
          </w:tcPr>
          <w:p w:rsidR="00EE67C0" w:rsidRPr="00A1161D" w:rsidRDefault="00EE67C0" w:rsidP="00BC15F9">
            <w:pPr>
              <w:jc w:val="center"/>
              <w:rPr>
                <w:rFonts w:ascii="Calibri" w:hAnsi="Calibri" w:cs="Arial"/>
                <w:b/>
                <w:bCs/>
                <w:sz w:val="18"/>
                <w:szCs w:val="18"/>
              </w:rPr>
            </w:pPr>
            <w:r w:rsidRPr="00A1161D">
              <w:rPr>
                <w:rFonts w:ascii="Calibri" w:hAnsi="Calibri" w:cs="Arial"/>
                <w:b/>
                <w:bCs/>
                <w:sz w:val="18"/>
                <w:szCs w:val="18"/>
              </w:rPr>
              <w:t>Total</w:t>
            </w:r>
          </w:p>
        </w:tc>
        <w:tc>
          <w:tcPr>
            <w:tcW w:w="54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7</w:t>
            </w:r>
          </w:p>
        </w:tc>
        <w:tc>
          <w:tcPr>
            <w:tcW w:w="99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13</w:t>
            </w:r>
          </w:p>
        </w:tc>
        <w:tc>
          <w:tcPr>
            <w:tcW w:w="81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13</w:t>
            </w:r>
          </w:p>
        </w:tc>
        <w:tc>
          <w:tcPr>
            <w:tcW w:w="1052"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1</w:t>
            </w:r>
          </w:p>
        </w:tc>
        <w:tc>
          <w:tcPr>
            <w:tcW w:w="1018" w:type="dxa"/>
            <w:tcBorders>
              <w:top w:val="nil"/>
              <w:left w:val="nil"/>
              <w:bottom w:val="single" w:sz="8" w:space="0" w:color="auto"/>
              <w:right w:val="single" w:sz="8" w:space="0" w:color="auto"/>
            </w:tcBorders>
            <w:noWrap/>
            <w:vAlign w:val="bottom"/>
          </w:tcPr>
          <w:p w:rsidR="00EE67C0" w:rsidRPr="00A1161D" w:rsidRDefault="00EE67C0" w:rsidP="002108A0">
            <w:pPr>
              <w:jc w:val="center"/>
              <w:rPr>
                <w:rFonts w:ascii="Calibri" w:hAnsi="Calibri" w:cs="Arial"/>
                <w:b/>
                <w:bCs/>
                <w:sz w:val="18"/>
                <w:szCs w:val="18"/>
              </w:rPr>
            </w:pPr>
            <w:r>
              <w:rPr>
                <w:rFonts w:ascii="Calibri" w:hAnsi="Calibri" w:cs="Arial"/>
                <w:b/>
                <w:bCs/>
                <w:sz w:val="18"/>
                <w:szCs w:val="18"/>
              </w:rPr>
              <w:t>8</w:t>
            </w:r>
          </w:p>
        </w:tc>
        <w:tc>
          <w:tcPr>
            <w:tcW w:w="72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4</w:t>
            </w:r>
          </w:p>
        </w:tc>
        <w:tc>
          <w:tcPr>
            <w:tcW w:w="72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6</w:t>
            </w:r>
          </w:p>
        </w:tc>
        <w:tc>
          <w:tcPr>
            <w:tcW w:w="1170" w:type="dxa"/>
            <w:tcBorders>
              <w:top w:val="nil"/>
              <w:left w:val="nil"/>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3</w:t>
            </w:r>
          </w:p>
        </w:tc>
        <w:tc>
          <w:tcPr>
            <w:tcW w:w="630" w:type="dxa"/>
            <w:tcBorders>
              <w:top w:val="nil"/>
              <w:left w:val="nil"/>
              <w:bottom w:val="single" w:sz="8" w:space="0" w:color="auto"/>
              <w:right w:val="single" w:sz="4" w:space="0" w:color="auto"/>
            </w:tcBorders>
            <w:vAlign w:val="bottom"/>
          </w:tcPr>
          <w:p w:rsidR="00EE67C0" w:rsidRPr="00A1161D" w:rsidRDefault="00EE67C0" w:rsidP="002108A0">
            <w:pPr>
              <w:jc w:val="center"/>
              <w:rPr>
                <w:rFonts w:ascii="Calibri" w:hAnsi="Calibri" w:cs="Arial"/>
                <w:b/>
                <w:bCs/>
                <w:sz w:val="18"/>
                <w:szCs w:val="18"/>
              </w:rPr>
            </w:pPr>
            <w:r>
              <w:rPr>
                <w:rFonts w:ascii="Calibri" w:hAnsi="Calibri" w:cs="Arial"/>
                <w:b/>
                <w:bCs/>
                <w:sz w:val="18"/>
                <w:szCs w:val="18"/>
              </w:rPr>
              <w:t>1</w:t>
            </w:r>
          </w:p>
        </w:tc>
        <w:tc>
          <w:tcPr>
            <w:tcW w:w="630" w:type="dxa"/>
            <w:tcBorders>
              <w:top w:val="nil"/>
              <w:left w:val="single" w:sz="4" w:space="0" w:color="auto"/>
              <w:bottom w:val="single" w:sz="8" w:space="0" w:color="auto"/>
              <w:right w:val="single" w:sz="8" w:space="0" w:color="auto"/>
            </w:tcBorders>
            <w:noWrap/>
            <w:vAlign w:val="bottom"/>
          </w:tcPr>
          <w:p w:rsidR="00EE67C0" w:rsidRPr="00A1161D" w:rsidRDefault="00EE67C0" w:rsidP="00BC15F9">
            <w:pPr>
              <w:jc w:val="center"/>
              <w:rPr>
                <w:rFonts w:ascii="Calibri" w:hAnsi="Calibri" w:cs="Arial"/>
                <w:b/>
                <w:bCs/>
                <w:sz w:val="18"/>
                <w:szCs w:val="18"/>
              </w:rPr>
            </w:pPr>
            <w:r>
              <w:rPr>
                <w:rFonts w:ascii="Calibri" w:hAnsi="Calibri" w:cs="Arial"/>
                <w:b/>
                <w:bCs/>
                <w:sz w:val="18"/>
                <w:szCs w:val="18"/>
              </w:rPr>
              <w:t>56</w:t>
            </w:r>
          </w:p>
        </w:tc>
      </w:tr>
    </w:tbl>
    <w:p w:rsidR="00EE67C0" w:rsidRPr="00A1161D" w:rsidRDefault="00EE67C0" w:rsidP="00E90D02">
      <w:pPr>
        <w:jc w:val="both"/>
        <w:rPr>
          <w:rFonts w:ascii="Calibri" w:hAnsi="Calibri" w:cs="Arial"/>
          <w:bCs/>
          <w:lang w:val="en-GB"/>
        </w:rPr>
      </w:pPr>
      <w:bookmarkStart w:id="2" w:name="OLE_LINK3"/>
      <w:bookmarkStart w:id="3" w:name="OLE_LINK4"/>
    </w:p>
    <w:p w:rsidR="00EE67C0" w:rsidRPr="00CA4DD2" w:rsidRDefault="00EE67C0" w:rsidP="00590541">
      <w:pPr>
        <w:ind w:left="720"/>
        <w:jc w:val="both"/>
        <w:rPr>
          <w:rFonts w:ascii="Calibri" w:hAnsi="Calibri" w:cs="Arial"/>
          <w:bCs/>
          <w:i/>
          <w:lang w:val="en-GB"/>
        </w:rPr>
      </w:pPr>
      <w:r w:rsidRPr="00CA4DD2">
        <w:rPr>
          <w:rFonts w:ascii="Calibri" w:hAnsi="Calibri" w:cs="Arial"/>
          <w:bCs/>
          <w:i/>
          <w:lang w:val="en-GB"/>
        </w:rPr>
        <w:t>Note:</w:t>
      </w:r>
    </w:p>
    <w:p w:rsidR="00EE67C0" w:rsidRPr="00CA4DD2" w:rsidRDefault="00EE67C0" w:rsidP="00590541">
      <w:pPr>
        <w:ind w:left="720"/>
        <w:jc w:val="both"/>
        <w:rPr>
          <w:rFonts w:ascii="Calibri" w:hAnsi="Calibri" w:cs="Arial"/>
          <w:bCs/>
          <w:i/>
          <w:lang w:val="en-GB"/>
        </w:rPr>
      </w:pPr>
    </w:p>
    <w:p w:rsidR="00EE67C0" w:rsidRPr="00CA4DD2" w:rsidRDefault="00EE67C0" w:rsidP="00590541">
      <w:pPr>
        <w:ind w:left="720"/>
        <w:jc w:val="both"/>
        <w:rPr>
          <w:rFonts w:ascii="Calibri" w:hAnsi="Calibri" w:cs="Arial"/>
          <w:bCs/>
          <w:i/>
          <w:lang w:val="en-GB"/>
        </w:rPr>
      </w:pPr>
      <w:r w:rsidRPr="00CA4DD2">
        <w:rPr>
          <w:rFonts w:ascii="Calibri" w:hAnsi="Calibri" w:cs="Arial"/>
          <w:bCs/>
          <w:lang w:val="en-GB"/>
        </w:rPr>
        <w:t>‘</w:t>
      </w:r>
      <w:r>
        <w:rPr>
          <w:rFonts w:ascii="Calibri" w:hAnsi="Calibri" w:cs="Arial"/>
          <w:bCs/>
          <w:i/>
          <w:lang w:val="en-GB"/>
        </w:rPr>
        <w:t>Category 4</w:t>
      </w:r>
      <w:r w:rsidRPr="00CA4DD2">
        <w:rPr>
          <w:rFonts w:ascii="Calibri" w:hAnsi="Calibri" w:cs="Arial"/>
          <w:bCs/>
          <w:i/>
          <w:lang w:val="en-GB"/>
        </w:rPr>
        <w:t xml:space="preserve"> PIEs’ comprise any company or group of companies having, during 2 consecutive preceding years, at least 2 of the following –</w:t>
      </w:r>
    </w:p>
    <w:p w:rsidR="00EE67C0" w:rsidRPr="00CA4DD2" w:rsidRDefault="00EE67C0" w:rsidP="00590541">
      <w:pPr>
        <w:ind w:left="720"/>
        <w:jc w:val="both"/>
        <w:rPr>
          <w:rFonts w:ascii="Calibri" w:hAnsi="Calibri" w:cs="Arial"/>
          <w:bCs/>
          <w:i/>
          <w:lang w:val="en-GB"/>
        </w:rPr>
      </w:pPr>
    </w:p>
    <w:p w:rsidR="00EE67C0" w:rsidRPr="00CA4DD2" w:rsidRDefault="00EE67C0" w:rsidP="008D126B">
      <w:pPr>
        <w:numPr>
          <w:ilvl w:val="0"/>
          <w:numId w:val="10"/>
        </w:numPr>
        <w:tabs>
          <w:tab w:val="clear" w:pos="360"/>
          <w:tab w:val="left" w:pos="1080"/>
          <w:tab w:val="num" w:pos="1800"/>
        </w:tabs>
        <w:ind w:left="1080"/>
        <w:jc w:val="both"/>
        <w:rPr>
          <w:rFonts w:ascii="Calibri" w:hAnsi="Calibri" w:cs="Arial"/>
          <w:bCs/>
          <w:i/>
          <w:lang w:val="en-GB"/>
        </w:rPr>
      </w:pPr>
      <w:r w:rsidRPr="00CA4DD2">
        <w:rPr>
          <w:rFonts w:ascii="Calibri" w:hAnsi="Calibri" w:cs="Arial"/>
          <w:bCs/>
          <w:i/>
          <w:lang w:val="en-GB"/>
        </w:rPr>
        <w:t>an annual revenue exceeding 200 million rupees;</w:t>
      </w:r>
    </w:p>
    <w:p w:rsidR="00EE67C0" w:rsidRPr="00CA4DD2" w:rsidRDefault="00EE67C0" w:rsidP="008D126B">
      <w:pPr>
        <w:numPr>
          <w:ilvl w:val="0"/>
          <w:numId w:val="10"/>
        </w:numPr>
        <w:tabs>
          <w:tab w:val="clear" w:pos="360"/>
          <w:tab w:val="left" w:pos="1080"/>
          <w:tab w:val="num" w:pos="1800"/>
        </w:tabs>
        <w:ind w:left="1080"/>
        <w:jc w:val="both"/>
        <w:rPr>
          <w:rFonts w:ascii="Calibri" w:hAnsi="Calibri" w:cs="Arial"/>
          <w:bCs/>
          <w:i/>
          <w:lang w:val="en-GB"/>
        </w:rPr>
      </w:pPr>
      <w:r w:rsidRPr="00CA4DD2">
        <w:rPr>
          <w:rFonts w:ascii="Calibri" w:hAnsi="Calibri" w:cs="Arial"/>
          <w:bCs/>
          <w:i/>
          <w:lang w:val="en-GB"/>
        </w:rPr>
        <w:t>total assets value exceeding 500 million rupees;</w:t>
      </w:r>
    </w:p>
    <w:p w:rsidR="00EE67C0" w:rsidRPr="00CA4DD2" w:rsidRDefault="00EE67C0" w:rsidP="008D126B">
      <w:pPr>
        <w:numPr>
          <w:ilvl w:val="0"/>
          <w:numId w:val="10"/>
        </w:numPr>
        <w:tabs>
          <w:tab w:val="clear" w:pos="360"/>
          <w:tab w:val="left" w:pos="1080"/>
          <w:tab w:val="num" w:pos="1800"/>
        </w:tabs>
        <w:ind w:left="1080"/>
        <w:jc w:val="both"/>
        <w:rPr>
          <w:rFonts w:ascii="Calibri" w:hAnsi="Calibri" w:cs="Arial"/>
          <w:bCs/>
          <w:i/>
          <w:lang w:val="en-GB"/>
        </w:rPr>
      </w:pPr>
      <w:r w:rsidRPr="00CA4DD2">
        <w:rPr>
          <w:rFonts w:ascii="Calibri" w:hAnsi="Calibri" w:cs="Arial"/>
          <w:bCs/>
          <w:i/>
          <w:lang w:val="en-GB"/>
        </w:rPr>
        <w:t>a number of employees exceeding 50.</w:t>
      </w:r>
      <w:bookmarkEnd w:id="2"/>
      <w:bookmarkEnd w:id="3"/>
    </w:p>
    <w:p w:rsidR="00EE67C0" w:rsidRPr="00CA4DD2" w:rsidRDefault="00EE67C0" w:rsidP="00590541">
      <w:pPr>
        <w:ind w:left="1080"/>
        <w:jc w:val="both"/>
        <w:rPr>
          <w:rFonts w:ascii="Calibri" w:hAnsi="Calibri" w:cs="Arial"/>
          <w:bCs/>
          <w:i/>
          <w:lang w:val="en-GB"/>
        </w:rPr>
      </w:pPr>
    </w:p>
    <w:p w:rsidR="00EE67C0" w:rsidRPr="00CA4DD2" w:rsidRDefault="00EE67C0" w:rsidP="00590541">
      <w:pPr>
        <w:ind w:left="720"/>
        <w:jc w:val="both"/>
        <w:rPr>
          <w:rFonts w:ascii="Calibri" w:hAnsi="Calibri" w:cs="Arial"/>
          <w:bCs/>
          <w:lang w:val="en-GB"/>
        </w:rPr>
      </w:pPr>
      <w:r w:rsidRPr="00CA4DD2">
        <w:rPr>
          <w:rFonts w:ascii="Calibri" w:hAnsi="Calibri" w:cs="Arial"/>
          <w:bCs/>
          <w:lang w:val="en-GB"/>
        </w:rPr>
        <w:t>This bulletin sets out the main findings as per the following sections:</w:t>
      </w:r>
    </w:p>
    <w:p w:rsidR="00EE67C0" w:rsidRPr="00CA4DD2" w:rsidRDefault="00EE67C0" w:rsidP="00BC15F9">
      <w:pPr>
        <w:ind w:left="1080" w:hanging="1080"/>
        <w:jc w:val="both"/>
        <w:rPr>
          <w:rFonts w:ascii="Calibri" w:hAnsi="Calibri" w:cs="Arial"/>
          <w:bCs/>
          <w:lang w:val="en-GB"/>
        </w:rPr>
      </w:pPr>
    </w:p>
    <w:p w:rsidR="00EE67C0" w:rsidRPr="00CA4DD2" w:rsidRDefault="00EE67C0" w:rsidP="00590541">
      <w:pPr>
        <w:tabs>
          <w:tab w:val="left" w:pos="540"/>
          <w:tab w:val="left" w:pos="1080"/>
          <w:tab w:val="left" w:pos="1710"/>
        </w:tabs>
        <w:ind w:left="1620" w:hanging="900"/>
        <w:jc w:val="both"/>
        <w:rPr>
          <w:rFonts w:ascii="Calibri" w:hAnsi="Calibri" w:cs="Arial"/>
          <w:b/>
          <w:bCs/>
          <w:color w:val="FF0000"/>
          <w:lang w:val="en-GB"/>
        </w:rPr>
      </w:pPr>
      <w:hyperlink w:anchor="_Hlk395610325" w:history="1" w:docLocation="1,2477,2498,0,,Part A - Full reviews">
        <w:r w:rsidRPr="00CA4DD2">
          <w:rPr>
            <w:rStyle w:val="Hyperlink"/>
            <w:rFonts w:ascii="Calibri" w:hAnsi="Calibri" w:cs="Arial"/>
            <w:b/>
            <w:color w:val="FF0000"/>
            <w:lang w:val="en-GB"/>
          </w:rPr>
          <w:t>PART A - Full reviews</w:t>
        </w:r>
      </w:hyperlink>
    </w:p>
    <w:p w:rsidR="00EE67C0" w:rsidRPr="00CA4DD2" w:rsidRDefault="00EE67C0" w:rsidP="00C83B87">
      <w:pPr>
        <w:tabs>
          <w:tab w:val="left" w:pos="540"/>
          <w:tab w:val="left" w:pos="1080"/>
        </w:tabs>
        <w:ind w:left="1800" w:hanging="1260"/>
        <w:jc w:val="both"/>
        <w:rPr>
          <w:rFonts w:ascii="Calibri" w:hAnsi="Calibri" w:cs="Arial"/>
          <w:bCs/>
          <w:lang w:val="en-GB"/>
        </w:rPr>
      </w:pPr>
    </w:p>
    <w:p w:rsidR="00EE67C0" w:rsidRPr="00C131D2" w:rsidRDefault="00EE67C0" w:rsidP="00C83B87">
      <w:pPr>
        <w:tabs>
          <w:tab w:val="left" w:pos="540"/>
          <w:tab w:val="left" w:pos="1080"/>
        </w:tabs>
        <w:ind w:left="1710" w:hanging="630"/>
        <w:jc w:val="both"/>
        <w:rPr>
          <w:rFonts w:ascii="Calibri" w:hAnsi="Calibri" w:cs="Arial"/>
          <w:bCs/>
          <w:color w:val="0000FF"/>
          <w:lang w:val="en-GB"/>
        </w:rPr>
      </w:pPr>
      <w:r w:rsidRPr="00C131D2">
        <w:rPr>
          <w:rFonts w:ascii="Calibri" w:hAnsi="Calibri" w:cs="Arial"/>
          <w:bCs/>
          <w:lang w:val="en-GB"/>
        </w:rPr>
        <w:t>1.</w:t>
      </w:r>
      <w:r w:rsidRPr="00C131D2">
        <w:rPr>
          <w:rFonts w:ascii="Calibri" w:hAnsi="Calibri" w:cs="Arial"/>
          <w:bCs/>
          <w:lang w:val="en-GB"/>
        </w:rPr>
        <w:tab/>
      </w:r>
      <w:hyperlink w:anchor="IFRS1" w:history="1">
        <w:r w:rsidRPr="00C131D2">
          <w:rPr>
            <w:rStyle w:val="Hyperlink"/>
            <w:rFonts w:ascii="Calibri" w:hAnsi="Calibri" w:cs="Arial"/>
            <w:bCs/>
            <w:u w:val="single"/>
            <w:lang w:val="en-GB"/>
          </w:rPr>
          <w:t>IFRS Findings</w:t>
        </w:r>
      </w:hyperlink>
    </w:p>
    <w:p w:rsidR="00EE67C0" w:rsidRPr="00C131D2" w:rsidRDefault="00EE67C0" w:rsidP="00C83B87">
      <w:pPr>
        <w:ind w:left="1710" w:hanging="630"/>
        <w:jc w:val="both"/>
        <w:rPr>
          <w:rFonts w:ascii="Calibri" w:hAnsi="Calibri" w:cs="Arial"/>
          <w:bCs/>
          <w:lang w:val="en-GB"/>
        </w:rPr>
      </w:pPr>
    </w:p>
    <w:p w:rsidR="00EE67C0" w:rsidRPr="00C131D2" w:rsidRDefault="00EE67C0" w:rsidP="00C83B87">
      <w:pPr>
        <w:tabs>
          <w:tab w:val="left" w:pos="561"/>
          <w:tab w:val="left" w:pos="1080"/>
        </w:tabs>
        <w:ind w:left="1710" w:hanging="630"/>
        <w:jc w:val="both"/>
        <w:rPr>
          <w:rFonts w:ascii="Calibri" w:hAnsi="Calibri" w:cs="Arial"/>
          <w:b/>
          <w:bCs/>
          <w:lang w:val="en-GB"/>
        </w:rPr>
      </w:pPr>
      <w:r w:rsidRPr="00C131D2">
        <w:rPr>
          <w:rFonts w:ascii="Calibri" w:hAnsi="Calibri" w:cs="Arial"/>
          <w:bCs/>
          <w:lang w:val="en-GB"/>
        </w:rPr>
        <w:t>2.</w:t>
      </w:r>
      <w:r w:rsidRPr="00C131D2">
        <w:rPr>
          <w:rFonts w:ascii="Calibri" w:hAnsi="Calibri" w:cs="Arial"/>
          <w:bCs/>
          <w:lang w:val="en-GB"/>
        </w:rPr>
        <w:tab/>
      </w:r>
      <w:hyperlink w:anchor="_Hlk395611879" w:history="1" w:docLocation="1,16629,16658,0,,Corporate Governance Findings">
        <w:r w:rsidRPr="00C131D2">
          <w:rPr>
            <w:rStyle w:val="Hyperlink"/>
            <w:rFonts w:ascii="Calibri" w:hAnsi="Calibri" w:cs="Arial"/>
            <w:u w:val="single"/>
          </w:rPr>
          <w:t>Corporate Governance Findings</w:t>
        </w:r>
      </w:hyperlink>
    </w:p>
    <w:p w:rsidR="00EE67C0" w:rsidRPr="00C131D2" w:rsidRDefault="00EE67C0" w:rsidP="00C83B87">
      <w:pPr>
        <w:tabs>
          <w:tab w:val="left" w:pos="561"/>
          <w:tab w:val="left" w:pos="1080"/>
        </w:tabs>
        <w:ind w:left="1710" w:hanging="630"/>
        <w:jc w:val="both"/>
        <w:rPr>
          <w:rFonts w:ascii="Calibri" w:hAnsi="Calibri" w:cs="Arial"/>
          <w:bCs/>
          <w:lang w:val="en-GB"/>
        </w:rPr>
      </w:pPr>
    </w:p>
    <w:p w:rsidR="00EE67C0" w:rsidRPr="00C131D2" w:rsidRDefault="00EE67C0" w:rsidP="00C83B87">
      <w:pPr>
        <w:tabs>
          <w:tab w:val="left" w:pos="561"/>
          <w:tab w:val="left" w:pos="1080"/>
        </w:tabs>
        <w:ind w:left="1710" w:hanging="630"/>
        <w:jc w:val="both"/>
        <w:rPr>
          <w:rFonts w:ascii="Calibri" w:hAnsi="Calibri" w:cs="Arial"/>
          <w:bCs/>
          <w:lang w:val="en-GB"/>
        </w:rPr>
      </w:pPr>
      <w:r w:rsidRPr="00C131D2">
        <w:rPr>
          <w:rFonts w:ascii="Calibri" w:hAnsi="Calibri" w:cs="Arial"/>
          <w:bCs/>
          <w:lang w:val="en-GB"/>
        </w:rPr>
        <w:t>3.</w:t>
      </w:r>
      <w:r w:rsidRPr="00C131D2">
        <w:rPr>
          <w:rFonts w:ascii="Calibri" w:hAnsi="Calibri" w:cs="Arial"/>
          <w:bCs/>
          <w:lang w:val="en-GB"/>
        </w:rPr>
        <w:tab/>
      </w:r>
      <w:hyperlink w:anchor="_Hlk395611358" w:history="1" w:docLocation="1,28439,28480,0,,Working Capital (Net Current Lia">
        <w:r w:rsidRPr="00C131D2">
          <w:rPr>
            <w:rStyle w:val="Hyperlink"/>
            <w:rFonts w:ascii="Calibri" w:hAnsi="Calibri" w:cs="Arial"/>
            <w:u w:val="single"/>
          </w:rPr>
          <w:t>Working Capital (Net Current Liabilities)</w:t>
        </w:r>
      </w:hyperlink>
    </w:p>
    <w:p w:rsidR="00EE67C0" w:rsidRPr="00C131D2" w:rsidRDefault="00EE67C0" w:rsidP="00BC15F9">
      <w:pPr>
        <w:tabs>
          <w:tab w:val="left" w:pos="561"/>
          <w:tab w:val="left" w:pos="1080"/>
        </w:tabs>
        <w:ind w:left="1800" w:hanging="1260"/>
        <w:jc w:val="both"/>
        <w:rPr>
          <w:rFonts w:ascii="Calibri" w:hAnsi="Calibri" w:cs="Arial"/>
          <w:bCs/>
          <w:lang w:val="en-GB"/>
        </w:rPr>
      </w:pPr>
    </w:p>
    <w:p w:rsidR="00EE67C0" w:rsidRPr="00E90D02" w:rsidRDefault="00EE67C0" w:rsidP="00C83B87">
      <w:pPr>
        <w:tabs>
          <w:tab w:val="left" w:pos="561"/>
          <w:tab w:val="left" w:pos="1080"/>
        </w:tabs>
        <w:ind w:left="1710" w:hanging="630"/>
        <w:jc w:val="both"/>
        <w:rPr>
          <w:rFonts w:ascii="Calibri" w:hAnsi="Calibri" w:cs="Arial"/>
          <w:bCs/>
          <w:color w:val="0000FF"/>
          <w:u w:val="single"/>
        </w:rPr>
      </w:pPr>
      <w:r w:rsidRPr="00E90D02">
        <w:rPr>
          <w:rFonts w:ascii="Calibri" w:hAnsi="Calibri" w:cs="Arial"/>
          <w:bCs/>
        </w:rPr>
        <w:t>4.</w:t>
      </w:r>
      <w:r w:rsidRPr="00E90D02">
        <w:rPr>
          <w:rFonts w:ascii="Calibri" w:hAnsi="Calibri" w:cs="Arial"/>
          <w:bCs/>
        </w:rPr>
        <w:tab/>
      </w:r>
      <w:hyperlink w:anchor="AFees" w:history="1">
        <w:r w:rsidRPr="00E90D02">
          <w:rPr>
            <w:rStyle w:val="Hyperlink"/>
            <w:rFonts w:ascii="Calibri" w:hAnsi="Calibri" w:cs="Arial"/>
            <w:bCs/>
            <w:u w:val="single"/>
          </w:rPr>
          <w:t>Audit and non-audit fees</w:t>
        </w:r>
      </w:hyperlink>
    </w:p>
    <w:p w:rsidR="00EE67C0" w:rsidRPr="00E90D02" w:rsidRDefault="00EE67C0" w:rsidP="00C83B87">
      <w:pPr>
        <w:tabs>
          <w:tab w:val="left" w:pos="561"/>
          <w:tab w:val="left" w:pos="1080"/>
        </w:tabs>
        <w:ind w:left="1710" w:hanging="630"/>
        <w:jc w:val="both"/>
        <w:rPr>
          <w:rFonts w:ascii="Calibri" w:hAnsi="Calibri" w:cs="Arial"/>
          <w:bCs/>
          <w:color w:val="0000FF"/>
          <w:u w:val="single"/>
        </w:rPr>
      </w:pPr>
    </w:p>
    <w:p w:rsidR="00EE67C0" w:rsidRDefault="00EE67C0" w:rsidP="0018387D">
      <w:pPr>
        <w:tabs>
          <w:tab w:val="left" w:pos="561"/>
          <w:tab w:val="left" w:pos="1080"/>
        </w:tabs>
        <w:ind w:left="1710" w:hanging="630"/>
        <w:jc w:val="both"/>
      </w:pPr>
      <w:r w:rsidRPr="00E90D02">
        <w:rPr>
          <w:rFonts w:ascii="Calibri" w:hAnsi="Calibri" w:cs="Arial"/>
          <w:bCs/>
        </w:rPr>
        <w:t>5.</w:t>
      </w:r>
      <w:r w:rsidRPr="00E90D02">
        <w:rPr>
          <w:rFonts w:ascii="Calibri" w:hAnsi="Calibri" w:cs="Arial"/>
          <w:bCs/>
        </w:rPr>
        <w:tab/>
      </w:r>
      <w:hyperlink w:anchor="_Hlk395611487" w:history="1" w:docLocation="1,33333,33359,0,,Non-financial information ">
        <w:r w:rsidRPr="00E90D02">
          <w:rPr>
            <w:rStyle w:val="Hyperlink"/>
            <w:rFonts w:ascii="Calibri" w:hAnsi="Calibri" w:cs="Arial"/>
            <w:u w:val="single"/>
          </w:rPr>
          <w:t xml:space="preserve">Non-financial information </w:t>
        </w:r>
      </w:hyperlink>
    </w:p>
    <w:p w:rsidR="00EE67C0" w:rsidRPr="00E90D02" w:rsidRDefault="00EE67C0" w:rsidP="0018387D">
      <w:pPr>
        <w:tabs>
          <w:tab w:val="left" w:pos="561"/>
          <w:tab w:val="left" w:pos="1080"/>
        </w:tabs>
        <w:ind w:left="1710" w:hanging="630"/>
        <w:jc w:val="both"/>
        <w:rPr>
          <w:rFonts w:ascii="Calibri" w:hAnsi="Calibri" w:cs="Arial"/>
          <w:bCs/>
          <w:color w:val="0000FF"/>
          <w:u w:val="single"/>
        </w:rPr>
      </w:pPr>
    </w:p>
    <w:p w:rsidR="00EE67C0" w:rsidRPr="00E90D02" w:rsidRDefault="00EE67C0" w:rsidP="008A3E9C">
      <w:pPr>
        <w:tabs>
          <w:tab w:val="left" w:pos="561"/>
          <w:tab w:val="left" w:pos="1080"/>
          <w:tab w:val="left" w:pos="1710"/>
        </w:tabs>
        <w:ind w:left="1710" w:hanging="630"/>
        <w:jc w:val="both"/>
        <w:rPr>
          <w:rFonts w:ascii="Calibri" w:hAnsi="Calibri" w:cs="Arial"/>
          <w:bCs/>
          <w:color w:val="0000FF"/>
        </w:rPr>
      </w:pPr>
      <w:r w:rsidRPr="00E90D02">
        <w:rPr>
          <w:rFonts w:ascii="Calibri" w:hAnsi="Calibri" w:cs="Arial"/>
          <w:bCs/>
        </w:rPr>
        <w:t>6.</w:t>
      </w:r>
      <w:r w:rsidRPr="00E90D02">
        <w:rPr>
          <w:rFonts w:ascii="Calibri" w:hAnsi="Calibri" w:cs="Arial"/>
          <w:bCs/>
          <w:color w:val="0000FF"/>
        </w:rPr>
        <w:tab/>
      </w:r>
      <w:hyperlink w:anchor="_Hlk395611558" w:history="1" w:docLocation="1,34043,34064,0,,Market Capitalisation">
        <w:r w:rsidRPr="00E90D02">
          <w:rPr>
            <w:rStyle w:val="Hyperlink"/>
            <w:rFonts w:ascii="Calibri" w:hAnsi="Calibri" w:cs="Arial"/>
            <w:u w:val="single"/>
          </w:rPr>
          <w:t>Market Capitalisation</w:t>
        </w:r>
      </w:hyperlink>
    </w:p>
    <w:p w:rsidR="00EE67C0" w:rsidRPr="00E90D02" w:rsidRDefault="00EE67C0" w:rsidP="00C83B87">
      <w:pPr>
        <w:tabs>
          <w:tab w:val="left" w:pos="561"/>
          <w:tab w:val="left" w:pos="1080"/>
        </w:tabs>
        <w:ind w:left="1710" w:hanging="630"/>
        <w:jc w:val="both"/>
        <w:rPr>
          <w:rFonts w:ascii="Calibri" w:hAnsi="Calibri" w:cs="Arial"/>
          <w:bCs/>
          <w:color w:val="0000FF"/>
          <w:u w:val="single"/>
        </w:rPr>
      </w:pPr>
    </w:p>
    <w:p w:rsidR="00EE67C0" w:rsidRPr="00C131D2" w:rsidRDefault="00EE67C0" w:rsidP="008A3E9C">
      <w:pPr>
        <w:tabs>
          <w:tab w:val="left" w:pos="720"/>
        </w:tabs>
        <w:ind w:left="1710" w:hanging="630"/>
        <w:jc w:val="both"/>
        <w:rPr>
          <w:rStyle w:val="Hyperlink"/>
          <w:rFonts w:ascii="Calibri" w:hAnsi="Calibri" w:cs="Arial"/>
          <w:b/>
          <w:sz w:val="28"/>
          <w:szCs w:val="28"/>
        </w:rPr>
      </w:pPr>
      <w:r w:rsidRPr="00C131D2">
        <w:rPr>
          <w:rFonts w:ascii="Calibri" w:hAnsi="Calibri" w:cs="Arial"/>
          <w:bCs/>
          <w:lang w:val="en-GB"/>
        </w:rPr>
        <w:t>7.</w:t>
      </w:r>
      <w:r w:rsidRPr="00C131D2">
        <w:rPr>
          <w:rFonts w:ascii="Calibri" w:hAnsi="Calibri" w:cs="Arial"/>
          <w:bCs/>
          <w:color w:val="0000FF"/>
          <w:lang w:val="en-GB"/>
        </w:rPr>
        <w:tab/>
      </w:r>
      <w:r w:rsidRPr="00C131D2">
        <w:rPr>
          <w:rFonts w:ascii="Calibri" w:hAnsi="Calibri" w:cs="Arial"/>
          <w:bCs/>
          <w:color w:val="0000FF"/>
          <w:lang w:val="en-GB"/>
        </w:rPr>
        <w:fldChar w:fldCharType="begin"/>
      </w:r>
      <w:r w:rsidRPr="00C131D2">
        <w:rPr>
          <w:rFonts w:ascii="Calibri" w:hAnsi="Calibri" w:cs="Arial"/>
          <w:bCs/>
          <w:color w:val="0000FF"/>
          <w:lang w:val="en-GB"/>
        </w:rPr>
        <w:instrText xml:space="preserve"> HYPERLINK  \l "_Hlk395611699" \s "1,34819,34837,0,,FSC regulated CIS" </w:instrText>
      </w:r>
      <w:r w:rsidRPr="00E90D02">
        <w:rPr>
          <w:rFonts w:ascii="Calibri" w:hAnsi="Calibri" w:cs="Arial"/>
          <w:bCs/>
          <w:color w:val="0000FF"/>
          <w:lang w:val="en-GB"/>
        </w:rPr>
      </w:r>
      <w:r w:rsidRPr="00C131D2">
        <w:rPr>
          <w:rFonts w:ascii="Calibri" w:hAnsi="Calibri" w:cs="Arial"/>
          <w:bCs/>
          <w:color w:val="0000FF"/>
          <w:lang w:val="en-GB"/>
        </w:rPr>
        <w:fldChar w:fldCharType="separate"/>
      </w:r>
      <w:r w:rsidRPr="00C131D2">
        <w:rPr>
          <w:rStyle w:val="Hyperlink"/>
          <w:rFonts w:ascii="Calibri" w:hAnsi="Calibri" w:cs="Arial"/>
          <w:u w:val="single"/>
        </w:rPr>
        <w:t>FSC regulated CIS</w:t>
      </w:r>
    </w:p>
    <w:p w:rsidR="00EE67C0" w:rsidRPr="00C131D2" w:rsidRDefault="00EE67C0" w:rsidP="00C83B87">
      <w:pPr>
        <w:tabs>
          <w:tab w:val="left" w:pos="561"/>
          <w:tab w:val="left" w:pos="1080"/>
        </w:tabs>
        <w:ind w:left="1710" w:hanging="630"/>
        <w:jc w:val="both"/>
        <w:rPr>
          <w:rFonts w:ascii="Calibri" w:hAnsi="Calibri" w:cs="Arial"/>
          <w:bCs/>
          <w:color w:val="0000FF"/>
          <w:u w:val="single"/>
          <w:lang w:val="en-GB"/>
        </w:rPr>
      </w:pPr>
      <w:r w:rsidRPr="00C131D2">
        <w:rPr>
          <w:rFonts w:ascii="Calibri" w:hAnsi="Calibri" w:cs="Arial"/>
          <w:bCs/>
          <w:color w:val="0000FF"/>
          <w:lang w:val="en-GB"/>
        </w:rPr>
        <w:fldChar w:fldCharType="end"/>
      </w:r>
    </w:p>
    <w:p w:rsidR="00EE67C0" w:rsidRPr="00C131D2" w:rsidRDefault="00EE67C0" w:rsidP="00C83B87">
      <w:pPr>
        <w:tabs>
          <w:tab w:val="left" w:pos="561"/>
          <w:tab w:val="left" w:pos="1080"/>
        </w:tabs>
        <w:ind w:left="1710" w:hanging="630"/>
        <w:jc w:val="both"/>
        <w:rPr>
          <w:rFonts w:ascii="Calibri" w:hAnsi="Calibri" w:cs="Arial"/>
          <w:bCs/>
          <w:color w:val="0000FF"/>
          <w:u w:val="single"/>
          <w:lang w:val="en-GB"/>
        </w:rPr>
      </w:pPr>
      <w:r w:rsidRPr="00C131D2">
        <w:rPr>
          <w:rFonts w:ascii="Calibri" w:hAnsi="Calibri" w:cs="Arial"/>
          <w:bCs/>
          <w:lang w:val="en-GB"/>
        </w:rPr>
        <w:t>8.</w:t>
      </w:r>
      <w:r w:rsidRPr="00C131D2">
        <w:rPr>
          <w:rFonts w:ascii="Calibri" w:hAnsi="Calibri" w:cs="Arial"/>
          <w:bCs/>
          <w:color w:val="0000FF"/>
          <w:lang w:val="en-GB"/>
        </w:rPr>
        <w:tab/>
      </w:r>
      <w:hyperlink w:anchor="_Hlk395611800" w:history="1" w:docLocation="1,35584,35606,0,,Categories of Auditors">
        <w:r w:rsidRPr="00C131D2">
          <w:rPr>
            <w:rStyle w:val="Hyperlink"/>
            <w:rFonts w:ascii="Calibri" w:hAnsi="Calibri" w:cs="Arial"/>
            <w:u w:val="single"/>
          </w:rPr>
          <w:t>Categories of Auditors</w:t>
        </w:r>
      </w:hyperlink>
    </w:p>
    <w:p w:rsidR="00EE67C0" w:rsidRPr="00C35531" w:rsidRDefault="00EE67C0" w:rsidP="00C83B87">
      <w:pPr>
        <w:tabs>
          <w:tab w:val="left" w:pos="540"/>
          <w:tab w:val="left" w:pos="1080"/>
        </w:tabs>
        <w:ind w:left="1710" w:hanging="630"/>
        <w:jc w:val="both"/>
        <w:rPr>
          <w:rFonts w:ascii="Calibri" w:hAnsi="Calibri" w:cs="Arial"/>
          <w:bCs/>
          <w:highlight w:val="yellow"/>
          <w:lang w:val="en-GB"/>
        </w:rPr>
      </w:pPr>
    </w:p>
    <w:p w:rsidR="00EE67C0" w:rsidRPr="00C35531" w:rsidRDefault="00EE67C0" w:rsidP="00697A13">
      <w:pPr>
        <w:ind w:left="720"/>
        <w:rPr>
          <w:rStyle w:val="Hyperlink"/>
          <w:rFonts w:ascii="Calibri" w:hAnsi="Calibri" w:cs="Arial"/>
          <w:b/>
          <w:color w:val="FF0000"/>
          <w:lang w:val="en-GB"/>
        </w:rPr>
      </w:pPr>
      <w:r w:rsidRPr="00C35531">
        <w:rPr>
          <w:rFonts w:ascii="Calibri" w:hAnsi="Calibri" w:cs="Arial"/>
          <w:b/>
          <w:bCs/>
          <w:color w:val="FF0000"/>
          <w:highlight w:val="yellow"/>
          <w:lang w:val="en-GB"/>
        </w:rPr>
        <w:fldChar w:fldCharType="begin"/>
      </w:r>
      <w:r w:rsidRPr="00C35531">
        <w:rPr>
          <w:rFonts w:ascii="Calibri" w:hAnsi="Calibri" w:cs="Arial"/>
          <w:b/>
          <w:bCs/>
          <w:color w:val="FF0000"/>
          <w:highlight w:val="yellow"/>
          <w:lang w:val="en-GB"/>
        </w:rPr>
        <w:instrText xml:space="preserve"> HYPERLINK  \l "_Hlk395610500" \s "1,36264,36309,0,,PART B - Follow up reviews of an" </w:instrText>
      </w:r>
      <w:r w:rsidRPr="00E90D02">
        <w:rPr>
          <w:rFonts w:ascii="Calibri" w:hAnsi="Calibri" w:cs="Arial"/>
          <w:b/>
          <w:bCs/>
          <w:color w:val="FF0000"/>
          <w:highlight w:val="yellow"/>
          <w:lang w:val="en-GB"/>
        </w:rPr>
      </w:r>
      <w:r w:rsidRPr="00C35531">
        <w:rPr>
          <w:rFonts w:ascii="Calibri" w:hAnsi="Calibri" w:cs="Arial"/>
          <w:b/>
          <w:bCs/>
          <w:color w:val="FF0000"/>
          <w:highlight w:val="yellow"/>
          <w:lang w:val="en-GB"/>
        </w:rPr>
        <w:fldChar w:fldCharType="separate"/>
      </w:r>
      <w:r w:rsidRPr="00C35531">
        <w:rPr>
          <w:rStyle w:val="Hyperlink"/>
          <w:rFonts w:ascii="Calibri" w:hAnsi="Calibri" w:cs="Arial"/>
          <w:b/>
          <w:color w:val="FF0000"/>
          <w:lang w:val="en-GB"/>
        </w:rPr>
        <w:t>PART B - Follow up reviews of annual reports</w:t>
      </w:r>
    </w:p>
    <w:p w:rsidR="00EE67C0" w:rsidRPr="00C35531" w:rsidRDefault="00EE67C0" w:rsidP="00697A13">
      <w:pPr>
        <w:tabs>
          <w:tab w:val="left" w:pos="540"/>
          <w:tab w:val="left" w:pos="1080"/>
          <w:tab w:val="left" w:pos="1710"/>
        </w:tabs>
        <w:jc w:val="both"/>
        <w:rPr>
          <w:rFonts w:ascii="Calibri" w:hAnsi="Calibri" w:cs="Arial"/>
          <w:b/>
          <w:bCs/>
          <w:color w:val="FF0000"/>
          <w:highlight w:val="yellow"/>
          <w:lang w:val="en-GB"/>
        </w:rPr>
      </w:pPr>
      <w:r w:rsidRPr="00C35531">
        <w:rPr>
          <w:rFonts w:ascii="Calibri" w:hAnsi="Calibri" w:cs="Arial"/>
          <w:b/>
          <w:bCs/>
          <w:color w:val="FF0000"/>
          <w:highlight w:val="yellow"/>
          <w:lang w:val="en-GB"/>
        </w:rPr>
        <w:fldChar w:fldCharType="end"/>
      </w:r>
    </w:p>
    <w:p w:rsidR="00EE67C0" w:rsidRPr="00C131D2" w:rsidRDefault="00EE67C0" w:rsidP="00697A13">
      <w:pPr>
        <w:tabs>
          <w:tab w:val="left" w:pos="720"/>
        </w:tabs>
        <w:jc w:val="both"/>
        <w:rPr>
          <w:rStyle w:val="Hyperlink"/>
          <w:rFonts w:ascii="Calibri" w:hAnsi="Calibri" w:cs="Arial"/>
          <w:b/>
          <w:color w:val="FF0000"/>
        </w:rPr>
      </w:pPr>
      <w:r w:rsidRPr="00C131D2">
        <w:rPr>
          <w:rFonts w:ascii="Calibri" w:hAnsi="Calibri" w:cs="Arial"/>
          <w:b/>
          <w:bCs/>
          <w:color w:val="FF0000"/>
          <w:lang w:val="en-GB"/>
        </w:rPr>
        <w:tab/>
      </w:r>
      <w:r w:rsidRPr="00C131D2">
        <w:rPr>
          <w:rFonts w:ascii="Calibri" w:hAnsi="Calibri" w:cs="Arial"/>
          <w:b/>
          <w:bCs/>
          <w:color w:val="FF0000"/>
          <w:lang w:val="en-GB"/>
        </w:rPr>
        <w:fldChar w:fldCharType="begin"/>
      </w:r>
      <w:r w:rsidRPr="00C131D2">
        <w:rPr>
          <w:rFonts w:ascii="Calibri" w:hAnsi="Calibri" w:cs="Arial"/>
          <w:b/>
          <w:bCs/>
          <w:color w:val="FF0000"/>
          <w:lang w:val="en-GB"/>
        </w:rPr>
        <w:instrText xml:space="preserve"> HYPERLINK  \l "_Hlk395610623" \s "1,41350,41393,0,,PART C - Grading of Annual Repor" </w:instrText>
      </w:r>
      <w:r w:rsidRPr="00E90D02">
        <w:rPr>
          <w:rFonts w:ascii="Calibri" w:hAnsi="Calibri" w:cs="Arial"/>
          <w:b/>
          <w:bCs/>
          <w:color w:val="FF0000"/>
          <w:lang w:val="en-GB"/>
        </w:rPr>
      </w:r>
      <w:r w:rsidRPr="00C131D2">
        <w:rPr>
          <w:rFonts w:ascii="Calibri" w:hAnsi="Calibri" w:cs="Arial"/>
          <w:b/>
          <w:bCs/>
          <w:color w:val="FF0000"/>
          <w:lang w:val="en-GB"/>
        </w:rPr>
        <w:fldChar w:fldCharType="separate"/>
      </w:r>
      <w:r w:rsidRPr="00C131D2">
        <w:rPr>
          <w:rStyle w:val="Hyperlink"/>
          <w:rFonts w:ascii="Calibri" w:hAnsi="Calibri" w:cs="Arial"/>
          <w:b/>
          <w:color w:val="FF0000"/>
        </w:rPr>
        <w:t xml:space="preserve">PART C - Grading of Annual Report Reviews </w:t>
      </w:r>
    </w:p>
    <w:p w:rsidR="00EE67C0" w:rsidRPr="00C35531" w:rsidRDefault="00EE67C0" w:rsidP="0020635E">
      <w:pPr>
        <w:tabs>
          <w:tab w:val="left" w:pos="561"/>
          <w:tab w:val="left" w:pos="630"/>
          <w:tab w:val="left" w:pos="1710"/>
        </w:tabs>
        <w:jc w:val="both"/>
        <w:rPr>
          <w:rFonts w:ascii="Calibri" w:hAnsi="Calibri" w:cs="Arial"/>
          <w:b/>
          <w:bCs/>
          <w:color w:val="FF0000"/>
          <w:highlight w:val="yellow"/>
          <w:lang w:val="en-GB"/>
        </w:rPr>
      </w:pPr>
      <w:r w:rsidRPr="00C131D2">
        <w:rPr>
          <w:rFonts w:ascii="Calibri" w:hAnsi="Calibri" w:cs="Arial"/>
          <w:b/>
          <w:bCs/>
          <w:color w:val="FF0000"/>
          <w:lang w:val="en-GB"/>
        </w:rPr>
        <w:fldChar w:fldCharType="end"/>
      </w:r>
    </w:p>
    <w:p w:rsidR="00EE67C0" w:rsidRPr="00C35531" w:rsidRDefault="00EE67C0" w:rsidP="0020635E">
      <w:pPr>
        <w:tabs>
          <w:tab w:val="left" w:pos="561"/>
        </w:tabs>
        <w:ind w:left="1281" w:hanging="561"/>
        <w:jc w:val="both"/>
        <w:rPr>
          <w:rStyle w:val="Hyperlink"/>
          <w:rFonts w:ascii="Calibri" w:hAnsi="Calibri"/>
          <w:color w:val="FF0000"/>
        </w:rPr>
      </w:pPr>
      <w:r w:rsidRPr="00C35531">
        <w:rPr>
          <w:rFonts w:ascii="Calibri" w:hAnsi="Calibri" w:cs="Arial"/>
          <w:b/>
          <w:bCs/>
          <w:color w:val="FF0000"/>
          <w:highlight w:val="yellow"/>
          <w:lang w:val="en-GB"/>
        </w:rPr>
        <w:fldChar w:fldCharType="begin"/>
      </w:r>
      <w:r w:rsidRPr="00C35531">
        <w:rPr>
          <w:rFonts w:ascii="Calibri" w:hAnsi="Calibri" w:cs="Arial"/>
          <w:b/>
          <w:bCs/>
          <w:color w:val="FF0000"/>
          <w:highlight w:val="yellow"/>
          <w:lang w:val="en-GB"/>
        </w:rPr>
        <w:instrText xml:space="preserve"> HYPERLINK  \l "_Hlk395610793" \s "1,43050,43070,0,,PART D - Conclusion" </w:instrText>
      </w:r>
      <w:r w:rsidRPr="00E90D02">
        <w:rPr>
          <w:rFonts w:ascii="Calibri" w:hAnsi="Calibri" w:cs="Arial"/>
          <w:b/>
          <w:bCs/>
          <w:color w:val="FF0000"/>
          <w:highlight w:val="yellow"/>
          <w:lang w:val="en-GB"/>
        </w:rPr>
      </w:r>
      <w:r w:rsidRPr="00C35531">
        <w:rPr>
          <w:rFonts w:ascii="Calibri" w:hAnsi="Calibri" w:cs="Arial"/>
          <w:b/>
          <w:bCs/>
          <w:color w:val="FF0000"/>
          <w:highlight w:val="yellow"/>
          <w:lang w:val="en-GB"/>
        </w:rPr>
        <w:fldChar w:fldCharType="separate"/>
      </w:r>
      <w:r w:rsidRPr="00C35531">
        <w:rPr>
          <w:rStyle w:val="Hyperlink"/>
          <w:rFonts w:ascii="Calibri" w:hAnsi="Calibri" w:cs="Arial"/>
          <w:b/>
          <w:color w:val="FF0000"/>
        </w:rPr>
        <w:t xml:space="preserve">PART D - </w:t>
      </w:r>
      <w:r w:rsidRPr="00C35531">
        <w:rPr>
          <w:rStyle w:val="Hyperlink"/>
          <w:rFonts w:ascii="Calibri" w:hAnsi="Calibri" w:cs="Arial"/>
          <w:b/>
          <w:bCs/>
          <w:color w:val="FF0000"/>
          <w:lang w:val="en-GB"/>
        </w:rPr>
        <w:t>Conclusion</w:t>
      </w:r>
    </w:p>
    <w:p w:rsidR="00EE67C0" w:rsidRPr="00C35531" w:rsidRDefault="00EE67C0" w:rsidP="0020635E">
      <w:pPr>
        <w:tabs>
          <w:tab w:val="left" w:pos="561"/>
          <w:tab w:val="left" w:pos="1080"/>
          <w:tab w:val="left" w:pos="1710"/>
        </w:tabs>
        <w:ind w:left="2340" w:hanging="900"/>
        <w:jc w:val="both"/>
        <w:rPr>
          <w:rFonts w:ascii="Calibri" w:hAnsi="Calibri" w:cs="Arial"/>
          <w:b/>
          <w:bCs/>
          <w:color w:val="FF0000"/>
          <w:highlight w:val="yellow"/>
          <w:lang w:val="en-GB"/>
        </w:rPr>
      </w:pPr>
      <w:r w:rsidRPr="00C35531">
        <w:rPr>
          <w:rFonts w:ascii="Calibri" w:hAnsi="Calibri" w:cs="Arial"/>
          <w:b/>
          <w:bCs/>
          <w:color w:val="FF0000"/>
          <w:highlight w:val="yellow"/>
          <w:lang w:val="en-GB"/>
        </w:rPr>
        <w:fldChar w:fldCharType="end"/>
      </w:r>
    </w:p>
    <w:p w:rsidR="00EE67C0" w:rsidRPr="00CA4DD2" w:rsidRDefault="00EE67C0" w:rsidP="00E51B52">
      <w:pPr>
        <w:rPr>
          <w:rFonts w:ascii="Calibri" w:hAnsi="Calibri" w:cs="Arial"/>
          <w:bCs/>
          <w:color w:val="FF0000"/>
          <w:lang w:val="en-GB"/>
        </w:rPr>
      </w:pPr>
      <w:r w:rsidRPr="00C35531">
        <w:rPr>
          <w:rFonts w:ascii="Calibri" w:hAnsi="Calibri"/>
          <w:highlight w:val="yellow"/>
        </w:rPr>
        <w:br w:type="page"/>
      </w:r>
      <w:bookmarkStart w:id="4" w:name="_Hlk395610325"/>
      <w:r w:rsidRPr="00CA4DD2">
        <w:rPr>
          <w:rFonts w:ascii="Calibri" w:hAnsi="Calibri" w:cs="Arial"/>
          <w:b/>
          <w:color w:val="FF0000"/>
          <w:sz w:val="28"/>
          <w:szCs w:val="28"/>
          <w:lang w:val="en-GB"/>
        </w:rPr>
        <w:t>PART A - Full reviews</w:t>
      </w:r>
      <w:bookmarkEnd w:id="4"/>
    </w:p>
    <w:p w:rsidR="00EE67C0" w:rsidRPr="00CA4DD2" w:rsidRDefault="00EE67C0" w:rsidP="00590541">
      <w:pPr>
        <w:jc w:val="both"/>
        <w:rPr>
          <w:rFonts w:ascii="Calibri" w:hAnsi="Calibri" w:cs="Arial"/>
          <w:b/>
          <w:color w:val="0000FF"/>
        </w:rPr>
      </w:pPr>
    </w:p>
    <w:p w:rsidR="00EE67C0" w:rsidRPr="00CA4DD2" w:rsidRDefault="00EE67C0" w:rsidP="00BC15F9">
      <w:pPr>
        <w:tabs>
          <w:tab w:val="left" w:pos="720"/>
        </w:tabs>
        <w:jc w:val="both"/>
        <w:rPr>
          <w:rFonts w:ascii="Calibri" w:hAnsi="Calibri" w:cs="Arial"/>
          <w:b/>
          <w:color w:val="0000FF"/>
          <w:sz w:val="28"/>
          <w:szCs w:val="28"/>
        </w:rPr>
      </w:pPr>
      <w:r w:rsidRPr="00CA4DD2">
        <w:rPr>
          <w:rFonts w:ascii="Calibri" w:hAnsi="Calibri" w:cs="Arial"/>
          <w:b/>
          <w:color w:val="0000FF"/>
          <w:sz w:val="28"/>
          <w:szCs w:val="28"/>
        </w:rPr>
        <w:t>I.</w:t>
      </w:r>
      <w:r w:rsidRPr="00CA4DD2">
        <w:rPr>
          <w:rFonts w:ascii="Calibri" w:hAnsi="Calibri" w:cs="Arial"/>
          <w:b/>
          <w:color w:val="0000FF"/>
          <w:sz w:val="28"/>
          <w:szCs w:val="28"/>
        </w:rPr>
        <w:tab/>
      </w:r>
      <w:bookmarkStart w:id="5" w:name="IFRS1"/>
      <w:r w:rsidRPr="00CA4DD2">
        <w:rPr>
          <w:rFonts w:ascii="Calibri" w:hAnsi="Calibri" w:cs="Arial"/>
          <w:b/>
          <w:color w:val="0000FF"/>
          <w:sz w:val="28"/>
          <w:szCs w:val="28"/>
          <w:lang w:val="en-GB"/>
        </w:rPr>
        <w:t>IFRS Findings</w:t>
      </w:r>
      <w:bookmarkEnd w:id="5"/>
    </w:p>
    <w:p w:rsidR="00EE67C0" w:rsidRDefault="00EE67C0" w:rsidP="00BC15F9">
      <w:pPr>
        <w:jc w:val="both"/>
        <w:rPr>
          <w:rFonts w:ascii="Calibri" w:hAnsi="Calibri" w:cs="Arial"/>
          <w:b/>
          <w:highlight w:val="yellow"/>
        </w:rPr>
      </w:pPr>
    </w:p>
    <w:p w:rsidR="00EE67C0" w:rsidRPr="001D29E1" w:rsidRDefault="00EE67C0" w:rsidP="001D29E1">
      <w:pPr>
        <w:ind w:left="720" w:hanging="720"/>
        <w:jc w:val="both"/>
        <w:rPr>
          <w:rFonts w:ascii="Calibri" w:hAnsi="Calibri" w:cs="Arial"/>
          <w:highlight w:val="yellow"/>
        </w:rPr>
      </w:pPr>
      <w:r w:rsidRPr="001D29E1">
        <w:rPr>
          <w:rFonts w:ascii="Calibri" w:hAnsi="Calibri" w:cs="Arial"/>
          <w:b/>
        </w:rPr>
        <w:tab/>
      </w:r>
      <w:r w:rsidRPr="001D29E1">
        <w:rPr>
          <w:rFonts w:ascii="Calibri" w:hAnsi="Calibri" w:cs="Arial"/>
        </w:rPr>
        <w:t>Compliance with IFRS is a means of ensuring transparency and completeness of financial information. FRC has identified weaknesses in compliance with the following IFRSs:</w:t>
      </w:r>
    </w:p>
    <w:p w:rsidR="00EE67C0" w:rsidRPr="001D29E1" w:rsidRDefault="00EE67C0" w:rsidP="001D29E1">
      <w:pPr>
        <w:ind w:left="720" w:hanging="720"/>
        <w:jc w:val="both"/>
        <w:rPr>
          <w:rFonts w:ascii="Calibri" w:hAnsi="Calibri" w:cs="Arial"/>
          <w:highlight w:val="yellow"/>
        </w:rPr>
      </w:pPr>
    </w:p>
    <w:p w:rsidR="00EE67C0" w:rsidRPr="00DB43E7" w:rsidRDefault="00EE67C0" w:rsidP="00BC15F9">
      <w:pPr>
        <w:jc w:val="both"/>
        <w:rPr>
          <w:rFonts w:ascii="Calibri" w:hAnsi="Calibri" w:cs="Arial"/>
          <w:b/>
        </w:rPr>
      </w:pPr>
      <w:r w:rsidRPr="00DB43E7">
        <w:rPr>
          <w:rFonts w:ascii="Calibri" w:hAnsi="Calibri" w:cs="Arial"/>
          <w:b/>
        </w:rPr>
        <w:t>1.1</w:t>
      </w:r>
      <w:r w:rsidRPr="00DB43E7">
        <w:rPr>
          <w:rFonts w:ascii="Calibri" w:hAnsi="Calibri" w:cs="Arial"/>
          <w:b/>
        </w:rPr>
        <w:tab/>
        <w:t xml:space="preserve">IAS 1, Presentation of Financial Statements </w:t>
      </w:r>
    </w:p>
    <w:p w:rsidR="00EE67C0" w:rsidRPr="00DB43E7" w:rsidRDefault="00EE67C0" w:rsidP="00BC15F9">
      <w:pPr>
        <w:ind w:left="748"/>
        <w:jc w:val="both"/>
        <w:rPr>
          <w:rFonts w:ascii="Calibri" w:hAnsi="Calibri" w:cs="Arial"/>
          <w:b/>
        </w:rPr>
      </w:pPr>
    </w:p>
    <w:p w:rsidR="00EE67C0" w:rsidRPr="00DB43E7" w:rsidRDefault="00EE67C0" w:rsidP="00BC15F9">
      <w:pPr>
        <w:ind w:left="748"/>
        <w:jc w:val="both"/>
        <w:rPr>
          <w:rFonts w:ascii="Calibri" w:hAnsi="Calibri" w:cs="Arial"/>
        </w:rPr>
      </w:pPr>
      <w:r w:rsidRPr="00DB43E7">
        <w:rPr>
          <w:rFonts w:ascii="Calibri" w:hAnsi="Calibri" w:cs="Arial"/>
        </w:rPr>
        <w:t xml:space="preserve">IAS 1 prescribes the basis for presentation of general purpose financial statements to ensure comparability both with a company’s previous financial reporting and with the financial statements of other entities.  </w:t>
      </w:r>
    </w:p>
    <w:p w:rsidR="00EE67C0" w:rsidRPr="00DB43E7" w:rsidRDefault="00EE67C0" w:rsidP="00BC15F9">
      <w:pPr>
        <w:ind w:left="748"/>
        <w:jc w:val="both"/>
        <w:rPr>
          <w:rFonts w:ascii="Calibri" w:hAnsi="Calibri" w:cs="Arial"/>
          <w:b/>
        </w:rPr>
      </w:pPr>
    </w:p>
    <w:p w:rsidR="00EE67C0" w:rsidRPr="00DB43E7" w:rsidRDefault="00EE67C0" w:rsidP="00BC15F9">
      <w:pPr>
        <w:ind w:left="748"/>
        <w:jc w:val="both"/>
        <w:rPr>
          <w:rFonts w:ascii="Calibri" w:hAnsi="Calibri" w:cs="Arial"/>
        </w:rPr>
      </w:pPr>
      <w:r w:rsidRPr="00DB43E7">
        <w:rPr>
          <w:rFonts w:ascii="Calibri" w:hAnsi="Calibri" w:cs="Arial"/>
        </w:rPr>
        <w:t>The main non-disclosures identified in respect of IAS 1 were as follows:</w:t>
      </w:r>
    </w:p>
    <w:p w:rsidR="00EE67C0" w:rsidRPr="00C35531" w:rsidRDefault="00EE67C0" w:rsidP="00BC15F9">
      <w:pPr>
        <w:jc w:val="both"/>
        <w:rPr>
          <w:rFonts w:ascii="Calibri" w:hAnsi="Calibri" w:cs="Arial"/>
          <w:b/>
          <w:color w:val="FF0000"/>
          <w:highlight w:val="yellow"/>
        </w:rPr>
      </w:pPr>
    </w:p>
    <w:p w:rsidR="00EE67C0" w:rsidRDefault="00EE67C0" w:rsidP="008D126B">
      <w:pPr>
        <w:numPr>
          <w:ilvl w:val="0"/>
          <w:numId w:val="22"/>
        </w:numPr>
        <w:ind w:left="1080" w:hanging="360"/>
        <w:jc w:val="both"/>
        <w:rPr>
          <w:rFonts w:ascii="Calibri" w:hAnsi="Calibri" w:cs="Arial"/>
          <w:b/>
        </w:rPr>
      </w:pPr>
      <w:r w:rsidRPr="00833BE6">
        <w:rPr>
          <w:rFonts w:ascii="Calibri" w:hAnsi="Calibri" w:cs="Arial"/>
          <w:b/>
        </w:rPr>
        <w:t>Frequency of reporting</w:t>
      </w:r>
    </w:p>
    <w:p w:rsidR="00EE67C0" w:rsidRDefault="00EE67C0" w:rsidP="00833BE6">
      <w:pPr>
        <w:ind w:left="1080"/>
        <w:jc w:val="both"/>
        <w:rPr>
          <w:rFonts w:ascii="Calibri" w:hAnsi="Calibri" w:cs="Arial"/>
          <w:b/>
        </w:rPr>
      </w:pPr>
    </w:p>
    <w:p w:rsidR="00EE67C0" w:rsidRPr="00DB43E7" w:rsidRDefault="00EE67C0" w:rsidP="00833BE6">
      <w:pPr>
        <w:autoSpaceDE w:val="0"/>
        <w:autoSpaceDN w:val="0"/>
        <w:adjustRightInd w:val="0"/>
        <w:ind w:left="1134"/>
        <w:jc w:val="both"/>
        <w:rPr>
          <w:rFonts w:ascii="Calibri" w:hAnsi="Calibri" w:cs="Arial"/>
        </w:rPr>
      </w:pPr>
      <w:r w:rsidRPr="00833BE6">
        <w:rPr>
          <w:rFonts w:ascii="Calibri" w:hAnsi="Calibri" w:cs="Arial"/>
        </w:rPr>
        <w:t>This standard states that when an entity changes the end of its reporting period and presents financial statements for a period longer or shorter than one year, an entity shall disclose, in addition to the period covered by the</w:t>
      </w:r>
      <w:r>
        <w:rPr>
          <w:rFonts w:ascii="Calibri" w:hAnsi="Calibri" w:cs="Arial"/>
        </w:rPr>
        <w:t xml:space="preserve"> financial statements </w:t>
      </w:r>
      <w:r w:rsidRPr="00833BE6">
        <w:rPr>
          <w:rFonts w:ascii="Calibri" w:hAnsi="Calibri" w:cs="Arial"/>
        </w:rPr>
        <w:t>the reason for u</w:t>
      </w:r>
      <w:r>
        <w:rPr>
          <w:rFonts w:ascii="Calibri" w:hAnsi="Calibri" w:cs="Arial"/>
        </w:rPr>
        <w:t>sing a longer or shorter period</w:t>
      </w:r>
      <w:r w:rsidRPr="00DB43E7">
        <w:rPr>
          <w:rFonts w:ascii="Calibri" w:hAnsi="Calibri" w:cs="Arial"/>
        </w:rPr>
        <w:t xml:space="preserve">(IAS 1 paragraph </w:t>
      </w:r>
      <w:r>
        <w:rPr>
          <w:rFonts w:ascii="Calibri" w:hAnsi="Calibri" w:cs="Arial"/>
        </w:rPr>
        <w:t>36</w:t>
      </w:r>
      <w:r w:rsidRPr="00DB43E7">
        <w:rPr>
          <w:rFonts w:ascii="Calibri" w:hAnsi="Calibri" w:cs="Arial"/>
        </w:rPr>
        <w:t>(</w:t>
      </w:r>
      <w:r>
        <w:rPr>
          <w:rFonts w:ascii="Calibri" w:hAnsi="Calibri" w:cs="Arial"/>
        </w:rPr>
        <w:t>a</w:t>
      </w:r>
      <w:r w:rsidRPr="00DB43E7">
        <w:rPr>
          <w:rFonts w:ascii="Calibri" w:hAnsi="Calibri" w:cs="Arial"/>
        </w:rPr>
        <w:t>)).</w:t>
      </w:r>
    </w:p>
    <w:p w:rsidR="00EE67C0" w:rsidRPr="00833BE6" w:rsidRDefault="00EE67C0" w:rsidP="00833BE6">
      <w:pPr>
        <w:autoSpaceDE w:val="0"/>
        <w:autoSpaceDN w:val="0"/>
        <w:adjustRightInd w:val="0"/>
        <w:ind w:left="1134"/>
        <w:jc w:val="both"/>
        <w:rPr>
          <w:rFonts w:ascii="Calibri" w:hAnsi="Calibri" w:cs="Arial"/>
        </w:rPr>
      </w:pPr>
    </w:p>
    <w:p w:rsidR="00EE67C0" w:rsidRPr="00DB43E7" w:rsidRDefault="00EE67C0" w:rsidP="00833BE6">
      <w:pPr>
        <w:ind w:left="1122"/>
        <w:jc w:val="both"/>
        <w:rPr>
          <w:rFonts w:ascii="Calibri" w:hAnsi="Calibri" w:cs="Arial"/>
          <w:b/>
        </w:rPr>
      </w:pPr>
      <w:r w:rsidRPr="00D240E9">
        <w:rPr>
          <w:rFonts w:ascii="Calibri" w:hAnsi="Calibri" w:cs="Arial"/>
          <w:b/>
        </w:rPr>
        <w:t xml:space="preserve">3 </w:t>
      </w:r>
      <w:r>
        <w:rPr>
          <w:rFonts w:ascii="Calibri" w:hAnsi="Calibri" w:cs="Arial"/>
          <w:b/>
          <w:lang w:val="en-GB"/>
        </w:rPr>
        <w:t>PIEs in Category 4</w:t>
      </w:r>
      <w:r w:rsidRPr="006536A2">
        <w:rPr>
          <w:rFonts w:ascii="Calibri" w:hAnsi="Calibri" w:cs="Arial"/>
          <w:b/>
          <w:lang w:val="en-GB"/>
        </w:rPr>
        <w:t xml:space="preserve">had not </w:t>
      </w:r>
      <w:r>
        <w:rPr>
          <w:rFonts w:ascii="Calibri" w:hAnsi="Calibri" w:cs="Arial"/>
          <w:b/>
          <w:lang w:val="en-GB"/>
        </w:rPr>
        <w:t>disclosed t</w:t>
      </w:r>
      <w:r w:rsidRPr="00833BE6">
        <w:rPr>
          <w:rFonts w:ascii="Calibri" w:hAnsi="Calibri" w:cs="Arial"/>
          <w:b/>
          <w:lang w:val="en-GB"/>
        </w:rPr>
        <w:t>he reasons for using a longer or shorter period</w:t>
      </w:r>
      <w:r>
        <w:rPr>
          <w:rFonts w:ascii="Calibri" w:hAnsi="Calibri" w:cs="Arial"/>
          <w:b/>
          <w:lang w:val="en-GB"/>
        </w:rPr>
        <w:t>.</w:t>
      </w:r>
    </w:p>
    <w:p w:rsidR="00EE67C0" w:rsidRDefault="00EE67C0" w:rsidP="00833BE6">
      <w:pPr>
        <w:ind w:left="1080"/>
        <w:jc w:val="both"/>
        <w:rPr>
          <w:rFonts w:ascii="Calibri" w:hAnsi="Calibri" w:cs="Arial"/>
          <w:b/>
        </w:rPr>
      </w:pPr>
    </w:p>
    <w:p w:rsidR="00EE67C0" w:rsidRPr="00DB43E7" w:rsidRDefault="00EE67C0" w:rsidP="008D126B">
      <w:pPr>
        <w:numPr>
          <w:ilvl w:val="0"/>
          <w:numId w:val="22"/>
        </w:numPr>
        <w:ind w:left="1080" w:hanging="360"/>
        <w:jc w:val="both"/>
        <w:rPr>
          <w:rFonts w:ascii="Calibri" w:hAnsi="Calibri" w:cs="Arial"/>
          <w:b/>
        </w:rPr>
      </w:pPr>
      <w:r w:rsidRPr="00DB43E7">
        <w:rPr>
          <w:rFonts w:ascii="Calibri" w:hAnsi="Calibri" w:cs="Arial"/>
          <w:b/>
        </w:rPr>
        <w:t>Description of reserves</w:t>
      </w:r>
    </w:p>
    <w:p w:rsidR="00EE67C0" w:rsidRPr="00DB43E7" w:rsidRDefault="00EE67C0" w:rsidP="00BC15F9">
      <w:pPr>
        <w:jc w:val="both"/>
        <w:rPr>
          <w:rFonts w:ascii="Calibri" w:hAnsi="Calibri" w:cs="Arial"/>
          <w:b/>
        </w:rPr>
      </w:pPr>
    </w:p>
    <w:p w:rsidR="00EE67C0" w:rsidRPr="00DB43E7" w:rsidRDefault="00EE67C0" w:rsidP="00BC15F9">
      <w:pPr>
        <w:autoSpaceDE w:val="0"/>
        <w:autoSpaceDN w:val="0"/>
        <w:adjustRightInd w:val="0"/>
        <w:ind w:left="1134"/>
        <w:jc w:val="both"/>
        <w:rPr>
          <w:rFonts w:ascii="Calibri" w:hAnsi="Calibri" w:cs="Arial"/>
        </w:rPr>
      </w:pPr>
      <w:r w:rsidRPr="00DB43E7">
        <w:rPr>
          <w:rFonts w:ascii="Calibri" w:hAnsi="Calibri" w:cs="Arial"/>
        </w:rPr>
        <w:t>Entities are required to provide a description of the nature and purpose of each reserve within equity (IAS 1 paragraph 79(b)).</w:t>
      </w:r>
    </w:p>
    <w:p w:rsidR="00EE67C0" w:rsidRPr="00C35531" w:rsidRDefault="00EE67C0" w:rsidP="00BC15F9">
      <w:pPr>
        <w:jc w:val="both"/>
        <w:rPr>
          <w:rFonts w:ascii="Calibri" w:hAnsi="Calibri" w:cs="Arial"/>
          <w:b/>
          <w:highlight w:val="yellow"/>
        </w:rPr>
      </w:pPr>
    </w:p>
    <w:p w:rsidR="00EE67C0" w:rsidRPr="00DB43E7" w:rsidRDefault="00EE67C0" w:rsidP="00BC15F9">
      <w:pPr>
        <w:ind w:left="1122"/>
        <w:jc w:val="both"/>
        <w:rPr>
          <w:rFonts w:ascii="Calibri" w:hAnsi="Calibri" w:cs="Arial"/>
          <w:b/>
        </w:rPr>
      </w:pPr>
      <w:r w:rsidRPr="00D240E9">
        <w:rPr>
          <w:rFonts w:ascii="Calibri" w:hAnsi="Calibri" w:cs="Arial"/>
          <w:b/>
        </w:rPr>
        <w:t xml:space="preserve">3 </w:t>
      </w:r>
      <w:r>
        <w:rPr>
          <w:rFonts w:ascii="Calibri" w:hAnsi="Calibri" w:cs="Arial"/>
          <w:b/>
          <w:lang w:val="en-GB"/>
        </w:rPr>
        <w:t>PIEs in Category 4</w:t>
      </w:r>
      <w:r w:rsidRPr="006536A2">
        <w:rPr>
          <w:rFonts w:ascii="Calibri" w:hAnsi="Calibri" w:cs="Arial"/>
          <w:b/>
          <w:lang w:val="en-GB"/>
        </w:rPr>
        <w:t xml:space="preserve">had not provided </w:t>
      </w:r>
      <w:r w:rsidRPr="006536A2">
        <w:rPr>
          <w:rFonts w:ascii="Calibri" w:hAnsi="Calibri" w:cs="Arial"/>
          <w:b/>
        </w:rPr>
        <w:t>a description of the nature and purpose of each reserve within equity.</w:t>
      </w:r>
    </w:p>
    <w:p w:rsidR="00EE67C0" w:rsidRPr="00C35531" w:rsidRDefault="00EE67C0" w:rsidP="00BC15F9">
      <w:pPr>
        <w:tabs>
          <w:tab w:val="num" w:pos="540"/>
        </w:tabs>
        <w:ind w:left="1080" w:hanging="540"/>
        <w:jc w:val="both"/>
        <w:rPr>
          <w:rFonts w:ascii="Calibri" w:hAnsi="Calibri" w:cs="Arial"/>
          <w:highlight w:val="yellow"/>
        </w:rPr>
      </w:pPr>
    </w:p>
    <w:p w:rsidR="00EE67C0" w:rsidRPr="006536A2" w:rsidRDefault="00EE67C0" w:rsidP="008D126B">
      <w:pPr>
        <w:numPr>
          <w:ilvl w:val="0"/>
          <w:numId w:val="22"/>
        </w:numPr>
        <w:ind w:left="1080" w:hanging="360"/>
        <w:jc w:val="both"/>
        <w:rPr>
          <w:rFonts w:ascii="Calibri" w:hAnsi="Calibri" w:cs="Arial"/>
          <w:b/>
        </w:rPr>
      </w:pPr>
      <w:r w:rsidRPr="00C86DDC">
        <w:rPr>
          <w:rFonts w:ascii="Calibri" w:hAnsi="Calibri" w:cs="Arial"/>
          <w:b/>
        </w:rPr>
        <w:t xml:space="preserve">Information to be presented in the profit or loss section or the statement of profit or loss </w:t>
      </w:r>
      <w:r w:rsidRPr="006536A2">
        <w:rPr>
          <w:rFonts w:ascii="Calibri" w:hAnsi="Calibri" w:cs="Arial"/>
          <w:b/>
        </w:rPr>
        <w:t>or in the notes</w:t>
      </w:r>
    </w:p>
    <w:p w:rsidR="00EE67C0" w:rsidRPr="00C86DDC" w:rsidRDefault="00EE67C0" w:rsidP="00C86DDC">
      <w:pPr>
        <w:ind w:left="1800"/>
        <w:jc w:val="both"/>
        <w:rPr>
          <w:rFonts w:ascii="Calibri" w:hAnsi="Calibri" w:cs="Arial"/>
        </w:rPr>
      </w:pPr>
    </w:p>
    <w:p w:rsidR="00EE67C0" w:rsidRDefault="00EE67C0" w:rsidP="008D126B">
      <w:pPr>
        <w:numPr>
          <w:ilvl w:val="0"/>
          <w:numId w:val="26"/>
        </w:numPr>
        <w:ind w:left="1530" w:hanging="450"/>
        <w:jc w:val="both"/>
        <w:rPr>
          <w:rFonts w:ascii="Calibri" w:hAnsi="Calibri" w:cs="Arial"/>
        </w:rPr>
      </w:pPr>
      <w:r>
        <w:rPr>
          <w:rFonts w:ascii="Calibri" w:hAnsi="Calibri" w:cs="Arial"/>
        </w:rPr>
        <w:t>O</w:t>
      </w:r>
      <w:r w:rsidRPr="00C86DDC">
        <w:rPr>
          <w:rFonts w:ascii="Calibri" w:hAnsi="Calibri" w:cs="Arial"/>
        </w:rPr>
        <w:t>t</w:t>
      </w:r>
      <w:r>
        <w:rPr>
          <w:rFonts w:ascii="Calibri" w:hAnsi="Calibri" w:cs="Arial"/>
        </w:rPr>
        <w:t>her comprehensive income</w:t>
      </w:r>
    </w:p>
    <w:p w:rsidR="00EE67C0" w:rsidRDefault="00EE67C0" w:rsidP="00ED68ED">
      <w:pPr>
        <w:ind w:left="1530" w:hanging="450"/>
        <w:jc w:val="both"/>
        <w:rPr>
          <w:rFonts w:ascii="Calibri" w:hAnsi="Calibri" w:cs="Arial"/>
        </w:rPr>
      </w:pPr>
    </w:p>
    <w:p w:rsidR="00EE67C0" w:rsidRPr="00C86DDC" w:rsidRDefault="00EE67C0" w:rsidP="00ED68ED">
      <w:pPr>
        <w:ind w:left="1530"/>
        <w:jc w:val="both"/>
        <w:rPr>
          <w:rFonts w:ascii="Calibri" w:hAnsi="Calibri" w:cs="Arial"/>
        </w:rPr>
      </w:pPr>
      <w:r>
        <w:rPr>
          <w:rFonts w:ascii="Calibri" w:hAnsi="Calibri" w:cs="Arial"/>
        </w:rPr>
        <w:t>IAS 1 paragraph 82A states that t</w:t>
      </w:r>
      <w:r w:rsidRPr="00C86DDC">
        <w:rPr>
          <w:rFonts w:ascii="Calibri" w:hAnsi="Calibri" w:cs="Arial"/>
        </w:rPr>
        <w:t>he other comprehensive income section shall present line items for amounts of other comprehensive income in the period, classified by nature (including share of the other comprehensive income of associates and joint ventures accounted for using the equity method) and grouped into those that, in accordance with other IFRSs:</w:t>
      </w:r>
    </w:p>
    <w:p w:rsidR="00EE67C0" w:rsidRPr="00C86DDC" w:rsidRDefault="00EE67C0" w:rsidP="00EC2034">
      <w:pPr>
        <w:ind w:left="1800" w:hanging="270"/>
        <w:jc w:val="both"/>
        <w:rPr>
          <w:rFonts w:ascii="Calibri" w:hAnsi="Calibri" w:cs="Arial"/>
        </w:rPr>
      </w:pPr>
      <w:r w:rsidRPr="00C86DDC">
        <w:rPr>
          <w:rFonts w:ascii="Calibri" w:hAnsi="Calibri" w:cs="Arial"/>
        </w:rPr>
        <w:t>(a) will not be reclassified subsequently to profit or loss; and</w:t>
      </w:r>
    </w:p>
    <w:p w:rsidR="00EE67C0" w:rsidRPr="00C86DDC" w:rsidRDefault="00EE67C0" w:rsidP="00EC2034">
      <w:pPr>
        <w:ind w:left="1800" w:hanging="270"/>
        <w:jc w:val="both"/>
        <w:rPr>
          <w:rFonts w:ascii="Calibri" w:hAnsi="Calibri" w:cs="Arial"/>
        </w:rPr>
      </w:pPr>
      <w:r w:rsidRPr="00C86DDC">
        <w:rPr>
          <w:rFonts w:ascii="Calibri" w:hAnsi="Calibri" w:cs="Arial"/>
        </w:rPr>
        <w:t>(b) will be reclassified subsequently to profit or loss when specific conditions are met.</w:t>
      </w:r>
    </w:p>
    <w:p w:rsidR="00EE67C0" w:rsidRDefault="00EE67C0" w:rsidP="00C86DDC">
      <w:pPr>
        <w:ind w:left="1080"/>
        <w:jc w:val="both"/>
        <w:rPr>
          <w:rFonts w:ascii="Calibri" w:hAnsi="Calibri" w:cs="Arial"/>
          <w:b/>
          <w:bCs/>
          <w:color w:val="000000"/>
        </w:rPr>
      </w:pPr>
    </w:p>
    <w:p w:rsidR="00EE67C0" w:rsidRPr="00037C56" w:rsidRDefault="00EE67C0" w:rsidP="00C86DDC">
      <w:pPr>
        <w:autoSpaceDE w:val="0"/>
        <w:autoSpaceDN w:val="0"/>
        <w:adjustRightInd w:val="0"/>
        <w:ind w:left="1440"/>
        <w:jc w:val="both"/>
        <w:rPr>
          <w:rFonts w:ascii="Calibri" w:hAnsi="Calibri" w:cs="Arial"/>
          <w:b/>
          <w:lang w:val="en-GB"/>
        </w:rPr>
      </w:pPr>
      <w:r w:rsidRPr="00C86DDC">
        <w:rPr>
          <w:rFonts w:ascii="Calibri" w:hAnsi="Calibri" w:cs="Arial"/>
          <w:lang w:val="en-GB"/>
        </w:rPr>
        <w:t>The annual report review carried out indicates that</w:t>
      </w:r>
      <w:r w:rsidRPr="00C86DDC">
        <w:rPr>
          <w:rFonts w:ascii="Calibri" w:hAnsi="Calibri" w:cs="Arial"/>
          <w:b/>
        </w:rPr>
        <w:t>5 PIEs</w:t>
      </w:r>
      <w:r w:rsidRPr="00C86DDC">
        <w:rPr>
          <w:rFonts w:ascii="Calibri" w:hAnsi="Calibri" w:cs="Arial"/>
        </w:rPr>
        <w:t xml:space="preserve"> [1 listed PIE in Commerce sector, 1 public entity regulated by FSC and 3 </w:t>
      </w:r>
      <w:r>
        <w:rPr>
          <w:rFonts w:ascii="Calibri" w:hAnsi="Calibri" w:cs="Arial"/>
        </w:rPr>
        <w:t>PIEs in Category 4</w:t>
      </w:r>
      <w:r w:rsidRPr="00C86DDC">
        <w:rPr>
          <w:rFonts w:ascii="Calibri" w:hAnsi="Calibri" w:cs="Arial"/>
        </w:rPr>
        <w:t xml:space="preserve"> (including 1 public)]</w:t>
      </w:r>
      <w:r w:rsidRPr="00C86DDC">
        <w:rPr>
          <w:rFonts w:ascii="Calibri" w:hAnsi="Calibri" w:cs="Arial"/>
          <w:b/>
        </w:rPr>
        <w:t xml:space="preserve"> had not complied with </w:t>
      </w:r>
      <w:r w:rsidRPr="00C86DDC">
        <w:rPr>
          <w:rFonts w:ascii="Calibri" w:hAnsi="Calibri" w:cs="Arial"/>
          <w:b/>
          <w:lang w:val="en-GB"/>
        </w:rPr>
        <w:t>the above requirements of IAS 1.</w:t>
      </w:r>
    </w:p>
    <w:p w:rsidR="00EE67C0" w:rsidRPr="006536A2" w:rsidRDefault="00EE67C0" w:rsidP="00C86DDC">
      <w:pPr>
        <w:ind w:left="1080"/>
        <w:jc w:val="both"/>
        <w:rPr>
          <w:rFonts w:ascii="Calibri" w:hAnsi="Calibri" w:cs="Arial"/>
          <w:b/>
          <w:bCs/>
          <w:color w:val="000000"/>
        </w:rPr>
      </w:pPr>
    </w:p>
    <w:p w:rsidR="00EE67C0" w:rsidRDefault="00EE67C0" w:rsidP="008D126B">
      <w:pPr>
        <w:numPr>
          <w:ilvl w:val="0"/>
          <w:numId w:val="26"/>
        </w:numPr>
        <w:ind w:left="1530" w:hanging="450"/>
        <w:jc w:val="both"/>
        <w:rPr>
          <w:rFonts w:ascii="Calibri" w:hAnsi="Calibri" w:cs="Arial"/>
        </w:rPr>
      </w:pPr>
      <w:r>
        <w:rPr>
          <w:rFonts w:ascii="Calibri" w:hAnsi="Calibri" w:cs="Arial"/>
        </w:rPr>
        <w:t>Nature of items</w:t>
      </w:r>
    </w:p>
    <w:p w:rsidR="00EE67C0" w:rsidRDefault="00EE67C0" w:rsidP="00C86DDC">
      <w:pPr>
        <w:ind w:left="1800"/>
        <w:jc w:val="both"/>
        <w:rPr>
          <w:rFonts w:ascii="Calibri" w:hAnsi="Calibri" w:cs="Arial"/>
        </w:rPr>
      </w:pPr>
    </w:p>
    <w:p w:rsidR="00EE67C0" w:rsidRPr="002F45B8" w:rsidRDefault="00EE67C0" w:rsidP="002F45B8">
      <w:pPr>
        <w:ind w:left="1530"/>
        <w:jc w:val="both"/>
        <w:rPr>
          <w:rFonts w:ascii="Calibri" w:hAnsi="Calibri" w:cs="Arial"/>
        </w:rPr>
      </w:pPr>
      <w:r w:rsidRPr="006536A2">
        <w:rPr>
          <w:rFonts w:ascii="Calibri" w:hAnsi="Calibri" w:cs="Arial"/>
        </w:rPr>
        <w:t xml:space="preserve">The standard specifies that additional information on the nature of expenses and other information that is of relevance to an understanding of the financial statements should be disclosed (IAS 1 paragraphs 104 and 112).  </w:t>
      </w:r>
      <w:r w:rsidRPr="006536A2">
        <w:rPr>
          <w:rFonts w:ascii="Calibri" w:hAnsi="Calibri" w:cs="Arial"/>
          <w:i/>
        </w:rPr>
        <w:t xml:space="preserve">Such </w:t>
      </w:r>
      <w:r w:rsidRPr="006536A2">
        <w:rPr>
          <w:rFonts w:ascii="Calibri" w:hAnsi="Calibri" w:cs="Arial"/>
          <w:i/>
          <w:lang w:val="en-GB"/>
        </w:rPr>
        <w:t>information assists in understanding the financial performance achieved and is useful in predicting future cash flows.</w:t>
      </w:r>
    </w:p>
    <w:p w:rsidR="00EE67C0" w:rsidRPr="006536A2" w:rsidRDefault="00EE67C0" w:rsidP="00BC15F9">
      <w:pPr>
        <w:ind w:left="1080"/>
        <w:jc w:val="both"/>
        <w:rPr>
          <w:rFonts w:ascii="Calibri" w:hAnsi="Calibri" w:cs="Arial"/>
          <w:b/>
        </w:rPr>
      </w:pPr>
    </w:p>
    <w:p w:rsidR="00EE67C0" w:rsidRPr="00980B2F" w:rsidRDefault="00EE67C0" w:rsidP="002F45B8">
      <w:pPr>
        <w:ind w:left="1440"/>
        <w:jc w:val="both"/>
        <w:rPr>
          <w:rFonts w:ascii="Calibri" w:hAnsi="Calibri" w:cs="Arial"/>
          <w:b/>
        </w:rPr>
      </w:pPr>
      <w:r w:rsidRPr="00980B2F">
        <w:rPr>
          <w:rFonts w:ascii="Calibri" w:hAnsi="Calibri" w:cs="Arial"/>
          <w:b/>
        </w:rPr>
        <w:t xml:space="preserve">5 </w:t>
      </w:r>
      <w:r>
        <w:rPr>
          <w:rFonts w:ascii="Calibri" w:hAnsi="Calibri" w:cs="Arial"/>
          <w:b/>
          <w:lang w:val="en-GB"/>
        </w:rPr>
        <w:t>PIEs in Category 4</w:t>
      </w:r>
      <w:r w:rsidRPr="00980B2F">
        <w:rPr>
          <w:rFonts w:ascii="Calibri" w:hAnsi="Calibri" w:cs="Arial"/>
          <w:b/>
        </w:rPr>
        <w:t xml:space="preserve"> had not provided separate disclosures on the nature of administrative expenses although the amounts were material.</w:t>
      </w:r>
    </w:p>
    <w:p w:rsidR="00EE67C0" w:rsidRDefault="00EE67C0" w:rsidP="009E7116">
      <w:pPr>
        <w:jc w:val="both"/>
        <w:rPr>
          <w:rFonts w:ascii="Calibri" w:hAnsi="Calibri" w:cs="Arial"/>
          <w:b/>
          <w:highlight w:val="yellow"/>
        </w:rPr>
      </w:pPr>
    </w:p>
    <w:p w:rsidR="00EE67C0" w:rsidRPr="00DB43E7" w:rsidRDefault="00EE67C0" w:rsidP="008D126B">
      <w:pPr>
        <w:numPr>
          <w:ilvl w:val="0"/>
          <w:numId w:val="22"/>
        </w:numPr>
        <w:ind w:left="1080" w:hanging="360"/>
        <w:jc w:val="both"/>
        <w:rPr>
          <w:rFonts w:ascii="Calibri" w:hAnsi="Calibri" w:cs="Arial"/>
          <w:b/>
        </w:rPr>
      </w:pPr>
      <w:r w:rsidRPr="00DB43E7">
        <w:rPr>
          <w:rFonts w:ascii="Calibri" w:hAnsi="Calibri" w:cs="Arial"/>
          <w:b/>
        </w:rPr>
        <w:t xml:space="preserve">Accounting policies </w:t>
      </w:r>
    </w:p>
    <w:p w:rsidR="00EE67C0" w:rsidRPr="00DB43E7" w:rsidRDefault="00EE67C0" w:rsidP="00C86DDC">
      <w:pPr>
        <w:ind w:left="748"/>
        <w:jc w:val="both"/>
        <w:rPr>
          <w:rFonts w:ascii="Calibri" w:hAnsi="Calibri" w:cs="Arial"/>
          <w:b/>
        </w:rPr>
      </w:pPr>
    </w:p>
    <w:p w:rsidR="00EE67C0" w:rsidRPr="00DB43E7" w:rsidRDefault="00EE67C0" w:rsidP="00C86DDC">
      <w:pPr>
        <w:ind w:left="1122"/>
        <w:jc w:val="both"/>
        <w:rPr>
          <w:rFonts w:ascii="Calibri" w:hAnsi="Calibri" w:cs="Arial"/>
        </w:rPr>
      </w:pPr>
      <w:r w:rsidRPr="00DB43E7">
        <w:rPr>
          <w:rFonts w:ascii="Calibri" w:hAnsi="Calibri" w:cs="Arial"/>
        </w:rPr>
        <w:t xml:space="preserve">IAS 1 requires companies to provide a summary of their significant accounting policies that are </w:t>
      </w:r>
      <w:r w:rsidRPr="00DB43E7">
        <w:rPr>
          <w:rFonts w:ascii="Calibri" w:hAnsi="Calibri" w:cs="Arial"/>
          <w:i/>
        </w:rPr>
        <w:t>relevant to an understanding of the financial statements. Appropriate accounting policies supported by reasonable and prudent judgments must be used consistently by the PIEs.</w:t>
      </w:r>
    </w:p>
    <w:p w:rsidR="00EE67C0" w:rsidRPr="00C35531" w:rsidRDefault="00EE67C0" w:rsidP="00C86DDC">
      <w:pPr>
        <w:ind w:left="1080"/>
        <w:jc w:val="both"/>
        <w:rPr>
          <w:rFonts w:ascii="Calibri" w:hAnsi="Calibri" w:cs="Arial"/>
          <w:b/>
          <w:highlight w:val="yellow"/>
        </w:rPr>
      </w:pPr>
    </w:p>
    <w:p w:rsidR="00EE67C0" w:rsidRPr="006536A2" w:rsidRDefault="00EE67C0" w:rsidP="00C86DDC">
      <w:pPr>
        <w:ind w:left="1122"/>
        <w:jc w:val="both"/>
        <w:rPr>
          <w:rFonts w:ascii="Calibri" w:hAnsi="Calibri" w:cs="Arial"/>
          <w:b/>
        </w:rPr>
      </w:pPr>
      <w:r>
        <w:rPr>
          <w:rFonts w:ascii="Calibri" w:hAnsi="Calibri" w:cs="Arial"/>
          <w:b/>
        </w:rPr>
        <w:t xml:space="preserve">6 PIEs </w:t>
      </w:r>
      <w:r w:rsidRPr="00D240E9">
        <w:rPr>
          <w:rFonts w:ascii="Calibri" w:hAnsi="Calibri" w:cs="Arial"/>
        </w:rPr>
        <w:t xml:space="preserve">[1 </w:t>
      </w:r>
      <w:r>
        <w:rPr>
          <w:rFonts w:ascii="Calibri" w:hAnsi="Calibri" w:cs="Arial"/>
        </w:rPr>
        <w:t xml:space="preserve">public entity </w:t>
      </w:r>
      <w:r w:rsidRPr="00D240E9">
        <w:rPr>
          <w:rFonts w:ascii="Calibri" w:hAnsi="Calibri" w:cs="Arial"/>
        </w:rPr>
        <w:t xml:space="preserve">regulated by FSC and 5 </w:t>
      </w:r>
      <w:r>
        <w:rPr>
          <w:rFonts w:ascii="Calibri" w:hAnsi="Calibri" w:cs="Arial"/>
          <w:lang w:val="en-GB"/>
        </w:rPr>
        <w:t>PIEs in Category 4</w:t>
      </w:r>
      <w:r w:rsidRPr="00D240E9">
        <w:rPr>
          <w:rFonts w:ascii="Calibri" w:hAnsi="Calibri" w:cs="Arial"/>
          <w:lang w:val="en-GB"/>
        </w:rPr>
        <w:t xml:space="preserve">] </w:t>
      </w:r>
      <w:r w:rsidRPr="006536A2">
        <w:rPr>
          <w:rFonts w:ascii="Calibri" w:hAnsi="Calibri" w:cs="Arial"/>
          <w:b/>
          <w:lang w:val="en-GB"/>
        </w:rPr>
        <w:t xml:space="preserve">had not adequately disclosed their </w:t>
      </w:r>
      <w:r w:rsidRPr="006536A2">
        <w:rPr>
          <w:rFonts w:ascii="Calibri" w:hAnsi="Calibri" w:cs="Arial"/>
          <w:b/>
        </w:rPr>
        <w:t>accounting policies in respect of the following items:</w:t>
      </w:r>
    </w:p>
    <w:p w:rsidR="00EE67C0" w:rsidRPr="00C35531" w:rsidRDefault="00EE67C0" w:rsidP="00C86DDC">
      <w:pPr>
        <w:ind w:left="1080"/>
        <w:jc w:val="both"/>
        <w:rPr>
          <w:rFonts w:ascii="Calibri" w:hAnsi="Calibri" w:cs="Arial"/>
          <w:b/>
          <w:highlight w:val="yellow"/>
        </w:rPr>
      </w:pPr>
    </w:p>
    <w:p w:rsidR="00EE67C0" w:rsidRPr="00DB43E7" w:rsidRDefault="00EE67C0" w:rsidP="00C86DDC">
      <w:pPr>
        <w:numPr>
          <w:ilvl w:val="0"/>
          <w:numId w:val="1"/>
        </w:numPr>
        <w:tabs>
          <w:tab w:val="clear" w:pos="720"/>
          <w:tab w:val="num" w:pos="1496"/>
        </w:tabs>
        <w:ind w:left="1496" w:hanging="374"/>
        <w:jc w:val="both"/>
        <w:rPr>
          <w:rFonts w:ascii="Calibri" w:hAnsi="Calibri" w:cs="Arial"/>
          <w:b/>
        </w:rPr>
      </w:pPr>
      <w:r w:rsidRPr="00DB43E7">
        <w:rPr>
          <w:rFonts w:ascii="Calibri" w:hAnsi="Calibri" w:cs="Arial"/>
          <w:b/>
        </w:rPr>
        <w:t>Leases</w:t>
      </w:r>
    </w:p>
    <w:p w:rsidR="00EE67C0" w:rsidRPr="00C47893" w:rsidRDefault="00EE67C0" w:rsidP="00C86DDC">
      <w:pPr>
        <w:numPr>
          <w:ilvl w:val="0"/>
          <w:numId w:val="1"/>
        </w:numPr>
        <w:tabs>
          <w:tab w:val="clear" w:pos="720"/>
          <w:tab w:val="num" w:pos="1496"/>
        </w:tabs>
        <w:ind w:left="1496" w:hanging="374"/>
        <w:jc w:val="both"/>
        <w:rPr>
          <w:rFonts w:ascii="Calibri" w:hAnsi="Calibri" w:cs="Arial"/>
          <w:b/>
        </w:rPr>
      </w:pPr>
      <w:r w:rsidRPr="00C47893">
        <w:rPr>
          <w:rFonts w:ascii="Calibri" w:hAnsi="Calibri" w:cs="Arial"/>
          <w:b/>
        </w:rPr>
        <w:t>Property, plant and equipment</w:t>
      </w:r>
    </w:p>
    <w:p w:rsidR="00EE67C0" w:rsidRPr="00C47893" w:rsidRDefault="00EE67C0" w:rsidP="00C86DDC">
      <w:pPr>
        <w:numPr>
          <w:ilvl w:val="0"/>
          <w:numId w:val="1"/>
        </w:numPr>
        <w:tabs>
          <w:tab w:val="clear" w:pos="720"/>
          <w:tab w:val="num" w:pos="1496"/>
        </w:tabs>
        <w:ind w:left="1496" w:hanging="374"/>
        <w:jc w:val="both"/>
        <w:rPr>
          <w:rFonts w:ascii="Calibri" w:hAnsi="Calibri" w:cs="Arial"/>
          <w:b/>
        </w:rPr>
      </w:pPr>
      <w:r w:rsidRPr="00C47893">
        <w:rPr>
          <w:rFonts w:ascii="Calibri" w:hAnsi="Calibri" w:cs="Arial"/>
          <w:b/>
        </w:rPr>
        <w:t>Dividend</w:t>
      </w:r>
    </w:p>
    <w:p w:rsidR="00EE67C0" w:rsidRPr="00C47893" w:rsidRDefault="00EE67C0" w:rsidP="00C86DDC">
      <w:pPr>
        <w:numPr>
          <w:ilvl w:val="0"/>
          <w:numId w:val="1"/>
        </w:numPr>
        <w:tabs>
          <w:tab w:val="clear" w:pos="720"/>
          <w:tab w:val="num" w:pos="1496"/>
        </w:tabs>
        <w:ind w:left="1496" w:hanging="374"/>
        <w:jc w:val="both"/>
        <w:rPr>
          <w:rFonts w:ascii="Calibri" w:hAnsi="Calibri" w:cs="Arial"/>
          <w:b/>
        </w:rPr>
      </w:pPr>
      <w:r w:rsidRPr="00C47893">
        <w:rPr>
          <w:rFonts w:ascii="Calibri" w:hAnsi="Calibri" w:cs="Arial"/>
          <w:b/>
        </w:rPr>
        <w:t xml:space="preserve">Non-current </w:t>
      </w:r>
      <w:r>
        <w:rPr>
          <w:rFonts w:ascii="Calibri" w:hAnsi="Calibri" w:cs="Arial"/>
          <w:b/>
        </w:rPr>
        <w:t>a</w:t>
      </w:r>
      <w:r w:rsidRPr="00C47893">
        <w:rPr>
          <w:rFonts w:ascii="Calibri" w:hAnsi="Calibri" w:cs="Arial"/>
          <w:b/>
        </w:rPr>
        <w:t xml:space="preserve">ssets </w:t>
      </w:r>
      <w:r>
        <w:rPr>
          <w:rFonts w:ascii="Calibri" w:hAnsi="Calibri" w:cs="Arial"/>
          <w:b/>
        </w:rPr>
        <w:t>h</w:t>
      </w:r>
      <w:r w:rsidRPr="00C47893">
        <w:rPr>
          <w:rFonts w:ascii="Calibri" w:hAnsi="Calibri" w:cs="Arial"/>
          <w:b/>
        </w:rPr>
        <w:t xml:space="preserve">eld for </w:t>
      </w:r>
      <w:r>
        <w:rPr>
          <w:rFonts w:ascii="Calibri" w:hAnsi="Calibri" w:cs="Arial"/>
          <w:b/>
        </w:rPr>
        <w:t>s</w:t>
      </w:r>
      <w:r w:rsidRPr="00C47893">
        <w:rPr>
          <w:rFonts w:ascii="Calibri" w:hAnsi="Calibri" w:cs="Arial"/>
          <w:b/>
        </w:rPr>
        <w:t xml:space="preserve">ale </w:t>
      </w:r>
    </w:p>
    <w:p w:rsidR="00EE67C0" w:rsidRPr="001F4FB9" w:rsidRDefault="00EE67C0" w:rsidP="00BC15F9">
      <w:pPr>
        <w:ind w:left="1080"/>
        <w:jc w:val="both"/>
        <w:rPr>
          <w:rFonts w:ascii="Calibri" w:hAnsi="Calibri" w:cs="Arial"/>
          <w:b/>
        </w:rPr>
      </w:pPr>
    </w:p>
    <w:p w:rsidR="00EE67C0" w:rsidRPr="003622F0" w:rsidRDefault="00EE67C0" w:rsidP="00BC15F9">
      <w:pPr>
        <w:ind w:left="1080"/>
        <w:jc w:val="both"/>
        <w:rPr>
          <w:rFonts w:ascii="Calibri" w:hAnsi="Calibri" w:cs="Arial"/>
        </w:rPr>
      </w:pPr>
      <w:r w:rsidRPr="003622F0">
        <w:rPr>
          <w:rFonts w:ascii="Calibri" w:hAnsi="Calibri" w:cs="Arial"/>
        </w:rPr>
        <w:t>FRC also came across entities disclosing accounting policies which are not relevant to the entities. Thus adding clutter.</w:t>
      </w:r>
    </w:p>
    <w:p w:rsidR="00EE67C0" w:rsidRPr="00C35531" w:rsidRDefault="00EE67C0" w:rsidP="00BC15F9">
      <w:pPr>
        <w:ind w:left="1080"/>
        <w:jc w:val="both"/>
        <w:rPr>
          <w:rFonts w:ascii="Calibri" w:hAnsi="Calibri" w:cs="Arial"/>
          <w:b/>
          <w:highlight w:val="yellow"/>
        </w:rPr>
      </w:pPr>
    </w:p>
    <w:p w:rsidR="00EE67C0" w:rsidRPr="001E049F" w:rsidRDefault="00EE67C0" w:rsidP="008D126B">
      <w:pPr>
        <w:numPr>
          <w:ilvl w:val="0"/>
          <w:numId w:val="22"/>
        </w:numPr>
        <w:ind w:left="1080" w:hanging="360"/>
        <w:jc w:val="both"/>
        <w:rPr>
          <w:rFonts w:ascii="Calibri" w:hAnsi="Calibri" w:cs="Arial"/>
          <w:b/>
        </w:rPr>
      </w:pPr>
      <w:r w:rsidRPr="001E049F">
        <w:rPr>
          <w:rFonts w:ascii="Calibri" w:hAnsi="Calibri" w:cs="Arial"/>
          <w:b/>
        </w:rPr>
        <w:t>Judgments, assumptions and estimates applied</w:t>
      </w:r>
    </w:p>
    <w:p w:rsidR="00EE67C0" w:rsidRPr="001E049F" w:rsidRDefault="00EE67C0" w:rsidP="00BC15F9">
      <w:pPr>
        <w:ind w:left="1080"/>
        <w:jc w:val="both"/>
        <w:rPr>
          <w:rFonts w:ascii="Calibri" w:hAnsi="Calibri" w:cs="Arial"/>
          <w:b/>
        </w:rPr>
      </w:pPr>
    </w:p>
    <w:p w:rsidR="00EE67C0" w:rsidRPr="001E049F" w:rsidRDefault="00EE67C0" w:rsidP="00BC15F9">
      <w:pPr>
        <w:ind w:left="1080"/>
        <w:jc w:val="both"/>
        <w:rPr>
          <w:rFonts w:ascii="Calibri" w:hAnsi="Calibri"/>
          <w:bCs/>
        </w:rPr>
      </w:pPr>
      <w:r w:rsidRPr="001E049F">
        <w:rPr>
          <w:rFonts w:ascii="Calibri" w:hAnsi="Calibri"/>
          <w:bCs/>
        </w:rPr>
        <w:t>IAS 1 states that an entity shall disclose, in the summary of significant accounting policies or other notes, the judgements, assumptions and estimates applied in the preparation of the financial statements (IAS 1 paragraphs 122 &amp; 125)</w:t>
      </w:r>
    </w:p>
    <w:p w:rsidR="00EE67C0" w:rsidRPr="00C35531" w:rsidRDefault="00EE67C0" w:rsidP="00BC15F9">
      <w:pPr>
        <w:ind w:left="1080"/>
        <w:jc w:val="both"/>
        <w:rPr>
          <w:rFonts w:ascii="Calibri" w:hAnsi="Calibri"/>
          <w:bCs/>
          <w:highlight w:val="yellow"/>
        </w:rPr>
      </w:pPr>
    </w:p>
    <w:p w:rsidR="00EE67C0" w:rsidRPr="00D240E9" w:rsidRDefault="00EE67C0" w:rsidP="00BC15F9">
      <w:pPr>
        <w:ind w:left="1080"/>
        <w:jc w:val="both"/>
        <w:rPr>
          <w:rFonts w:ascii="Calibri" w:hAnsi="Calibri" w:cs="Arial"/>
          <w:b/>
        </w:rPr>
      </w:pPr>
      <w:r w:rsidRPr="00D240E9">
        <w:rPr>
          <w:rFonts w:ascii="Calibri" w:hAnsi="Calibri" w:cs="Arial"/>
          <w:b/>
        </w:rPr>
        <w:t>1</w:t>
      </w:r>
      <w:r>
        <w:rPr>
          <w:rFonts w:ascii="Calibri" w:hAnsi="Calibri" w:cs="Arial"/>
          <w:b/>
          <w:lang w:val="en-GB"/>
        </w:rPr>
        <w:t>PIE in Category 4</w:t>
      </w:r>
      <w:r w:rsidRPr="00D240E9">
        <w:rPr>
          <w:rFonts w:ascii="Calibri" w:hAnsi="Calibri" w:cs="Arial"/>
          <w:b/>
        </w:rPr>
        <w:t xml:space="preserve"> had not disclosed the judgements, assumptions and estimates applied with respect to useful live and residual value of property, plant and equipment.</w:t>
      </w:r>
    </w:p>
    <w:p w:rsidR="00EE67C0" w:rsidRPr="00C35531" w:rsidRDefault="00EE67C0" w:rsidP="001D29E1">
      <w:pPr>
        <w:jc w:val="both"/>
        <w:rPr>
          <w:rFonts w:ascii="Calibri" w:hAnsi="Calibri" w:cs="Arial"/>
          <w:b/>
          <w:highlight w:val="yellow"/>
        </w:rPr>
      </w:pPr>
    </w:p>
    <w:p w:rsidR="00EE67C0" w:rsidRPr="00D240E9" w:rsidRDefault="00EE67C0" w:rsidP="008D126B">
      <w:pPr>
        <w:numPr>
          <w:ilvl w:val="0"/>
          <w:numId w:val="22"/>
        </w:numPr>
        <w:ind w:left="1080" w:hanging="360"/>
        <w:jc w:val="both"/>
        <w:rPr>
          <w:rFonts w:ascii="Calibri" w:hAnsi="Calibri" w:cs="Arial"/>
          <w:b/>
        </w:rPr>
      </w:pPr>
      <w:r w:rsidRPr="00D240E9">
        <w:rPr>
          <w:rFonts w:ascii="Calibri" w:hAnsi="Calibri" w:cs="Arial"/>
          <w:b/>
        </w:rPr>
        <w:t xml:space="preserve">Capital risk management </w:t>
      </w:r>
    </w:p>
    <w:p w:rsidR="00EE67C0" w:rsidRPr="00D240E9" w:rsidRDefault="00EE67C0" w:rsidP="00BC15F9">
      <w:pPr>
        <w:ind w:left="1080"/>
        <w:jc w:val="both"/>
        <w:rPr>
          <w:rFonts w:ascii="Calibri" w:hAnsi="Calibri" w:cs="Arial"/>
          <w:b/>
        </w:rPr>
      </w:pPr>
    </w:p>
    <w:p w:rsidR="00EE67C0" w:rsidRPr="00D240E9" w:rsidRDefault="00EE67C0" w:rsidP="00BC15F9">
      <w:pPr>
        <w:ind w:left="1080"/>
        <w:jc w:val="both"/>
        <w:rPr>
          <w:rFonts w:ascii="Calibri" w:hAnsi="Calibri"/>
        </w:rPr>
      </w:pPr>
      <w:r w:rsidRPr="00D240E9">
        <w:rPr>
          <w:rFonts w:ascii="Calibri" w:hAnsi="Calibri"/>
        </w:rPr>
        <w:t>IAS 1 requires an entity to disclose information that enables users of its financial statements to evaluate the entity’s objectives, policies and processes for managing capital (IAS 1 paragraphs 134 &amp; 135).</w:t>
      </w:r>
    </w:p>
    <w:p w:rsidR="00EE67C0" w:rsidRPr="00D240E9" w:rsidRDefault="00EE67C0" w:rsidP="00BC15F9">
      <w:pPr>
        <w:ind w:left="1080"/>
        <w:jc w:val="both"/>
        <w:rPr>
          <w:rFonts w:ascii="Calibri" w:hAnsi="Calibri" w:cs="Arial"/>
          <w:b/>
        </w:rPr>
      </w:pPr>
    </w:p>
    <w:p w:rsidR="00EE67C0" w:rsidRPr="00D240E9" w:rsidRDefault="00EE67C0" w:rsidP="00BC15F9">
      <w:pPr>
        <w:ind w:left="1080"/>
        <w:jc w:val="both"/>
        <w:rPr>
          <w:rFonts w:ascii="Calibri" w:hAnsi="Calibri" w:cs="Arial"/>
          <w:b/>
        </w:rPr>
      </w:pPr>
      <w:r w:rsidRPr="00D240E9">
        <w:rPr>
          <w:rFonts w:ascii="Calibri" w:hAnsi="Calibri" w:cs="Arial"/>
          <w:b/>
        </w:rPr>
        <w:t xml:space="preserve">3 PIEs </w:t>
      </w:r>
      <w:r w:rsidRPr="00D240E9">
        <w:rPr>
          <w:rFonts w:ascii="Calibri" w:hAnsi="Calibri" w:cs="Arial"/>
          <w:lang w:val="en-GB"/>
        </w:rPr>
        <w:t xml:space="preserve">[1 public entity regulated by FSC and 2 </w:t>
      </w:r>
      <w:r>
        <w:rPr>
          <w:rFonts w:ascii="Calibri" w:hAnsi="Calibri" w:cs="Arial"/>
          <w:lang w:val="en-GB"/>
        </w:rPr>
        <w:t>PIEs in Category 4</w:t>
      </w:r>
      <w:r w:rsidRPr="00D240E9">
        <w:rPr>
          <w:rFonts w:ascii="Calibri" w:hAnsi="Calibri" w:cs="Arial"/>
          <w:lang w:val="en-GB"/>
        </w:rPr>
        <w:t>]</w:t>
      </w:r>
      <w:r w:rsidRPr="00D240E9">
        <w:rPr>
          <w:rFonts w:ascii="Calibri" w:hAnsi="Calibri" w:cs="Arial"/>
        </w:rPr>
        <w:t>,</w:t>
      </w:r>
      <w:r w:rsidRPr="00D240E9">
        <w:rPr>
          <w:rFonts w:ascii="Calibri" w:hAnsi="Calibri" w:cs="Arial"/>
          <w:b/>
        </w:rPr>
        <w:t xml:space="preserve"> had not disclosed its </w:t>
      </w:r>
      <w:r w:rsidRPr="00D240E9">
        <w:rPr>
          <w:rFonts w:ascii="Calibri" w:hAnsi="Calibri"/>
          <w:b/>
        </w:rPr>
        <w:t>objectives, policies and processes for managing capital.</w:t>
      </w:r>
    </w:p>
    <w:p w:rsidR="00EE67C0" w:rsidRPr="00C35531" w:rsidRDefault="00EE67C0" w:rsidP="00C95CA4">
      <w:pPr>
        <w:jc w:val="both"/>
        <w:rPr>
          <w:rFonts w:ascii="Calibri" w:hAnsi="Calibri" w:cs="Arial"/>
          <w:b/>
          <w:highlight w:val="yellow"/>
        </w:rPr>
      </w:pPr>
    </w:p>
    <w:p w:rsidR="00EE67C0" w:rsidRPr="002C7308" w:rsidRDefault="00EE67C0" w:rsidP="00BC15F9">
      <w:pPr>
        <w:jc w:val="both"/>
        <w:rPr>
          <w:rFonts w:ascii="Calibri" w:hAnsi="Calibri" w:cs="Arial"/>
          <w:b/>
        </w:rPr>
      </w:pPr>
      <w:r w:rsidRPr="002C7308">
        <w:rPr>
          <w:rFonts w:ascii="Calibri" w:hAnsi="Calibri" w:cs="Arial"/>
          <w:b/>
        </w:rPr>
        <w:t>1.2</w:t>
      </w:r>
      <w:r w:rsidRPr="002C7308">
        <w:rPr>
          <w:rFonts w:ascii="Calibri" w:hAnsi="Calibri" w:cs="Arial"/>
          <w:b/>
        </w:rPr>
        <w:tab/>
        <w:t xml:space="preserve">IAS 16, Property, Plant and Equipment </w:t>
      </w:r>
    </w:p>
    <w:p w:rsidR="00EE67C0" w:rsidRPr="002C7308" w:rsidRDefault="00EE67C0" w:rsidP="00BC15F9">
      <w:pPr>
        <w:ind w:left="720"/>
        <w:jc w:val="both"/>
        <w:rPr>
          <w:rFonts w:ascii="Calibri" w:hAnsi="Calibri" w:cs="Arial"/>
          <w:bCs/>
        </w:rPr>
      </w:pPr>
    </w:p>
    <w:p w:rsidR="00EE67C0" w:rsidRPr="002C7308" w:rsidRDefault="00EE67C0" w:rsidP="00E07CF2">
      <w:pPr>
        <w:ind w:left="720"/>
        <w:jc w:val="both"/>
        <w:rPr>
          <w:rFonts w:ascii="Calibri" w:hAnsi="Calibri" w:cs="Arial"/>
          <w:bCs/>
        </w:rPr>
      </w:pPr>
      <w:r w:rsidRPr="002C7308">
        <w:rPr>
          <w:rFonts w:ascii="Calibri" w:hAnsi="Calibri" w:cs="Arial"/>
          <w:bCs/>
        </w:rPr>
        <w:t xml:space="preserve">IAS 16 prescribes the treatment and disclosures applying to the accounting for an entity’s tangible fixed assets. Property, plant and equipment may be carried at cost or at revalued amount.  </w:t>
      </w:r>
    </w:p>
    <w:p w:rsidR="00EE67C0" w:rsidRDefault="00EE67C0" w:rsidP="00BC15F9">
      <w:pPr>
        <w:ind w:left="720"/>
        <w:jc w:val="both"/>
        <w:rPr>
          <w:rFonts w:ascii="Calibri" w:hAnsi="Calibri" w:cs="Arial"/>
          <w:bCs/>
          <w:i/>
        </w:rPr>
      </w:pPr>
    </w:p>
    <w:p w:rsidR="00EE67C0" w:rsidRPr="002C7308" w:rsidRDefault="00EE67C0" w:rsidP="000B37BF">
      <w:pPr>
        <w:tabs>
          <w:tab w:val="left" w:pos="1260"/>
        </w:tabs>
        <w:ind w:left="748"/>
        <w:jc w:val="both"/>
        <w:rPr>
          <w:rFonts w:ascii="Calibri" w:hAnsi="Calibri" w:cs="Arial"/>
          <w:bCs/>
        </w:rPr>
      </w:pPr>
      <w:r w:rsidRPr="002C7308">
        <w:rPr>
          <w:rFonts w:ascii="Calibri" w:hAnsi="Calibri" w:cs="Arial"/>
          <w:bCs/>
          <w:i/>
        </w:rPr>
        <w:t xml:space="preserve">Application of this standard would improve the transparency of fair value measurements and ensure that the carrying amounts of property plant and equipment do not differ materially from their fair values and may give rise to better financial reporting quality and governance among PIEs. </w:t>
      </w:r>
      <w:r>
        <w:rPr>
          <w:rFonts w:ascii="Calibri" w:hAnsi="Calibri" w:cs="Arial"/>
          <w:bCs/>
        </w:rPr>
        <w:t>It also provides useful information to users which allow them to compare</w:t>
      </w:r>
      <w:r w:rsidRPr="002C7308">
        <w:rPr>
          <w:rFonts w:ascii="Calibri" w:hAnsi="Calibri" w:cs="Arial"/>
          <w:bCs/>
        </w:rPr>
        <w:t xml:space="preserve"> the carrying amount and the revalued amount</w:t>
      </w:r>
      <w:r>
        <w:rPr>
          <w:rFonts w:ascii="Calibri" w:hAnsi="Calibri" w:cs="Arial"/>
          <w:bCs/>
        </w:rPr>
        <w:t xml:space="preserve"> of property, plant and equipment</w:t>
      </w:r>
      <w:r w:rsidRPr="002C7308">
        <w:rPr>
          <w:rFonts w:ascii="Calibri" w:hAnsi="Calibri" w:cs="Arial"/>
          <w:bCs/>
        </w:rPr>
        <w:t>.</w:t>
      </w:r>
    </w:p>
    <w:p w:rsidR="00EE67C0" w:rsidRPr="002C7308" w:rsidRDefault="00EE67C0" w:rsidP="00BC15F9">
      <w:pPr>
        <w:ind w:left="720"/>
        <w:jc w:val="both"/>
        <w:rPr>
          <w:rFonts w:ascii="Calibri" w:hAnsi="Calibri" w:cs="Arial"/>
          <w:bCs/>
          <w:i/>
        </w:rPr>
      </w:pPr>
    </w:p>
    <w:p w:rsidR="00EE67C0" w:rsidRPr="000C7A13" w:rsidRDefault="00EE67C0" w:rsidP="00BC15F9">
      <w:pPr>
        <w:ind w:left="748"/>
        <w:jc w:val="both"/>
        <w:rPr>
          <w:rFonts w:ascii="Calibri" w:hAnsi="Calibri" w:cs="Arial"/>
          <w:bCs/>
        </w:rPr>
      </w:pPr>
      <w:r w:rsidRPr="002C7308">
        <w:rPr>
          <w:rFonts w:ascii="Calibri" w:hAnsi="Calibri" w:cs="Arial"/>
          <w:b/>
          <w:bCs/>
        </w:rPr>
        <w:t xml:space="preserve">5 PIEs </w:t>
      </w:r>
      <w:r w:rsidRPr="000C7A13">
        <w:rPr>
          <w:rFonts w:ascii="Calibri" w:hAnsi="Calibri" w:cs="Arial"/>
          <w:bCs/>
        </w:rPr>
        <w:t xml:space="preserve">[1 listed in Industry sector and </w:t>
      </w:r>
      <w:r>
        <w:rPr>
          <w:rFonts w:ascii="Calibri" w:hAnsi="Calibri" w:cs="Arial"/>
          <w:bCs/>
        </w:rPr>
        <w:t>4PIEs in Category 4 (including 1 public)</w:t>
      </w:r>
      <w:r w:rsidRPr="000C7A13">
        <w:rPr>
          <w:rFonts w:ascii="Calibri" w:hAnsi="Calibri" w:cs="Arial"/>
          <w:bCs/>
        </w:rPr>
        <w:t>]</w:t>
      </w:r>
      <w:r w:rsidRPr="000C7A13">
        <w:rPr>
          <w:rFonts w:ascii="Calibri" w:hAnsi="Calibri" w:cs="Arial"/>
          <w:b/>
          <w:bCs/>
        </w:rPr>
        <w:t xml:space="preserve"> had </w:t>
      </w:r>
      <w:r>
        <w:rPr>
          <w:rFonts w:ascii="Calibri" w:hAnsi="Calibri" w:cs="Arial"/>
          <w:b/>
          <w:bCs/>
        </w:rPr>
        <w:t>not</w:t>
      </w:r>
      <w:r w:rsidRPr="000C7A13">
        <w:rPr>
          <w:rFonts w:ascii="Calibri" w:hAnsi="Calibri" w:cs="Arial"/>
          <w:b/>
          <w:bCs/>
        </w:rPr>
        <w:t xml:space="preserve"> complied with IAS 16 </w:t>
      </w:r>
      <w:r>
        <w:rPr>
          <w:rFonts w:ascii="Calibri" w:hAnsi="Calibri" w:cs="Arial"/>
          <w:b/>
          <w:bCs/>
        </w:rPr>
        <w:t>in respect of the following</w:t>
      </w:r>
      <w:r w:rsidRPr="000C7A13">
        <w:rPr>
          <w:rFonts w:ascii="Calibri" w:hAnsi="Calibri" w:cs="Arial"/>
          <w:b/>
          <w:bCs/>
        </w:rPr>
        <w:t>:</w:t>
      </w:r>
    </w:p>
    <w:p w:rsidR="00EE67C0" w:rsidRPr="00C35531" w:rsidRDefault="00EE67C0" w:rsidP="00BC15F9">
      <w:pPr>
        <w:ind w:left="748"/>
        <w:jc w:val="both"/>
        <w:rPr>
          <w:rFonts w:ascii="Calibri" w:hAnsi="Calibri" w:cs="Arial"/>
          <w:bCs/>
          <w:highlight w:val="yellow"/>
        </w:rPr>
      </w:pPr>
    </w:p>
    <w:p w:rsidR="00EE67C0" w:rsidRDefault="00EE67C0" w:rsidP="008D126B">
      <w:pPr>
        <w:numPr>
          <w:ilvl w:val="0"/>
          <w:numId w:val="24"/>
        </w:numPr>
        <w:tabs>
          <w:tab w:val="left" w:pos="1260"/>
        </w:tabs>
        <w:ind w:left="1108"/>
        <w:jc w:val="both"/>
        <w:rPr>
          <w:rFonts w:ascii="Calibri" w:hAnsi="Calibri" w:cs="Arial"/>
          <w:bCs/>
        </w:rPr>
      </w:pPr>
      <w:r>
        <w:rPr>
          <w:rFonts w:ascii="Calibri" w:hAnsi="Calibri" w:cs="Arial"/>
          <w:bCs/>
        </w:rPr>
        <w:t xml:space="preserve">Accounting </w:t>
      </w:r>
      <w:r w:rsidRPr="002C7308">
        <w:rPr>
          <w:rFonts w:ascii="Calibri" w:hAnsi="Calibri" w:cs="Arial"/>
          <w:bCs/>
        </w:rPr>
        <w:t>policy on recognition of increase/decrease in the asset’s carrying amount as a result of revaluation</w:t>
      </w:r>
      <w:r>
        <w:rPr>
          <w:rFonts w:ascii="Calibri" w:hAnsi="Calibri" w:cs="Arial"/>
          <w:bCs/>
        </w:rPr>
        <w:t>.</w:t>
      </w:r>
    </w:p>
    <w:p w:rsidR="00EE67C0" w:rsidRPr="00C35531" w:rsidRDefault="00EE67C0" w:rsidP="000B37BF">
      <w:pPr>
        <w:tabs>
          <w:tab w:val="left" w:pos="1260"/>
        </w:tabs>
        <w:ind w:left="1108" w:hanging="360"/>
        <w:jc w:val="both"/>
        <w:rPr>
          <w:rFonts w:ascii="Calibri" w:hAnsi="Calibri" w:cs="Arial"/>
          <w:bCs/>
          <w:highlight w:val="yellow"/>
        </w:rPr>
      </w:pPr>
    </w:p>
    <w:p w:rsidR="00EE67C0" w:rsidRPr="002C7308" w:rsidRDefault="00EE67C0" w:rsidP="008D126B">
      <w:pPr>
        <w:numPr>
          <w:ilvl w:val="0"/>
          <w:numId w:val="24"/>
        </w:numPr>
        <w:tabs>
          <w:tab w:val="left" w:pos="1260"/>
        </w:tabs>
        <w:ind w:left="1108"/>
        <w:jc w:val="both"/>
        <w:rPr>
          <w:rFonts w:ascii="Calibri" w:hAnsi="Calibri" w:cs="Arial"/>
          <w:bCs/>
        </w:rPr>
      </w:pPr>
      <w:r w:rsidRPr="002C7308">
        <w:rPr>
          <w:rFonts w:ascii="Calibri" w:hAnsi="Calibri" w:cs="Arial"/>
          <w:bCs/>
        </w:rPr>
        <w:t>The carrying amount that would have been recognised had the assets been carried under the cost model.</w:t>
      </w:r>
    </w:p>
    <w:p w:rsidR="00EE67C0" w:rsidRPr="00C35531" w:rsidRDefault="00EE67C0" w:rsidP="000B37BF">
      <w:pPr>
        <w:tabs>
          <w:tab w:val="left" w:pos="1260"/>
        </w:tabs>
        <w:jc w:val="both"/>
        <w:rPr>
          <w:rFonts w:ascii="Calibri" w:hAnsi="Calibri" w:cs="Arial"/>
          <w:bCs/>
          <w:highlight w:val="yellow"/>
        </w:rPr>
      </w:pPr>
    </w:p>
    <w:p w:rsidR="00EE67C0" w:rsidRPr="002C7308" w:rsidRDefault="00EE67C0" w:rsidP="008D126B">
      <w:pPr>
        <w:numPr>
          <w:ilvl w:val="0"/>
          <w:numId w:val="25"/>
        </w:numPr>
        <w:tabs>
          <w:tab w:val="left" w:pos="1260"/>
        </w:tabs>
        <w:ind w:left="1108"/>
        <w:jc w:val="both"/>
        <w:rPr>
          <w:rFonts w:ascii="Calibri" w:hAnsi="Calibri" w:cs="Arial"/>
          <w:bCs/>
        </w:rPr>
      </w:pPr>
      <w:r w:rsidRPr="002C7308">
        <w:rPr>
          <w:rFonts w:ascii="Calibri" w:hAnsi="Calibri" w:cs="Arial"/>
        </w:rPr>
        <w:t>Assets recognised under the revaluation model had not been revalued with sufficient regularity.</w:t>
      </w:r>
    </w:p>
    <w:p w:rsidR="00EE67C0" w:rsidRPr="002C7308" w:rsidRDefault="00EE67C0" w:rsidP="000B37BF">
      <w:pPr>
        <w:pStyle w:val="ListParagraph"/>
        <w:tabs>
          <w:tab w:val="left" w:pos="1260"/>
        </w:tabs>
        <w:ind w:left="1108" w:hanging="360"/>
        <w:rPr>
          <w:rFonts w:ascii="Calibri" w:hAnsi="Calibri" w:cs="Arial"/>
          <w:bCs/>
        </w:rPr>
      </w:pPr>
    </w:p>
    <w:p w:rsidR="00EE67C0" w:rsidRPr="001040C6" w:rsidRDefault="00EE67C0" w:rsidP="00BC15F9">
      <w:pPr>
        <w:jc w:val="both"/>
        <w:rPr>
          <w:rFonts w:ascii="Calibri" w:hAnsi="Calibri" w:cs="Arial"/>
          <w:b/>
        </w:rPr>
      </w:pPr>
      <w:r w:rsidRPr="00DB6560">
        <w:rPr>
          <w:rFonts w:ascii="Calibri" w:hAnsi="Calibri" w:cs="Arial"/>
          <w:b/>
        </w:rPr>
        <w:t>1.3</w:t>
      </w:r>
      <w:r w:rsidRPr="00DB6560">
        <w:rPr>
          <w:rFonts w:ascii="Calibri" w:hAnsi="Calibri" w:cs="Arial"/>
          <w:b/>
        </w:rPr>
        <w:tab/>
        <w:t>IAS 19, Employee Benefits</w:t>
      </w:r>
    </w:p>
    <w:p w:rsidR="00EE67C0" w:rsidRPr="001040C6" w:rsidRDefault="00EE67C0" w:rsidP="00BC15F9">
      <w:pPr>
        <w:jc w:val="both"/>
        <w:rPr>
          <w:rFonts w:ascii="Calibri" w:hAnsi="Calibri" w:cs="Arial"/>
          <w:b/>
        </w:rPr>
      </w:pPr>
    </w:p>
    <w:p w:rsidR="00EE67C0" w:rsidRPr="001040C6" w:rsidRDefault="00EE67C0" w:rsidP="00BC15F9">
      <w:pPr>
        <w:ind w:left="720"/>
        <w:jc w:val="both"/>
        <w:rPr>
          <w:rFonts w:ascii="Calibri" w:hAnsi="Calibri" w:cs="Arial"/>
          <w:bCs/>
        </w:rPr>
      </w:pPr>
      <w:r w:rsidRPr="001040C6">
        <w:rPr>
          <w:rFonts w:ascii="Calibri" w:hAnsi="Calibri" w:cs="Arial"/>
          <w:bCs/>
        </w:rPr>
        <w:t xml:space="preserve">IAS 19 prescribes the accounting to be adopted in respect of employee benefits, requiring: </w:t>
      </w:r>
    </w:p>
    <w:p w:rsidR="00EE67C0" w:rsidRPr="001040C6" w:rsidRDefault="00EE67C0" w:rsidP="00BC15F9">
      <w:pPr>
        <w:ind w:left="720"/>
        <w:jc w:val="both"/>
        <w:rPr>
          <w:rFonts w:ascii="Calibri" w:hAnsi="Calibri" w:cs="Arial"/>
          <w:bCs/>
        </w:rPr>
      </w:pPr>
    </w:p>
    <w:p w:rsidR="00EE67C0" w:rsidRPr="001040C6" w:rsidRDefault="00EE67C0" w:rsidP="00D45601">
      <w:pPr>
        <w:ind w:left="1080" w:hanging="332"/>
        <w:jc w:val="both"/>
        <w:rPr>
          <w:rFonts w:ascii="Calibri" w:hAnsi="Calibri" w:cs="Arial"/>
          <w:bCs/>
        </w:rPr>
      </w:pPr>
      <w:r w:rsidRPr="001040C6">
        <w:rPr>
          <w:rFonts w:ascii="Calibri" w:hAnsi="Calibri" w:cs="Arial"/>
          <w:bCs/>
        </w:rPr>
        <w:t>(i)</w:t>
      </w:r>
      <w:r w:rsidRPr="001040C6">
        <w:rPr>
          <w:rFonts w:ascii="Calibri" w:hAnsi="Calibri" w:cs="Arial"/>
          <w:bCs/>
        </w:rPr>
        <w:tab/>
        <w:t xml:space="preserve">A liability to be recognised when services have been provided in exchange for future employee benefit; and </w:t>
      </w:r>
    </w:p>
    <w:p w:rsidR="00EE67C0" w:rsidRPr="001040C6" w:rsidRDefault="00EE67C0" w:rsidP="00D45601">
      <w:pPr>
        <w:ind w:left="1080" w:hanging="332"/>
        <w:jc w:val="both"/>
        <w:rPr>
          <w:rFonts w:ascii="Calibri" w:hAnsi="Calibri" w:cs="Arial"/>
          <w:bCs/>
        </w:rPr>
      </w:pPr>
    </w:p>
    <w:p w:rsidR="00EE67C0" w:rsidRPr="001040C6" w:rsidRDefault="00EE67C0" w:rsidP="00D45601">
      <w:pPr>
        <w:ind w:left="1080" w:hanging="332"/>
        <w:jc w:val="both"/>
        <w:rPr>
          <w:rFonts w:ascii="Calibri" w:hAnsi="Calibri" w:cs="Arial"/>
          <w:bCs/>
        </w:rPr>
      </w:pPr>
      <w:r w:rsidRPr="001040C6">
        <w:rPr>
          <w:rFonts w:ascii="Calibri" w:hAnsi="Calibri" w:cs="Arial"/>
          <w:bCs/>
        </w:rPr>
        <w:t>(ii)</w:t>
      </w:r>
      <w:r w:rsidRPr="001040C6">
        <w:rPr>
          <w:rFonts w:ascii="Calibri" w:hAnsi="Calibri" w:cs="Arial"/>
          <w:bCs/>
        </w:rPr>
        <w:tab/>
        <w:t xml:space="preserve">An expense when the company consumes the economic benefit arising from the service. </w:t>
      </w:r>
    </w:p>
    <w:p w:rsidR="00EE67C0" w:rsidRPr="001040C6" w:rsidRDefault="00EE67C0" w:rsidP="00BC15F9">
      <w:pPr>
        <w:ind w:left="1440" w:hanging="692"/>
        <w:jc w:val="both"/>
        <w:rPr>
          <w:rFonts w:ascii="Calibri" w:hAnsi="Calibri" w:cs="Arial"/>
          <w:bCs/>
        </w:rPr>
      </w:pPr>
    </w:p>
    <w:p w:rsidR="00EE67C0" w:rsidRPr="001040C6" w:rsidRDefault="00EE67C0" w:rsidP="00BC15F9">
      <w:pPr>
        <w:ind w:left="748"/>
        <w:jc w:val="both"/>
        <w:rPr>
          <w:rFonts w:ascii="Calibri" w:hAnsi="Calibri" w:cs="Arial"/>
          <w:bCs/>
        </w:rPr>
      </w:pPr>
      <w:r w:rsidRPr="001040C6">
        <w:rPr>
          <w:rFonts w:ascii="Calibri" w:hAnsi="Calibri" w:cs="Arial"/>
          <w:bCs/>
        </w:rPr>
        <w:t xml:space="preserve">Employee benefits consist of short term benefits, post employment benefits, other long term employee benefits and termination benefits.  </w:t>
      </w:r>
    </w:p>
    <w:p w:rsidR="00EE67C0" w:rsidRPr="001040C6" w:rsidRDefault="00EE67C0" w:rsidP="00BC15F9">
      <w:pPr>
        <w:ind w:left="720"/>
        <w:jc w:val="both"/>
        <w:rPr>
          <w:rFonts w:ascii="Calibri" w:hAnsi="Calibri" w:cs="Arial"/>
          <w:bCs/>
        </w:rPr>
      </w:pPr>
    </w:p>
    <w:p w:rsidR="00EE67C0" w:rsidRPr="001040C6" w:rsidRDefault="00EE67C0" w:rsidP="00BC15F9">
      <w:pPr>
        <w:ind w:left="720"/>
        <w:jc w:val="both"/>
        <w:rPr>
          <w:rFonts w:ascii="Calibri" w:hAnsi="Calibri" w:cs="Arial"/>
          <w:bCs/>
        </w:rPr>
      </w:pPr>
      <w:r w:rsidRPr="001040C6">
        <w:rPr>
          <w:rFonts w:ascii="Calibri" w:hAnsi="Calibri" w:cs="Arial"/>
          <w:bCs/>
        </w:rPr>
        <w:t>Post employment benefit plans are classified as either defined contribution plans or defined benefit plans.</w:t>
      </w:r>
      <w:r w:rsidRPr="001040C6">
        <w:rPr>
          <w:rFonts w:ascii="Calibri" w:hAnsi="Calibri" w:cs="Arial"/>
          <w:bCs/>
          <w:lang w:val="en-GB"/>
        </w:rPr>
        <w:t xml:space="preserve"> The nature of the defined benefit plans varies significantly from relatively straightforward provisions for severance pay to complex pension plans of groups.</w:t>
      </w:r>
    </w:p>
    <w:p w:rsidR="00EE67C0" w:rsidRPr="001040C6" w:rsidRDefault="00EE67C0" w:rsidP="00BC15F9">
      <w:pPr>
        <w:ind w:left="720"/>
        <w:jc w:val="both"/>
        <w:rPr>
          <w:rFonts w:ascii="Calibri" w:hAnsi="Calibri" w:cs="Arial"/>
          <w:bCs/>
        </w:rPr>
      </w:pPr>
    </w:p>
    <w:p w:rsidR="00EE67C0" w:rsidRPr="001040C6" w:rsidRDefault="00EE67C0" w:rsidP="00BC15F9">
      <w:pPr>
        <w:ind w:left="720"/>
        <w:jc w:val="both"/>
        <w:rPr>
          <w:rFonts w:ascii="Calibri" w:hAnsi="Calibri" w:cs="Arial"/>
          <w:i/>
        </w:rPr>
      </w:pPr>
      <w:r w:rsidRPr="001040C6">
        <w:rPr>
          <w:rFonts w:ascii="Calibri" w:hAnsi="Calibri" w:cs="Arial"/>
          <w:i/>
        </w:rPr>
        <w:t xml:space="preserve">Information about post employment benefits is particularly important to users of financial statements because other information published by an entity will not </w:t>
      </w:r>
      <w:r>
        <w:rPr>
          <w:rFonts w:ascii="Calibri" w:hAnsi="Calibri" w:cs="Arial"/>
          <w:i/>
        </w:rPr>
        <w:t xml:space="preserve">only </w:t>
      </w:r>
      <w:r w:rsidRPr="001040C6">
        <w:rPr>
          <w:rFonts w:ascii="Calibri" w:hAnsi="Calibri" w:cs="Arial"/>
          <w:i/>
        </w:rPr>
        <w:t>allow users to estimate the nature and extent of defined benefit obligations and to assess the risks associated with those obligations</w:t>
      </w:r>
      <w:r>
        <w:rPr>
          <w:rFonts w:ascii="Calibri" w:hAnsi="Calibri" w:cs="Arial"/>
          <w:i/>
        </w:rPr>
        <w:t>, i</w:t>
      </w:r>
      <w:r w:rsidRPr="001040C6">
        <w:rPr>
          <w:rFonts w:ascii="Calibri" w:hAnsi="Calibri" w:cs="Arial"/>
          <w:i/>
        </w:rPr>
        <w:t xml:space="preserve">t </w:t>
      </w:r>
      <w:r>
        <w:rPr>
          <w:rFonts w:ascii="Calibri" w:hAnsi="Calibri" w:cs="Arial"/>
          <w:i/>
        </w:rPr>
        <w:t>will also assist</w:t>
      </w:r>
      <w:r w:rsidRPr="001040C6">
        <w:rPr>
          <w:rFonts w:ascii="Calibri" w:hAnsi="Calibri" w:cs="Arial"/>
          <w:i/>
        </w:rPr>
        <w:t xml:space="preserve"> users of financial statements in understanding the financial effect of the plan during the period and the future liability of the entity. </w:t>
      </w:r>
    </w:p>
    <w:p w:rsidR="00EE67C0" w:rsidRPr="001040C6" w:rsidRDefault="00EE67C0" w:rsidP="00BC15F9">
      <w:pPr>
        <w:jc w:val="both"/>
        <w:rPr>
          <w:rFonts w:ascii="Calibri" w:hAnsi="Calibri" w:cs="Arial"/>
          <w:b/>
          <w:bCs/>
        </w:rPr>
      </w:pPr>
    </w:p>
    <w:p w:rsidR="00EE67C0" w:rsidRPr="001040C6" w:rsidRDefault="00EE67C0" w:rsidP="00BC15F9">
      <w:pPr>
        <w:ind w:left="720"/>
        <w:jc w:val="both"/>
        <w:rPr>
          <w:rFonts w:ascii="Calibri" w:hAnsi="Calibri" w:cs="Arial"/>
          <w:b/>
        </w:rPr>
      </w:pPr>
      <w:r w:rsidRPr="001040C6">
        <w:rPr>
          <w:rFonts w:ascii="Calibri" w:hAnsi="Calibri" w:cs="Arial"/>
          <w:b/>
        </w:rPr>
        <w:t>From the annual reports, FRC noted the following:</w:t>
      </w:r>
    </w:p>
    <w:p w:rsidR="00EE67C0" w:rsidRPr="00475BD5" w:rsidRDefault="00EE67C0" w:rsidP="00BC15F9">
      <w:pPr>
        <w:ind w:left="720"/>
        <w:jc w:val="both"/>
        <w:rPr>
          <w:rFonts w:ascii="Calibri" w:hAnsi="Calibri" w:cs="Arial"/>
          <w:highlight w:val="cyan"/>
        </w:rPr>
      </w:pPr>
    </w:p>
    <w:p w:rsidR="00EE67C0" w:rsidRPr="00EA34E4" w:rsidRDefault="00EE67C0" w:rsidP="008D126B">
      <w:pPr>
        <w:pStyle w:val="ListParagraph"/>
        <w:numPr>
          <w:ilvl w:val="0"/>
          <w:numId w:val="29"/>
        </w:numPr>
        <w:jc w:val="both"/>
        <w:rPr>
          <w:rFonts w:ascii="Calibri" w:hAnsi="Calibri" w:cs="Arial"/>
          <w:b/>
        </w:rPr>
      </w:pPr>
      <w:r w:rsidRPr="00EA34E4">
        <w:rPr>
          <w:rFonts w:ascii="Calibri" w:hAnsi="Calibri" w:cs="Arial"/>
          <w:b/>
        </w:rPr>
        <w:t xml:space="preserve">3 PIEs </w:t>
      </w:r>
      <w:r w:rsidRPr="00EA34E4">
        <w:rPr>
          <w:rFonts w:ascii="Calibri" w:hAnsi="Calibri" w:cs="Arial"/>
        </w:rPr>
        <w:t xml:space="preserve">[1 public entity regulated by FSC and 2 </w:t>
      </w:r>
      <w:r>
        <w:rPr>
          <w:rFonts w:ascii="Calibri" w:hAnsi="Calibri" w:cs="Arial"/>
        </w:rPr>
        <w:t>PIEs in Category 4</w:t>
      </w:r>
      <w:r w:rsidRPr="00EA34E4">
        <w:rPr>
          <w:rFonts w:ascii="Calibri" w:hAnsi="Calibri" w:cs="Arial"/>
        </w:rPr>
        <w:t>]</w:t>
      </w:r>
      <w:r w:rsidRPr="00EA34E4">
        <w:rPr>
          <w:rFonts w:ascii="Calibri" w:hAnsi="Calibri" w:cs="Arial"/>
          <w:b/>
        </w:rPr>
        <w:t xml:space="preserve"> did not apply IAS 19 </w:t>
      </w:r>
      <w:r w:rsidRPr="00EA34E4">
        <w:rPr>
          <w:rFonts w:ascii="Calibri" w:hAnsi="Calibri" w:cs="Arial"/>
          <w:b/>
          <w:u w:val="single"/>
        </w:rPr>
        <w:t>as they did not have any employees</w:t>
      </w:r>
      <w:r w:rsidRPr="00EA34E4">
        <w:rPr>
          <w:rFonts w:ascii="Calibri" w:hAnsi="Calibri" w:cs="Arial"/>
          <w:b/>
        </w:rPr>
        <w:t>.</w:t>
      </w:r>
    </w:p>
    <w:p w:rsidR="00EE67C0" w:rsidRPr="00EA34E4" w:rsidRDefault="00EE67C0" w:rsidP="00EA34E4">
      <w:pPr>
        <w:pStyle w:val="ListParagraph"/>
        <w:ind w:left="1080"/>
        <w:jc w:val="both"/>
        <w:rPr>
          <w:rFonts w:ascii="Calibri" w:hAnsi="Calibri" w:cs="Arial"/>
          <w:highlight w:val="cyan"/>
        </w:rPr>
      </w:pPr>
    </w:p>
    <w:p w:rsidR="00EE67C0" w:rsidRDefault="00EE67C0" w:rsidP="008D126B">
      <w:pPr>
        <w:pStyle w:val="ListParagraph"/>
        <w:numPr>
          <w:ilvl w:val="0"/>
          <w:numId w:val="29"/>
        </w:numPr>
        <w:jc w:val="both"/>
        <w:rPr>
          <w:rFonts w:ascii="Calibri" w:hAnsi="Calibri" w:cs="Arial"/>
          <w:b/>
        </w:rPr>
      </w:pPr>
      <w:r w:rsidRPr="00EA34E4">
        <w:rPr>
          <w:rFonts w:ascii="Calibri" w:hAnsi="Calibri" w:cs="Arial"/>
          <w:b/>
        </w:rPr>
        <w:t xml:space="preserve">24 PIEs </w:t>
      </w:r>
      <w:r w:rsidRPr="00EA34E4">
        <w:rPr>
          <w:rFonts w:ascii="Calibri" w:hAnsi="Calibri" w:cs="Arial"/>
        </w:rPr>
        <w:t xml:space="preserve">[3 listed (1 Commerce and 2 Industry) </w:t>
      </w:r>
      <w:r w:rsidRPr="00EA34E4">
        <w:rPr>
          <w:rFonts w:ascii="Calibri" w:hAnsi="Calibri" w:cs="Arial"/>
          <w:b/>
        </w:rPr>
        <w:t xml:space="preserve">and 21 </w:t>
      </w:r>
      <w:r>
        <w:rPr>
          <w:rFonts w:ascii="Calibri" w:hAnsi="Calibri" w:cs="Arial"/>
          <w:b/>
        </w:rPr>
        <w:t>PIEs in Category 4</w:t>
      </w:r>
      <w:r w:rsidRPr="00EA34E4">
        <w:rPr>
          <w:rFonts w:ascii="Calibri" w:hAnsi="Calibri" w:cs="Arial"/>
        </w:rPr>
        <w:t xml:space="preserve"> (including 2 public)] </w:t>
      </w:r>
      <w:r w:rsidRPr="00EA34E4">
        <w:rPr>
          <w:rFonts w:ascii="Calibri" w:hAnsi="Calibri" w:cs="Arial"/>
          <w:b/>
        </w:rPr>
        <w:t>had partly complied with IAS 19.</w:t>
      </w:r>
    </w:p>
    <w:p w:rsidR="00EE67C0" w:rsidRPr="006E0449" w:rsidRDefault="00EE67C0" w:rsidP="006E0449">
      <w:pPr>
        <w:pStyle w:val="ListParagraph"/>
        <w:rPr>
          <w:rFonts w:ascii="Calibri" w:hAnsi="Calibri" w:cs="Arial"/>
          <w:b/>
        </w:rPr>
      </w:pPr>
    </w:p>
    <w:p w:rsidR="00EE67C0" w:rsidRPr="006E0449" w:rsidRDefault="00EE67C0" w:rsidP="008D126B">
      <w:pPr>
        <w:pStyle w:val="ListParagraph"/>
        <w:numPr>
          <w:ilvl w:val="0"/>
          <w:numId w:val="29"/>
        </w:numPr>
        <w:jc w:val="both"/>
        <w:rPr>
          <w:rFonts w:ascii="Calibri" w:hAnsi="Calibri" w:cs="Arial"/>
          <w:b/>
        </w:rPr>
      </w:pPr>
      <w:r w:rsidRPr="006E0449">
        <w:rPr>
          <w:rFonts w:ascii="Calibri" w:hAnsi="Calibri" w:cs="Arial"/>
          <w:b/>
        </w:rPr>
        <w:t xml:space="preserve">1 </w:t>
      </w:r>
      <w:r>
        <w:rPr>
          <w:rFonts w:ascii="Calibri" w:hAnsi="Calibri" w:cs="Arial"/>
          <w:b/>
        </w:rPr>
        <w:t>PIEs in Category 4</w:t>
      </w:r>
      <w:r w:rsidRPr="006E0449">
        <w:rPr>
          <w:rFonts w:ascii="Calibri" w:hAnsi="Calibri" w:cs="Arial"/>
          <w:b/>
        </w:rPr>
        <w:t xml:space="preserve"> had not complied at all with the requirements of IAS 19 although it had 192 employees.</w:t>
      </w:r>
    </w:p>
    <w:p w:rsidR="00EE67C0" w:rsidRDefault="00EE67C0" w:rsidP="00EA34E4">
      <w:pPr>
        <w:pStyle w:val="ListParagraph"/>
        <w:ind w:left="1080"/>
        <w:jc w:val="both"/>
      </w:pPr>
    </w:p>
    <w:p w:rsidR="00EE67C0" w:rsidRPr="00EA34E4" w:rsidRDefault="00EE67C0" w:rsidP="00EA34E4">
      <w:pPr>
        <w:pStyle w:val="ListParagraph"/>
        <w:ind w:left="1080"/>
        <w:jc w:val="both"/>
        <w:rPr>
          <w:rFonts w:ascii="Calibri" w:hAnsi="Calibri" w:cs="Arial"/>
        </w:rPr>
      </w:pPr>
      <w:r w:rsidRPr="00EA34E4">
        <w:rPr>
          <w:rFonts w:ascii="Calibri" w:hAnsi="Calibri" w:cs="Arial"/>
        </w:rPr>
        <w:t>The PIE undertook to make appropriate disclosures with respect to the defined contribution as per IAS 19 will be made in its next financial statements.</w:t>
      </w:r>
    </w:p>
    <w:p w:rsidR="00EE67C0" w:rsidRPr="00EA34E4" w:rsidRDefault="00EE67C0" w:rsidP="00EA34E4">
      <w:pPr>
        <w:pStyle w:val="ListParagraph"/>
        <w:ind w:left="1080"/>
        <w:jc w:val="both"/>
        <w:rPr>
          <w:rFonts w:ascii="Calibri" w:hAnsi="Calibri" w:cs="Arial"/>
          <w:b/>
          <w:highlight w:val="cyan"/>
        </w:rPr>
      </w:pPr>
    </w:p>
    <w:p w:rsidR="00EE67C0" w:rsidRPr="00EA34E4" w:rsidRDefault="00EE67C0" w:rsidP="008D126B">
      <w:pPr>
        <w:pStyle w:val="ListParagraph"/>
        <w:numPr>
          <w:ilvl w:val="0"/>
          <w:numId w:val="29"/>
        </w:numPr>
        <w:jc w:val="both"/>
        <w:rPr>
          <w:rFonts w:ascii="Calibri" w:hAnsi="Calibri" w:cs="Arial"/>
          <w:b/>
        </w:rPr>
      </w:pPr>
      <w:r w:rsidRPr="00EA34E4">
        <w:rPr>
          <w:rFonts w:ascii="Calibri" w:hAnsi="Calibri" w:cs="Arial"/>
          <w:b/>
        </w:rPr>
        <w:t xml:space="preserve">28 PIEs </w:t>
      </w:r>
      <w:r w:rsidRPr="00EA34E4">
        <w:rPr>
          <w:rFonts w:ascii="Calibri" w:hAnsi="Calibri" w:cs="Arial"/>
        </w:rPr>
        <w:t xml:space="preserve">[4 listed (1 BIF, 1 Commerce, 1 Industry and 1 Leisure &amp; Hotels), 3 regulated by BOM, 3 PIEs regulated by FSC and 18 </w:t>
      </w:r>
      <w:r>
        <w:rPr>
          <w:rFonts w:ascii="Calibri" w:hAnsi="Calibri" w:cs="Arial"/>
        </w:rPr>
        <w:t>PIEs in Category 4]</w:t>
      </w:r>
      <w:r w:rsidRPr="00EA34E4">
        <w:rPr>
          <w:rFonts w:ascii="Calibri" w:hAnsi="Calibri" w:cs="Arial"/>
          <w:b/>
        </w:rPr>
        <w:t xml:space="preserve"> had fully complied with the requirements of IAS 19.</w:t>
      </w:r>
    </w:p>
    <w:p w:rsidR="00EE67C0" w:rsidRPr="00A45D92" w:rsidRDefault="00EE67C0" w:rsidP="00BC15F9">
      <w:pPr>
        <w:ind w:left="720"/>
        <w:jc w:val="both"/>
        <w:rPr>
          <w:rFonts w:ascii="Calibri" w:hAnsi="Calibri" w:cs="Arial"/>
          <w:bCs/>
          <w:lang w:val="en-GB"/>
        </w:rPr>
      </w:pPr>
    </w:p>
    <w:p w:rsidR="00EE67C0" w:rsidRPr="00DB6560" w:rsidRDefault="00EE67C0" w:rsidP="00BC15F9">
      <w:pPr>
        <w:ind w:left="720"/>
        <w:jc w:val="both"/>
        <w:rPr>
          <w:rFonts w:ascii="Calibri" w:hAnsi="Calibri"/>
          <w:lang w:val="en-GB"/>
        </w:rPr>
      </w:pPr>
      <w:r>
        <w:rPr>
          <w:rFonts w:ascii="Calibri" w:hAnsi="Calibri" w:cs="Arial"/>
          <w:bCs/>
          <w:lang w:val="en-GB"/>
        </w:rPr>
        <w:t>With regard to the</w:t>
      </w:r>
      <w:r w:rsidRPr="00060E17">
        <w:rPr>
          <w:rFonts w:ascii="Calibri" w:hAnsi="Calibri" w:cs="Arial"/>
          <w:bCs/>
          <w:lang w:val="en-GB"/>
        </w:rPr>
        <w:t xml:space="preserve"> 24 PIEs which had partly </w:t>
      </w:r>
      <w:r w:rsidRPr="00060E17">
        <w:rPr>
          <w:rFonts w:ascii="Calibri" w:hAnsi="Calibri"/>
          <w:bCs/>
          <w:lang w:val="en-GB"/>
        </w:rPr>
        <w:t>complied with IAS 19, the following common non-compliances were noted</w:t>
      </w:r>
      <w:r>
        <w:rPr>
          <w:rFonts w:ascii="Calibri" w:hAnsi="Calibri"/>
          <w:lang w:val="en-GB"/>
        </w:rPr>
        <w:t>for</w:t>
      </w:r>
      <w:r w:rsidRPr="00060E17">
        <w:rPr>
          <w:rFonts w:ascii="Calibri" w:hAnsi="Calibri"/>
          <w:lang w:val="en-GB"/>
        </w:rPr>
        <w:t xml:space="preserve"> defined benefit </w:t>
      </w:r>
      <w:r w:rsidRPr="00DB6560">
        <w:rPr>
          <w:rFonts w:ascii="Calibri" w:hAnsi="Calibri"/>
          <w:lang w:val="en-GB"/>
        </w:rPr>
        <w:t>plans (IAS 19 paragraphs 120A, 139, 142, 145 &amp; 147):</w:t>
      </w:r>
    </w:p>
    <w:p w:rsidR="00EE67C0" w:rsidRPr="00DB6560" w:rsidRDefault="00EE67C0" w:rsidP="00BC15F9">
      <w:pPr>
        <w:ind w:left="748"/>
        <w:jc w:val="both"/>
        <w:rPr>
          <w:rFonts w:ascii="Calibri" w:hAnsi="Calibri" w:cs="Arial"/>
          <w:bCs/>
          <w:lang w:val="en-GB"/>
        </w:rPr>
      </w:pPr>
    </w:p>
    <w:p w:rsidR="00EE67C0" w:rsidRPr="00E90D02" w:rsidRDefault="00EE67C0" w:rsidP="00E90D02">
      <w:pPr>
        <w:numPr>
          <w:ilvl w:val="0"/>
          <w:numId w:val="7"/>
        </w:numPr>
        <w:tabs>
          <w:tab w:val="clear" w:pos="1468"/>
          <w:tab w:val="num" w:pos="1122"/>
        </w:tabs>
        <w:ind w:left="1122" w:hanging="374"/>
        <w:jc w:val="both"/>
        <w:rPr>
          <w:rFonts w:ascii="Calibri" w:hAnsi="Calibri" w:cs="Arial"/>
          <w:bCs/>
        </w:rPr>
      </w:pPr>
      <w:r w:rsidRPr="00DB6560">
        <w:rPr>
          <w:rFonts w:ascii="Calibri" w:hAnsi="Calibri" w:cs="Arial"/>
          <w:bCs/>
        </w:rPr>
        <w:t>Accounting policy for recognising actuarial gains and losses.</w:t>
      </w:r>
    </w:p>
    <w:p w:rsidR="00EE67C0" w:rsidRPr="00DB6560" w:rsidRDefault="00EE67C0" w:rsidP="008D126B">
      <w:pPr>
        <w:numPr>
          <w:ilvl w:val="0"/>
          <w:numId w:val="7"/>
        </w:numPr>
        <w:tabs>
          <w:tab w:val="clear" w:pos="1468"/>
          <w:tab w:val="num" w:pos="1122"/>
        </w:tabs>
        <w:ind w:left="1122" w:hanging="374"/>
        <w:jc w:val="both"/>
        <w:rPr>
          <w:rFonts w:ascii="Calibri" w:hAnsi="Calibri" w:cs="Arial"/>
          <w:bCs/>
        </w:rPr>
      </w:pPr>
      <w:r w:rsidRPr="00DB6560">
        <w:rPr>
          <w:rFonts w:ascii="Calibri" w:hAnsi="Calibri" w:cs="Arial"/>
          <w:bCs/>
        </w:rPr>
        <w:t>Narrative description of the basis used to determine the overall expected rate of return on assets, including the effect of the major categories of plan assets.</w:t>
      </w:r>
    </w:p>
    <w:p w:rsidR="00EE67C0" w:rsidRPr="00475BD5" w:rsidRDefault="00EE67C0" w:rsidP="00BC15F9">
      <w:pPr>
        <w:ind w:left="748"/>
        <w:jc w:val="both"/>
        <w:rPr>
          <w:rFonts w:ascii="Calibri" w:hAnsi="Calibri" w:cs="Arial"/>
          <w:bCs/>
          <w:highlight w:val="cyan"/>
        </w:rPr>
      </w:pPr>
    </w:p>
    <w:p w:rsidR="00EE67C0" w:rsidRPr="00DB6560" w:rsidRDefault="00EE67C0" w:rsidP="008D126B">
      <w:pPr>
        <w:numPr>
          <w:ilvl w:val="0"/>
          <w:numId w:val="7"/>
        </w:numPr>
        <w:tabs>
          <w:tab w:val="clear" w:pos="1468"/>
          <w:tab w:val="num" w:pos="1122"/>
        </w:tabs>
        <w:ind w:left="1122" w:hanging="374"/>
        <w:jc w:val="both"/>
        <w:rPr>
          <w:rFonts w:ascii="Calibri" w:hAnsi="Calibri" w:cs="Arial"/>
          <w:bCs/>
        </w:rPr>
      </w:pPr>
      <w:r w:rsidRPr="00DB6560">
        <w:rPr>
          <w:rFonts w:ascii="Calibri" w:hAnsi="Calibri" w:cs="Arial"/>
          <w:bCs/>
        </w:rPr>
        <w:t>The actual return on plan assets.</w:t>
      </w:r>
    </w:p>
    <w:p w:rsidR="00EE67C0" w:rsidRPr="00475BD5" w:rsidRDefault="00EE67C0" w:rsidP="00BC15F9">
      <w:pPr>
        <w:ind w:left="748"/>
        <w:jc w:val="both"/>
        <w:rPr>
          <w:rFonts w:ascii="Calibri" w:hAnsi="Calibri" w:cs="Arial"/>
          <w:bCs/>
          <w:highlight w:val="cyan"/>
        </w:rPr>
      </w:pPr>
    </w:p>
    <w:p w:rsidR="00EE67C0" w:rsidRPr="00DB6560" w:rsidRDefault="00EE67C0" w:rsidP="008D126B">
      <w:pPr>
        <w:numPr>
          <w:ilvl w:val="0"/>
          <w:numId w:val="7"/>
        </w:numPr>
        <w:tabs>
          <w:tab w:val="clear" w:pos="1468"/>
          <w:tab w:val="num" w:pos="1122"/>
        </w:tabs>
        <w:ind w:left="1122" w:hanging="374"/>
        <w:jc w:val="both"/>
        <w:rPr>
          <w:rFonts w:ascii="Calibri" w:hAnsi="Calibri" w:cs="Arial"/>
          <w:bCs/>
        </w:rPr>
      </w:pPr>
      <w:r w:rsidRPr="00DB6560">
        <w:rPr>
          <w:rFonts w:ascii="Calibri" w:hAnsi="Calibri" w:cs="Arial"/>
          <w:bCs/>
        </w:rPr>
        <w:t>The amounts for the current annual period and previous four annual periods of:</w:t>
      </w:r>
    </w:p>
    <w:p w:rsidR="00EE67C0" w:rsidRPr="00DB6560" w:rsidRDefault="00EE67C0" w:rsidP="00BC15F9">
      <w:pPr>
        <w:ind w:left="748"/>
        <w:jc w:val="both"/>
        <w:rPr>
          <w:rFonts w:ascii="Calibri" w:hAnsi="Calibri" w:cs="Arial"/>
          <w:bCs/>
        </w:rPr>
      </w:pPr>
    </w:p>
    <w:p w:rsidR="00EE67C0" w:rsidRPr="00DB6560" w:rsidRDefault="00EE67C0" w:rsidP="008D126B">
      <w:pPr>
        <w:numPr>
          <w:ilvl w:val="0"/>
          <w:numId w:val="8"/>
        </w:numPr>
        <w:tabs>
          <w:tab w:val="clear" w:pos="1468"/>
        </w:tabs>
        <w:jc w:val="both"/>
        <w:rPr>
          <w:rFonts w:ascii="Calibri" w:hAnsi="Calibri" w:cs="Arial"/>
          <w:bCs/>
        </w:rPr>
      </w:pPr>
      <w:r w:rsidRPr="00DB6560">
        <w:rPr>
          <w:rFonts w:ascii="Calibri" w:hAnsi="Calibri" w:cs="Arial"/>
          <w:bCs/>
        </w:rPr>
        <w:t>the present value of the defined benefit obligation, the fair value of the plan assets and the surplus or deficit in the plan; and</w:t>
      </w:r>
    </w:p>
    <w:p w:rsidR="00EE67C0" w:rsidRPr="00DB6560" w:rsidRDefault="00EE67C0" w:rsidP="00BC15F9">
      <w:pPr>
        <w:ind w:left="1468"/>
        <w:jc w:val="both"/>
        <w:rPr>
          <w:rFonts w:ascii="Calibri" w:hAnsi="Calibri" w:cs="Arial"/>
          <w:bCs/>
        </w:rPr>
      </w:pPr>
    </w:p>
    <w:p w:rsidR="00EE67C0" w:rsidRPr="00DB6560" w:rsidRDefault="00EE67C0" w:rsidP="008D126B">
      <w:pPr>
        <w:numPr>
          <w:ilvl w:val="0"/>
          <w:numId w:val="8"/>
        </w:numPr>
        <w:tabs>
          <w:tab w:val="clear" w:pos="1468"/>
        </w:tabs>
        <w:jc w:val="both"/>
        <w:rPr>
          <w:rFonts w:ascii="Calibri" w:hAnsi="Calibri" w:cs="Arial"/>
          <w:bCs/>
        </w:rPr>
      </w:pPr>
      <w:r w:rsidRPr="00DB6560">
        <w:rPr>
          <w:rFonts w:ascii="Calibri" w:hAnsi="Calibri" w:cs="Arial"/>
          <w:bCs/>
        </w:rPr>
        <w:t>the experience adjustments arising on:</w:t>
      </w:r>
    </w:p>
    <w:p w:rsidR="00EE67C0" w:rsidRPr="00DB6560" w:rsidRDefault="00EE67C0" w:rsidP="008D126B">
      <w:pPr>
        <w:numPr>
          <w:ilvl w:val="1"/>
          <w:numId w:val="9"/>
        </w:numPr>
        <w:tabs>
          <w:tab w:val="clear" w:pos="2188"/>
          <w:tab w:val="num" w:pos="1870"/>
        </w:tabs>
        <w:ind w:left="1870" w:hanging="374"/>
        <w:jc w:val="both"/>
        <w:rPr>
          <w:rFonts w:ascii="Calibri" w:hAnsi="Calibri" w:cs="Arial"/>
          <w:bCs/>
        </w:rPr>
      </w:pPr>
      <w:r w:rsidRPr="00DB6560">
        <w:rPr>
          <w:rFonts w:ascii="Calibri" w:hAnsi="Calibri" w:cs="Arial"/>
          <w:bCs/>
        </w:rPr>
        <w:t>the plan liabilities expressed either as (1) an amount or (2) a percentage of the plan liabilities at the end of the reporting period and</w:t>
      </w:r>
    </w:p>
    <w:p w:rsidR="00EE67C0" w:rsidRPr="00DB6560" w:rsidRDefault="00EE67C0" w:rsidP="008D126B">
      <w:pPr>
        <w:numPr>
          <w:ilvl w:val="1"/>
          <w:numId w:val="9"/>
        </w:numPr>
        <w:tabs>
          <w:tab w:val="clear" w:pos="2188"/>
          <w:tab w:val="num" w:pos="1870"/>
        </w:tabs>
        <w:ind w:left="1870" w:hanging="374"/>
        <w:jc w:val="both"/>
        <w:rPr>
          <w:rFonts w:ascii="Calibri" w:hAnsi="Calibri" w:cs="Arial"/>
          <w:bCs/>
        </w:rPr>
      </w:pPr>
      <w:r w:rsidRPr="00DB6560">
        <w:rPr>
          <w:rFonts w:ascii="Calibri" w:hAnsi="Calibri" w:cs="Arial"/>
          <w:bCs/>
        </w:rPr>
        <w:t>the plan assets expressed either as (1) an amount or (2) a percentage of the plan assets at the end of the reporting period.</w:t>
      </w:r>
    </w:p>
    <w:p w:rsidR="00EE67C0" w:rsidRPr="00475BD5" w:rsidRDefault="00EE67C0" w:rsidP="006C1964">
      <w:pPr>
        <w:ind w:left="1440"/>
        <w:jc w:val="both"/>
        <w:rPr>
          <w:rFonts w:ascii="Calibri" w:hAnsi="Calibri" w:cs="Arial"/>
          <w:bCs/>
          <w:sz w:val="22"/>
          <w:szCs w:val="22"/>
          <w:highlight w:val="cyan"/>
        </w:rPr>
      </w:pPr>
    </w:p>
    <w:p w:rsidR="00EE67C0" w:rsidRPr="00DB6560" w:rsidRDefault="00EE67C0" w:rsidP="00C95CA4">
      <w:pPr>
        <w:ind w:left="1440"/>
        <w:jc w:val="both"/>
        <w:rPr>
          <w:rFonts w:ascii="Calibri" w:hAnsi="Calibri" w:cs="Arial"/>
          <w:bCs/>
          <w:i/>
          <w:sz w:val="18"/>
          <w:szCs w:val="18"/>
        </w:rPr>
      </w:pPr>
      <w:r w:rsidRPr="00DB6560">
        <w:rPr>
          <w:rFonts w:ascii="Calibri" w:hAnsi="Calibri" w:cs="Arial"/>
          <w:bCs/>
          <w:i/>
          <w:sz w:val="18"/>
          <w:szCs w:val="18"/>
        </w:rPr>
        <w:t>Experience adjustments are the effects of differences between the previous actuarial assumptions and what has actually occurred.</w:t>
      </w:r>
    </w:p>
    <w:p w:rsidR="00EE67C0" w:rsidRPr="00DB6560" w:rsidRDefault="00EE67C0" w:rsidP="006C1964">
      <w:pPr>
        <w:ind w:left="748"/>
        <w:jc w:val="both"/>
        <w:rPr>
          <w:rFonts w:ascii="Calibri" w:hAnsi="Calibri" w:cs="Arial"/>
          <w:bCs/>
        </w:rPr>
      </w:pPr>
    </w:p>
    <w:p w:rsidR="00EE67C0" w:rsidRPr="00DB6560" w:rsidRDefault="00EE67C0" w:rsidP="008D126B">
      <w:pPr>
        <w:numPr>
          <w:ilvl w:val="0"/>
          <w:numId w:val="7"/>
        </w:numPr>
        <w:tabs>
          <w:tab w:val="clear" w:pos="1468"/>
          <w:tab w:val="num" w:pos="1122"/>
        </w:tabs>
        <w:ind w:left="1123" w:hanging="374"/>
        <w:jc w:val="both"/>
        <w:rPr>
          <w:rFonts w:ascii="Calibri" w:hAnsi="Calibri" w:cs="Arial"/>
          <w:bCs/>
        </w:rPr>
      </w:pPr>
      <w:r w:rsidRPr="00DB6560">
        <w:rPr>
          <w:rFonts w:ascii="Calibri" w:hAnsi="Calibri" w:cs="Arial"/>
          <w:bCs/>
        </w:rPr>
        <w:t>The employer’s best estimate, as soon as it can reasonably be determined, of contributions expected to be paid to the plan during the annual period beginning after the reporting period.</w:t>
      </w:r>
    </w:p>
    <w:p w:rsidR="00EE67C0" w:rsidRPr="00DB6560" w:rsidRDefault="00EE67C0" w:rsidP="00DB6560">
      <w:pPr>
        <w:ind w:left="1123"/>
        <w:jc w:val="both"/>
        <w:rPr>
          <w:rFonts w:ascii="Calibri" w:hAnsi="Calibri" w:cs="Arial"/>
          <w:bCs/>
        </w:rPr>
      </w:pPr>
    </w:p>
    <w:p w:rsidR="00EE67C0" w:rsidRPr="001040C6" w:rsidRDefault="00EE67C0" w:rsidP="008D126B">
      <w:pPr>
        <w:numPr>
          <w:ilvl w:val="0"/>
          <w:numId w:val="7"/>
        </w:numPr>
        <w:tabs>
          <w:tab w:val="clear" w:pos="1468"/>
          <w:tab w:val="num" w:pos="1122"/>
        </w:tabs>
        <w:ind w:left="1123" w:hanging="374"/>
        <w:jc w:val="both"/>
        <w:rPr>
          <w:rFonts w:ascii="Calibri" w:hAnsi="Calibri" w:cs="Arial"/>
          <w:bCs/>
        </w:rPr>
      </w:pPr>
      <w:r w:rsidRPr="001040C6">
        <w:rPr>
          <w:rFonts w:ascii="Calibri" w:hAnsi="Calibri" w:cs="Arial"/>
          <w:bCs/>
        </w:rPr>
        <w:t>Characteristics of the defined benefit plans and their associated risks.</w:t>
      </w:r>
    </w:p>
    <w:p w:rsidR="00EE67C0" w:rsidRPr="00475BD5" w:rsidRDefault="00EE67C0" w:rsidP="00442132">
      <w:pPr>
        <w:ind w:left="1123"/>
        <w:jc w:val="both"/>
        <w:rPr>
          <w:rFonts w:ascii="Calibri" w:hAnsi="Calibri" w:cs="Arial"/>
          <w:bCs/>
          <w:highlight w:val="cyan"/>
        </w:rPr>
      </w:pPr>
    </w:p>
    <w:p w:rsidR="00EE67C0" w:rsidRDefault="00EE67C0" w:rsidP="008D126B">
      <w:pPr>
        <w:numPr>
          <w:ilvl w:val="0"/>
          <w:numId w:val="7"/>
        </w:numPr>
        <w:tabs>
          <w:tab w:val="clear" w:pos="1468"/>
          <w:tab w:val="num" w:pos="1122"/>
        </w:tabs>
        <w:ind w:left="1123" w:hanging="374"/>
        <w:jc w:val="both"/>
        <w:rPr>
          <w:rFonts w:ascii="Calibri" w:hAnsi="Calibri" w:cs="Arial"/>
          <w:bCs/>
        </w:rPr>
      </w:pPr>
      <w:r w:rsidRPr="00060E17">
        <w:rPr>
          <w:rFonts w:ascii="Calibri" w:hAnsi="Calibri" w:cs="Arial"/>
          <w:bCs/>
        </w:rPr>
        <w:t>Explanation of amounts in the financial statements such as disaggregation of the fair value of the plan assets into classes that distinguish the nature and risks of those assets.</w:t>
      </w:r>
    </w:p>
    <w:p w:rsidR="00EE67C0" w:rsidRDefault="00EE67C0" w:rsidP="00060E17">
      <w:pPr>
        <w:pStyle w:val="ListParagraph"/>
        <w:rPr>
          <w:rFonts w:ascii="Calibri" w:hAnsi="Calibri" w:cs="Arial"/>
          <w:bCs/>
        </w:rPr>
      </w:pPr>
    </w:p>
    <w:p w:rsidR="00EE67C0" w:rsidRDefault="00EE67C0" w:rsidP="008D126B">
      <w:pPr>
        <w:numPr>
          <w:ilvl w:val="0"/>
          <w:numId w:val="7"/>
        </w:numPr>
        <w:tabs>
          <w:tab w:val="clear" w:pos="1468"/>
          <w:tab w:val="num" w:pos="1122"/>
        </w:tabs>
        <w:ind w:left="1123" w:hanging="374"/>
        <w:jc w:val="both"/>
        <w:rPr>
          <w:rFonts w:ascii="Calibri" w:hAnsi="Calibri" w:cs="Arial"/>
          <w:bCs/>
        </w:rPr>
      </w:pPr>
      <w:r>
        <w:rPr>
          <w:rFonts w:ascii="Calibri" w:hAnsi="Calibri" w:cs="Arial"/>
          <w:bCs/>
        </w:rPr>
        <w:t>A</w:t>
      </w:r>
      <w:r w:rsidRPr="00060E17">
        <w:rPr>
          <w:rFonts w:ascii="Calibri" w:hAnsi="Calibri" w:cs="Arial"/>
          <w:bCs/>
        </w:rPr>
        <w:t xml:space="preserve"> sensitivity analysis for each significant actuarial assumption</w:t>
      </w:r>
      <w:r>
        <w:rPr>
          <w:rFonts w:ascii="Calibri" w:hAnsi="Calibri" w:cs="Arial"/>
          <w:bCs/>
        </w:rPr>
        <w:t>.</w:t>
      </w:r>
    </w:p>
    <w:p w:rsidR="00EE67C0" w:rsidRDefault="00EE67C0" w:rsidP="00060E17">
      <w:pPr>
        <w:pStyle w:val="ListParagraph"/>
        <w:rPr>
          <w:rFonts w:ascii="Calibri" w:hAnsi="Calibri" w:cs="Arial"/>
          <w:bCs/>
        </w:rPr>
      </w:pPr>
    </w:p>
    <w:p w:rsidR="00EE67C0" w:rsidRDefault="00EE67C0" w:rsidP="008D126B">
      <w:pPr>
        <w:numPr>
          <w:ilvl w:val="0"/>
          <w:numId w:val="7"/>
        </w:numPr>
        <w:tabs>
          <w:tab w:val="clear" w:pos="1468"/>
          <w:tab w:val="num" w:pos="1122"/>
        </w:tabs>
        <w:ind w:left="1123" w:hanging="374"/>
        <w:jc w:val="both"/>
        <w:rPr>
          <w:rFonts w:ascii="Calibri" w:hAnsi="Calibri" w:cs="Arial"/>
          <w:bCs/>
        </w:rPr>
      </w:pPr>
      <w:r w:rsidRPr="004C20A4">
        <w:rPr>
          <w:rFonts w:ascii="Calibri" w:hAnsi="Calibri" w:cs="Arial"/>
          <w:bCs/>
        </w:rPr>
        <w:t>A description of any funding arrangements and funding policy that affect future contributions, the expected contributions to the plan for the next annual reporting period and information about the maturity profile of the defined benefit obligation</w:t>
      </w:r>
      <w:r>
        <w:rPr>
          <w:rFonts w:ascii="Calibri" w:hAnsi="Calibri" w:cs="Arial"/>
          <w:bCs/>
        </w:rPr>
        <w:t>.</w:t>
      </w:r>
    </w:p>
    <w:p w:rsidR="00EE67C0" w:rsidRPr="00C35531" w:rsidRDefault="00EE67C0" w:rsidP="00E90D02">
      <w:pPr>
        <w:jc w:val="both"/>
        <w:rPr>
          <w:rFonts w:ascii="Calibri" w:hAnsi="Calibri" w:cs="Arial"/>
          <w:b/>
          <w:highlight w:val="yellow"/>
        </w:rPr>
      </w:pPr>
    </w:p>
    <w:p w:rsidR="00EE67C0" w:rsidRPr="00CA4DD2" w:rsidRDefault="00EE67C0" w:rsidP="00BC15F9">
      <w:pPr>
        <w:jc w:val="both"/>
        <w:rPr>
          <w:rFonts w:ascii="Calibri" w:hAnsi="Calibri" w:cs="Arial"/>
          <w:b/>
        </w:rPr>
      </w:pPr>
      <w:r w:rsidRPr="001E47D8">
        <w:rPr>
          <w:rFonts w:ascii="Calibri" w:hAnsi="Calibri" w:cs="Arial"/>
          <w:b/>
        </w:rPr>
        <w:t>1.4</w:t>
      </w:r>
      <w:r w:rsidRPr="001E47D8">
        <w:rPr>
          <w:rFonts w:ascii="Calibri" w:hAnsi="Calibri" w:cs="Arial"/>
          <w:b/>
        </w:rPr>
        <w:tab/>
        <w:t>IAS 24, Related Party Disclosures</w:t>
      </w:r>
    </w:p>
    <w:p w:rsidR="00EE67C0" w:rsidRPr="00CA4DD2" w:rsidRDefault="00EE67C0" w:rsidP="00BC15F9">
      <w:pPr>
        <w:jc w:val="both"/>
        <w:rPr>
          <w:rFonts w:ascii="Calibri" w:hAnsi="Calibri" w:cs="Arial"/>
          <w:b/>
        </w:rPr>
      </w:pPr>
    </w:p>
    <w:p w:rsidR="00EE67C0" w:rsidRPr="00CA4DD2" w:rsidRDefault="00EE67C0" w:rsidP="00BC15F9">
      <w:pPr>
        <w:ind w:left="720"/>
        <w:jc w:val="both"/>
        <w:rPr>
          <w:rFonts w:ascii="Calibri" w:hAnsi="Calibri" w:cs="Arial"/>
          <w:lang w:val="en-GB"/>
        </w:rPr>
      </w:pPr>
      <w:r w:rsidRPr="00CA4DD2">
        <w:rPr>
          <w:rFonts w:ascii="Calibri" w:hAnsi="Calibri" w:cs="Arial"/>
          <w:lang w:val="en-GB"/>
        </w:rPr>
        <w:t>Related Party Transactions is a sensitive issue.In order to meet rational economic demand, the PIEs must also have an established corporate governance mechanism that assists in ensuring that complex related party transactions are sufficiently monitored.</w:t>
      </w:r>
    </w:p>
    <w:p w:rsidR="00EE67C0" w:rsidRPr="00CA4DD2" w:rsidRDefault="00EE67C0" w:rsidP="00BC15F9">
      <w:pPr>
        <w:ind w:left="720"/>
        <w:jc w:val="both"/>
        <w:rPr>
          <w:rFonts w:ascii="Calibri" w:hAnsi="Calibri" w:cs="Arial"/>
          <w:lang w:val="en-GB"/>
        </w:rPr>
      </w:pPr>
    </w:p>
    <w:p w:rsidR="00EE67C0" w:rsidRPr="00CA4DD2" w:rsidRDefault="00EE67C0" w:rsidP="00E90D02">
      <w:pPr>
        <w:ind w:left="720"/>
        <w:jc w:val="both"/>
        <w:rPr>
          <w:rFonts w:ascii="Calibri" w:hAnsi="Calibri" w:cs="Arial"/>
          <w:i/>
          <w:lang w:val="en-GB"/>
        </w:rPr>
      </w:pPr>
      <w:r w:rsidRPr="00CA4DD2">
        <w:rPr>
          <w:rFonts w:ascii="Calibri" w:hAnsi="Calibri" w:cs="Arial"/>
          <w:lang w:val="en-GB"/>
        </w:rPr>
        <w:t xml:space="preserve">IAS 24 applies to identification and disclosures of related party transactions. </w:t>
      </w:r>
      <w:r w:rsidRPr="00CA4DD2">
        <w:rPr>
          <w:rFonts w:ascii="Calibri" w:hAnsi="Calibri" w:cs="Arial"/>
          <w:i/>
          <w:lang w:val="en-GB"/>
        </w:rPr>
        <w:t xml:space="preserve">The disclosure of such information is necessary for an understanding of the potential effect of the related party relationship </w:t>
      </w:r>
      <w:r>
        <w:rPr>
          <w:rFonts w:ascii="Calibri" w:hAnsi="Calibri" w:cs="Arial"/>
          <w:i/>
          <w:lang w:val="en-GB"/>
        </w:rPr>
        <w:t xml:space="preserve">and transactions </w:t>
      </w:r>
      <w:r w:rsidRPr="00CA4DD2">
        <w:rPr>
          <w:rFonts w:ascii="Calibri" w:hAnsi="Calibri" w:cs="Arial"/>
          <w:i/>
          <w:lang w:val="en-GB"/>
        </w:rPr>
        <w:t xml:space="preserve">on the financial statements. </w:t>
      </w:r>
    </w:p>
    <w:p w:rsidR="00EE67C0" w:rsidRPr="00CA4DD2" w:rsidRDefault="00EE67C0" w:rsidP="000630F9">
      <w:pPr>
        <w:ind w:left="748"/>
        <w:jc w:val="both"/>
        <w:rPr>
          <w:rFonts w:ascii="Calibri" w:hAnsi="Calibri" w:cs="Arial"/>
        </w:rPr>
      </w:pPr>
      <w:r w:rsidRPr="00CA4DD2">
        <w:rPr>
          <w:rFonts w:ascii="Calibri" w:hAnsi="Calibri" w:cs="Arial"/>
        </w:rPr>
        <w:t>The following non-disclosures were noted with respect to IAS 24:</w:t>
      </w:r>
    </w:p>
    <w:p w:rsidR="00EE67C0" w:rsidRPr="00CA4DD2" w:rsidRDefault="00EE67C0" w:rsidP="000630F9">
      <w:pPr>
        <w:autoSpaceDE w:val="0"/>
        <w:autoSpaceDN w:val="0"/>
        <w:adjustRightInd w:val="0"/>
        <w:ind w:left="748"/>
        <w:jc w:val="both"/>
        <w:rPr>
          <w:rFonts w:ascii="Calibri" w:hAnsi="Calibri" w:cs="Arial"/>
          <w:b/>
          <w:lang w:val="en-GB"/>
        </w:rPr>
      </w:pPr>
    </w:p>
    <w:p w:rsidR="00EE67C0" w:rsidRPr="00CA4DD2" w:rsidRDefault="00EE67C0" w:rsidP="008D126B">
      <w:pPr>
        <w:numPr>
          <w:ilvl w:val="0"/>
          <w:numId w:val="23"/>
        </w:numPr>
        <w:autoSpaceDE w:val="0"/>
        <w:autoSpaceDN w:val="0"/>
        <w:adjustRightInd w:val="0"/>
        <w:jc w:val="both"/>
        <w:rPr>
          <w:rFonts w:ascii="Calibri" w:hAnsi="Calibri" w:cs="Arial"/>
          <w:b/>
          <w:bCs/>
        </w:rPr>
      </w:pPr>
      <w:r w:rsidRPr="00CA4DD2">
        <w:rPr>
          <w:rFonts w:ascii="Calibri" w:hAnsi="Calibri" w:cs="Arial"/>
          <w:b/>
          <w:bCs/>
        </w:rPr>
        <w:t>Key Management Personnel</w:t>
      </w:r>
    </w:p>
    <w:p w:rsidR="00EE67C0" w:rsidRPr="00CA4DD2" w:rsidRDefault="00EE67C0" w:rsidP="009D48ED">
      <w:pPr>
        <w:autoSpaceDE w:val="0"/>
        <w:autoSpaceDN w:val="0"/>
        <w:adjustRightInd w:val="0"/>
        <w:ind w:left="1468"/>
        <w:jc w:val="both"/>
        <w:rPr>
          <w:rFonts w:ascii="Calibri" w:hAnsi="Calibri" w:cs="Arial"/>
          <w:bCs/>
        </w:rPr>
      </w:pPr>
    </w:p>
    <w:p w:rsidR="00EE67C0" w:rsidRPr="00CA4DD2" w:rsidRDefault="00EE67C0" w:rsidP="00CA4DD2">
      <w:pPr>
        <w:autoSpaceDE w:val="0"/>
        <w:autoSpaceDN w:val="0"/>
        <w:adjustRightInd w:val="0"/>
        <w:ind w:left="1440"/>
        <w:jc w:val="both"/>
        <w:rPr>
          <w:rFonts w:ascii="Calibri" w:hAnsi="Calibri" w:cs="Arial"/>
          <w:bCs/>
        </w:rPr>
      </w:pPr>
      <w:r w:rsidRPr="00CA4DD2">
        <w:rPr>
          <w:rFonts w:ascii="Calibri" w:hAnsi="Calibri" w:cs="Arial"/>
          <w:bCs/>
        </w:rPr>
        <w:t>Key management personnel is categori</w:t>
      </w:r>
      <w:r>
        <w:rPr>
          <w:rFonts w:ascii="Calibri" w:hAnsi="Calibri" w:cs="Arial"/>
          <w:bCs/>
        </w:rPr>
        <w:t>s</w:t>
      </w:r>
      <w:r w:rsidRPr="00CA4DD2">
        <w:rPr>
          <w:rFonts w:ascii="Calibri" w:hAnsi="Calibri" w:cs="Arial"/>
          <w:bCs/>
        </w:rPr>
        <w:t xml:space="preserve">ed as related parties and </w:t>
      </w:r>
      <w:r w:rsidRPr="00CA4DD2">
        <w:rPr>
          <w:rFonts w:ascii="Calibri" w:hAnsi="Calibri" w:cs="Arial"/>
        </w:rPr>
        <w:t>are those persons having authority and responsibility for planning, directing and controlling the activities of the entity, directly or indirectly, including any director (whether executive or otherwise) of that entity.</w:t>
      </w:r>
    </w:p>
    <w:p w:rsidR="00EE67C0" w:rsidRPr="00C35531" w:rsidRDefault="00EE67C0" w:rsidP="00CA4DD2">
      <w:pPr>
        <w:autoSpaceDE w:val="0"/>
        <w:autoSpaceDN w:val="0"/>
        <w:adjustRightInd w:val="0"/>
        <w:ind w:left="1440"/>
        <w:jc w:val="both"/>
        <w:rPr>
          <w:rFonts w:ascii="Calibri" w:hAnsi="Calibri" w:cs="Arial"/>
          <w:highlight w:val="yellow"/>
        </w:rPr>
      </w:pPr>
    </w:p>
    <w:p w:rsidR="00EE67C0" w:rsidRPr="003F5B0B" w:rsidRDefault="00EE67C0" w:rsidP="003F5B0B">
      <w:pPr>
        <w:autoSpaceDE w:val="0"/>
        <w:autoSpaceDN w:val="0"/>
        <w:adjustRightInd w:val="0"/>
        <w:ind w:left="1440"/>
        <w:jc w:val="both"/>
        <w:rPr>
          <w:rFonts w:ascii="Calibri" w:hAnsi="Calibri" w:cs="Arial"/>
          <w:bCs/>
        </w:rPr>
      </w:pPr>
      <w:r w:rsidRPr="003F5B0B">
        <w:rPr>
          <w:rFonts w:ascii="Calibri" w:hAnsi="Calibri" w:cs="Arial"/>
          <w:bCs/>
        </w:rPr>
        <w:t xml:space="preserve">IAS 24 paragraph 17 states that an entity shall disclose </w:t>
      </w:r>
      <w:hyperlink r:id="rId7" w:anchor="SL146739" w:history="1">
        <w:r w:rsidRPr="003F5B0B">
          <w:rPr>
            <w:rFonts w:ascii="Calibri" w:hAnsi="Calibri" w:cs="Arial"/>
          </w:rPr>
          <w:t>key management personnel</w:t>
        </w:r>
      </w:hyperlink>
      <w:hyperlink r:id="rId8" w:anchor="SL146725" w:history="1">
        <w:r w:rsidRPr="003F5B0B">
          <w:rPr>
            <w:rFonts w:ascii="Calibri" w:hAnsi="Calibri" w:cs="Arial"/>
            <w:bCs/>
          </w:rPr>
          <w:t>compensation</w:t>
        </w:r>
      </w:hyperlink>
      <w:r w:rsidRPr="003F5B0B">
        <w:rPr>
          <w:rFonts w:ascii="Calibri" w:hAnsi="Calibri" w:cs="Arial"/>
          <w:bCs/>
        </w:rPr>
        <w:t xml:space="preserve"> in total and for each of the following categories:</w:t>
      </w:r>
    </w:p>
    <w:p w:rsidR="00EE67C0" w:rsidRPr="003F5B0B" w:rsidRDefault="00EE67C0" w:rsidP="00696CC5">
      <w:pPr>
        <w:ind w:left="900"/>
        <w:jc w:val="both"/>
        <w:rPr>
          <w:rFonts w:ascii="Calibri" w:hAnsi="Calibri" w:cs="Arial"/>
        </w:rPr>
      </w:pPr>
    </w:p>
    <w:p w:rsidR="00EE67C0" w:rsidRPr="003F5B0B" w:rsidRDefault="00EE67C0" w:rsidP="008E18F1">
      <w:pPr>
        <w:numPr>
          <w:ilvl w:val="0"/>
          <w:numId w:val="2"/>
        </w:numPr>
        <w:tabs>
          <w:tab w:val="clear" w:pos="1620"/>
          <w:tab w:val="num" w:pos="1800"/>
        </w:tabs>
        <w:ind w:left="1800" w:hanging="90"/>
        <w:jc w:val="both"/>
        <w:rPr>
          <w:rFonts w:ascii="Calibri" w:hAnsi="Calibri" w:cs="Arial"/>
        </w:rPr>
      </w:pPr>
      <w:r w:rsidRPr="003F5B0B">
        <w:rPr>
          <w:rFonts w:ascii="Calibri" w:hAnsi="Calibri" w:cs="Arial"/>
        </w:rPr>
        <w:t>short-term employee benefits;</w:t>
      </w:r>
    </w:p>
    <w:p w:rsidR="00EE67C0" w:rsidRPr="003F5B0B" w:rsidRDefault="00EE67C0" w:rsidP="008E18F1">
      <w:pPr>
        <w:numPr>
          <w:ilvl w:val="0"/>
          <w:numId w:val="2"/>
        </w:numPr>
        <w:tabs>
          <w:tab w:val="clear" w:pos="1620"/>
          <w:tab w:val="num" w:pos="1800"/>
        </w:tabs>
        <w:ind w:left="1800" w:hanging="90"/>
        <w:jc w:val="both"/>
        <w:rPr>
          <w:rFonts w:ascii="Calibri" w:hAnsi="Calibri" w:cs="Arial"/>
        </w:rPr>
      </w:pPr>
      <w:r w:rsidRPr="003F5B0B">
        <w:rPr>
          <w:rFonts w:ascii="Calibri" w:hAnsi="Calibri" w:cs="Arial"/>
        </w:rPr>
        <w:t>post-employment benefits;</w:t>
      </w:r>
    </w:p>
    <w:p w:rsidR="00EE67C0" w:rsidRPr="003F5B0B" w:rsidRDefault="00EE67C0" w:rsidP="008E18F1">
      <w:pPr>
        <w:numPr>
          <w:ilvl w:val="0"/>
          <w:numId w:val="2"/>
        </w:numPr>
        <w:tabs>
          <w:tab w:val="clear" w:pos="1620"/>
          <w:tab w:val="num" w:pos="1800"/>
        </w:tabs>
        <w:ind w:left="1800" w:hanging="90"/>
        <w:jc w:val="both"/>
        <w:rPr>
          <w:rFonts w:ascii="Calibri" w:hAnsi="Calibri" w:cs="Arial"/>
        </w:rPr>
      </w:pPr>
      <w:r w:rsidRPr="003F5B0B">
        <w:rPr>
          <w:rFonts w:ascii="Calibri" w:hAnsi="Calibri" w:cs="Arial"/>
        </w:rPr>
        <w:t>other long-term benefits;</w:t>
      </w:r>
    </w:p>
    <w:p w:rsidR="00EE67C0" w:rsidRPr="003F5B0B" w:rsidRDefault="00EE67C0" w:rsidP="008E18F1">
      <w:pPr>
        <w:numPr>
          <w:ilvl w:val="0"/>
          <w:numId w:val="2"/>
        </w:numPr>
        <w:tabs>
          <w:tab w:val="clear" w:pos="1620"/>
          <w:tab w:val="num" w:pos="1800"/>
        </w:tabs>
        <w:ind w:left="1800" w:hanging="90"/>
        <w:jc w:val="both"/>
        <w:rPr>
          <w:rFonts w:ascii="Calibri" w:hAnsi="Calibri" w:cs="Arial"/>
        </w:rPr>
      </w:pPr>
      <w:r w:rsidRPr="003F5B0B">
        <w:rPr>
          <w:rFonts w:ascii="Calibri" w:hAnsi="Calibri" w:cs="Arial"/>
        </w:rPr>
        <w:t>termination benefits; and</w:t>
      </w:r>
    </w:p>
    <w:p w:rsidR="00EE67C0" w:rsidRPr="003F5B0B" w:rsidRDefault="00EE67C0" w:rsidP="008E18F1">
      <w:pPr>
        <w:numPr>
          <w:ilvl w:val="0"/>
          <w:numId w:val="2"/>
        </w:numPr>
        <w:tabs>
          <w:tab w:val="clear" w:pos="1620"/>
          <w:tab w:val="num" w:pos="1800"/>
        </w:tabs>
        <w:ind w:left="1800" w:hanging="90"/>
        <w:jc w:val="both"/>
        <w:rPr>
          <w:rFonts w:ascii="Calibri" w:hAnsi="Calibri" w:cs="Arial"/>
        </w:rPr>
      </w:pPr>
      <w:r w:rsidRPr="003F5B0B">
        <w:rPr>
          <w:rFonts w:ascii="Calibri" w:hAnsi="Calibri" w:cs="Arial"/>
        </w:rPr>
        <w:t>share-based payment.</w:t>
      </w:r>
    </w:p>
    <w:p w:rsidR="00EE67C0" w:rsidRPr="003F5B0B" w:rsidRDefault="00EE67C0" w:rsidP="00696CC5">
      <w:pPr>
        <w:autoSpaceDE w:val="0"/>
        <w:autoSpaceDN w:val="0"/>
        <w:adjustRightInd w:val="0"/>
        <w:ind w:left="1800"/>
        <w:jc w:val="both"/>
        <w:rPr>
          <w:rFonts w:ascii="Calibri" w:hAnsi="Calibri" w:cs="Arial"/>
          <w:bCs/>
        </w:rPr>
      </w:pPr>
    </w:p>
    <w:p w:rsidR="00EE67C0" w:rsidRPr="00037C56" w:rsidRDefault="00EE67C0" w:rsidP="003F5B0B">
      <w:pPr>
        <w:autoSpaceDE w:val="0"/>
        <w:autoSpaceDN w:val="0"/>
        <w:adjustRightInd w:val="0"/>
        <w:ind w:left="1440"/>
        <w:jc w:val="both"/>
        <w:rPr>
          <w:rFonts w:ascii="Calibri" w:hAnsi="Calibri" w:cs="Arial"/>
          <w:b/>
          <w:lang w:val="en-GB"/>
        </w:rPr>
      </w:pPr>
      <w:r w:rsidRPr="002B7519">
        <w:rPr>
          <w:rFonts w:ascii="Calibri" w:hAnsi="Calibri" w:cs="Arial"/>
          <w:b/>
          <w:lang w:val="en-GB"/>
        </w:rPr>
        <w:t>During the course of its annual report review, FRC noted that</w:t>
      </w:r>
      <w:r w:rsidRPr="00037C56">
        <w:rPr>
          <w:rFonts w:ascii="Calibri" w:hAnsi="Calibri" w:cs="Arial"/>
          <w:b/>
        </w:rPr>
        <w:t>16 PIEs</w:t>
      </w:r>
      <w:r w:rsidRPr="00037C56">
        <w:rPr>
          <w:rFonts w:ascii="Calibri" w:hAnsi="Calibri" w:cs="Arial"/>
        </w:rPr>
        <w:t xml:space="preserve"> [3 listed PIEs (2 Industry and 1 Leisure &amp; Hotels), 1 regulated by BOM and 12 </w:t>
      </w:r>
      <w:r>
        <w:rPr>
          <w:rFonts w:ascii="Calibri" w:hAnsi="Calibri" w:cs="Arial"/>
        </w:rPr>
        <w:t>PIEs in Category 4</w:t>
      </w:r>
      <w:r w:rsidRPr="00037C56">
        <w:rPr>
          <w:rFonts w:ascii="Calibri" w:hAnsi="Calibri" w:cs="Arial"/>
        </w:rPr>
        <w:t xml:space="preserve"> (including 1 public)]</w:t>
      </w:r>
      <w:r w:rsidRPr="00037C56">
        <w:rPr>
          <w:rFonts w:ascii="Calibri" w:hAnsi="Calibri" w:cs="Arial"/>
          <w:b/>
        </w:rPr>
        <w:t xml:space="preserve"> had not </w:t>
      </w:r>
      <w:r>
        <w:rPr>
          <w:rFonts w:ascii="Calibri" w:hAnsi="Calibri" w:cs="Arial"/>
          <w:b/>
        </w:rPr>
        <w:t>classified key management compensation in accordance</w:t>
      </w:r>
      <w:r w:rsidRPr="00037C56">
        <w:rPr>
          <w:rFonts w:ascii="Calibri" w:hAnsi="Calibri" w:cs="Arial"/>
          <w:b/>
        </w:rPr>
        <w:t xml:space="preserve"> with </w:t>
      </w:r>
      <w:r w:rsidRPr="00037C56">
        <w:rPr>
          <w:rFonts w:ascii="Calibri" w:hAnsi="Calibri" w:cs="Arial"/>
          <w:b/>
          <w:lang w:val="en-GB"/>
        </w:rPr>
        <w:t xml:space="preserve">the </w:t>
      </w:r>
      <w:r>
        <w:rPr>
          <w:rFonts w:ascii="Calibri" w:hAnsi="Calibri" w:cs="Arial"/>
          <w:b/>
          <w:lang w:val="en-GB"/>
        </w:rPr>
        <w:t>above requirement</w:t>
      </w:r>
      <w:r w:rsidRPr="00037C56">
        <w:rPr>
          <w:rFonts w:ascii="Calibri" w:hAnsi="Calibri" w:cs="Arial"/>
          <w:b/>
          <w:lang w:val="en-GB"/>
        </w:rPr>
        <w:t xml:space="preserve"> of IAS 24.</w:t>
      </w:r>
    </w:p>
    <w:p w:rsidR="00EE67C0" w:rsidRDefault="00EE67C0" w:rsidP="003F5B0B">
      <w:pPr>
        <w:autoSpaceDE w:val="0"/>
        <w:autoSpaceDN w:val="0"/>
        <w:adjustRightInd w:val="0"/>
        <w:ind w:left="1440"/>
        <w:jc w:val="both"/>
        <w:rPr>
          <w:rFonts w:ascii="Calibri" w:hAnsi="Calibri" w:cs="Arial"/>
          <w:bCs/>
          <w:highlight w:val="yellow"/>
        </w:rPr>
      </w:pPr>
    </w:p>
    <w:p w:rsidR="00EE67C0" w:rsidRPr="00037C56" w:rsidRDefault="00EE67C0" w:rsidP="008D126B">
      <w:pPr>
        <w:numPr>
          <w:ilvl w:val="0"/>
          <w:numId w:val="23"/>
        </w:numPr>
        <w:autoSpaceDE w:val="0"/>
        <w:autoSpaceDN w:val="0"/>
        <w:adjustRightInd w:val="0"/>
        <w:jc w:val="both"/>
        <w:rPr>
          <w:rFonts w:ascii="Calibri" w:hAnsi="Calibri" w:cs="Arial"/>
          <w:b/>
          <w:bCs/>
        </w:rPr>
      </w:pPr>
      <w:r w:rsidRPr="00037C56">
        <w:rPr>
          <w:rFonts w:ascii="Calibri" w:hAnsi="Calibri" w:cs="Arial"/>
          <w:b/>
          <w:bCs/>
        </w:rPr>
        <w:t>Related Party Transactions</w:t>
      </w:r>
    </w:p>
    <w:p w:rsidR="00EE67C0" w:rsidRDefault="00EE67C0" w:rsidP="009D48ED">
      <w:pPr>
        <w:autoSpaceDE w:val="0"/>
        <w:autoSpaceDN w:val="0"/>
        <w:adjustRightInd w:val="0"/>
        <w:ind w:left="1468"/>
        <w:jc w:val="both"/>
        <w:rPr>
          <w:rFonts w:ascii="Calibri" w:hAnsi="Calibri" w:cs="Arial"/>
          <w:b/>
          <w:highlight w:val="yellow"/>
          <w:lang w:val="en-GB"/>
        </w:rPr>
      </w:pPr>
    </w:p>
    <w:p w:rsidR="00EE67C0" w:rsidRPr="004D2634" w:rsidRDefault="00EE67C0" w:rsidP="004D2634">
      <w:pPr>
        <w:ind w:left="1440"/>
        <w:jc w:val="both"/>
        <w:rPr>
          <w:rFonts w:ascii="Calibri" w:hAnsi="Calibri" w:cs="Arial"/>
          <w:b/>
          <w:lang w:val="en-GB"/>
        </w:rPr>
      </w:pPr>
      <w:r w:rsidRPr="00037C56">
        <w:rPr>
          <w:rFonts w:ascii="Calibri" w:hAnsi="Calibri" w:cs="Arial"/>
          <w:b/>
          <w:lang w:val="en-GB"/>
        </w:rPr>
        <w:t xml:space="preserve">From the review exercise, FRC observed that 7 </w:t>
      </w:r>
      <w:r>
        <w:rPr>
          <w:rFonts w:ascii="Calibri" w:hAnsi="Calibri" w:cs="Arial"/>
          <w:b/>
        </w:rPr>
        <w:t>PIEs in Category 4</w:t>
      </w:r>
      <w:r w:rsidRPr="00037C56">
        <w:rPr>
          <w:rFonts w:ascii="Calibri" w:hAnsi="Calibri" w:cs="Arial"/>
        </w:rPr>
        <w:t xml:space="preserve"> (including 1 public)]</w:t>
      </w:r>
      <w:r w:rsidRPr="004D2634">
        <w:rPr>
          <w:rFonts w:ascii="Calibri" w:hAnsi="Calibri" w:cs="Arial"/>
          <w:b/>
          <w:lang w:val="en-GB"/>
        </w:rPr>
        <w:t>had not disclosed d</w:t>
      </w:r>
      <w:r w:rsidRPr="004D2634">
        <w:rPr>
          <w:rFonts w:ascii="Calibri" w:hAnsi="Calibri" w:cs="Arial"/>
          <w:b/>
          <w:bCs/>
        </w:rPr>
        <w:t>etails of the terms and conditions of their related party</w:t>
      </w:r>
      <w:r w:rsidRPr="004D2634">
        <w:rPr>
          <w:rFonts w:ascii="Calibri" w:hAnsi="Calibri" w:cs="Arial"/>
          <w:b/>
        </w:rPr>
        <w:t xml:space="preserve"> transactions including whether they are secured, the nature of the consideration t</w:t>
      </w:r>
      <w:r>
        <w:rPr>
          <w:rFonts w:ascii="Calibri" w:hAnsi="Calibri" w:cs="Arial"/>
          <w:b/>
        </w:rPr>
        <w:t>o be provided in settlement</w:t>
      </w:r>
      <w:r w:rsidRPr="004D2634">
        <w:rPr>
          <w:rFonts w:ascii="Calibri" w:hAnsi="Calibri" w:cs="Arial"/>
          <w:b/>
        </w:rPr>
        <w:t xml:space="preserve"> and details of any guarantees given or received </w:t>
      </w:r>
      <w:r w:rsidRPr="00EA34E4">
        <w:rPr>
          <w:rFonts w:ascii="Calibri" w:hAnsi="Calibri" w:cs="Arial"/>
        </w:rPr>
        <w:t>(IAS 24 paragraph 18).</w:t>
      </w:r>
    </w:p>
    <w:p w:rsidR="00EE67C0" w:rsidRPr="004D2634" w:rsidRDefault="00EE67C0" w:rsidP="003007C2">
      <w:pPr>
        <w:jc w:val="both"/>
        <w:rPr>
          <w:rFonts w:ascii="Calibri" w:hAnsi="Calibri"/>
          <w:b/>
          <w:bCs/>
          <w:i/>
          <w:lang w:val="en-GB"/>
        </w:rPr>
      </w:pPr>
    </w:p>
    <w:p w:rsidR="00EE67C0" w:rsidRPr="00D15E7A" w:rsidRDefault="00EE67C0" w:rsidP="00BC15F9">
      <w:pPr>
        <w:jc w:val="both"/>
        <w:rPr>
          <w:rFonts w:ascii="Calibri" w:hAnsi="Calibri" w:cs="Arial"/>
          <w:b/>
        </w:rPr>
      </w:pPr>
      <w:r w:rsidRPr="00D15E7A">
        <w:rPr>
          <w:rFonts w:ascii="Calibri" w:hAnsi="Calibri" w:cs="Arial"/>
          <w:b/>
        </w:rPr>
        <w:t>1.5</w:t>
      </w:r>
      <w:r w:rsidRPr="00D15E7A">
        <w:rPr>
          <w:rFonts w:ascii="Calibri" w:hAnsi="Calibri" w:cs="Arial"/>
          <w:b/>
        </w:rPr>
        <w:tab/>
        <w:t xml:space="preserve">IFRS 7, Financial Instruments: Disclosures </w:t>
      </w:r>
    </w:p>
    <w:p w:rsidR="00EE67C0" w:rsidRPr="00D15E7A" w:rsidRDefault="00EE67C0" w:rsidP="00BC15F9">
      <w:pPr>
        <w:jc w:val="both"/>
        <w:rPr>
          <w:rFonts w:ascii="Calibri" w:hAnsi="Calibri" w:cs="Arial"/>
          <w:b/>
          <w:lang w:val="en-GB"/>
        </w:rPr>
      </w:pPr>
    </w:p>
    <w:p w:rsidR="00EE67C0" w:rsidRPr="00D15E7A" w:rsidRDefault="00EE67C0" w:rsidP="00BC15F9">
      <w:pPr>
        <w:autoSpaceDE w:val="0"/>
        <w:autoSpaceDN w:val="0"/>
        <w:adjustRightInd w:val="0"/>
        <w:ind w:left="720"/>
        <w:jc w:val="both"/>
        <w:rPr>
          <w:rFonts w:ascii="Calibri" w:hAnsi="Calibri" w:cs="Arial"/>
          <w:lang w:val="en-GB"/>
        </w:rPr>
      </w:pPr>
      <w:r w:rsidRPr="00D15E7A">
        <w:rPr>
          <w:rFonts w:ascii="Calibri" w:hAnsi="Calibri" w:cs="Arial"/>
          <w:lang w:val="en-GB"/>
        </w:rPr>
        <w:t>IFRS 7 applies to all entities that deal with and have financial instruments. Financial instruments can be financial assets, cash, shares, derivatives and financial liabilities.</w:t>
      </w:r>
    </w:p>
    <w:p w:rsidR="00EE67C0" w:rsidRPr="00D15E7A" w:rsidRDefault="00EE67C0" w:rsidP="00BC15F9">
      <w:pPr>
        <w:autoSpaceDE w:val="0"/>
        <w:autoSpaceDN w:val="0"/>
        <w:adjustRightInd w:val="0"/>
        <w:ind w:left="720"/>
        <w:jc w:val="both"/>
        <w:rPr>
          <w:rFonts w:ascii="Calibri" w:hAnsi="Calibri" w:cs="Arial"/>
          <w:lang w:val="en-GB"/>
        </w:rPr>
      </w:pPr>
    </w:p>
    <w:p w:rsidR="00EE67C0" w:rsidRDefault="00EE67C0" w:rsidP="00BC15F9">
      <w:pPr>
        <w:autoSpaceDE w:val="0"/>
        <w:autoSpaceDN w:val="0"/>
        <w:adjustRightInd w:val="0"/>
        <w:ind w:left="720"/>
        <w:jc w:val="both"/>
        <w:rPr>
          <w:rFonts w:ascii="Calibri" w:hAnsi="Calibri" w:cs="Arial"/>
          <w:i/>
          <w:lang w:val="en-GB"/>
        </w:rPr>
      </w:pPr>
      <w:r w:rsidRPr="00D15E7A">
        <w:rPr>
          <w:rFonts w:ascii="Calibri" w:hAnsi="Calibri" w:cs="Arial"/>
          <w:i/>
          <w:lang w:val="en-GB"/>
        </w:rPr>
        <w:t>Disclosures relating to financial instruments are provided in annual accounts to enable users to evaluate</w:t>
      </w:r>
      <w:r>
        <w:rPr>
          <w:rFonts w:ascii="Calibri" w:hAnsi="Calibri" w:cs="Arial"/>
          <w:i/>
          <w:lang w:val="en-GB"/>
        </w:rPr>
        <w:t>:</w:t>
      </w:r>
    </w:p>
    <w:p w:rsidR="00EE67C0" w:rsidRDefault="00EE67C0" w:rsidP="008D126B">
      <w:pPr>
        <w:numPr>
          <w:ilvl w:val="0"/>
          <w:numId w:val="34"/>
        </w:numPr>
        <w:autoSpaceDE w:val="0"/>
        <w:autoSpaceDN w:val="0"/>
        <w:adjustRightInd w:val="0"/>
        <w:jc w:val="both"/>
        <w:rPr>
          <w:rFonts w:ascii="Calibri" w:hAnsi="Calibri" w:cs="Arial"/>
          <w:i/>
          <w:lang w:val="en-GB"/>
        </w:rPr>
      </w:pPr>
      <w:r w:rsidRPr="00D15E7A">
        <w:rPr>
          <w:rFonts w:ascii="Calibri" w:hAnsi="Calibri" w:cs="Arial"/>
          <w:i/>
          <w:lang w:val="en-GB"/>
        </w:rPr>
        <w:t>the significance of financial instruments for the company’s finan</w:t>
      </w:r>
      <w:r>
        <w:rPr>
          <w:rFonts w:ascii="Calibri" w:hAnsi="Calibri" w:cs="Arial"/>
          <w:i/>
          <w:lang w:val="en-GB"/>
        </w:rPr>
        <w:t>cial position and performance;</w:t>
      </w:r>
    </w:p>
    <w:p w:rsidR="00EE67C0" w:rsidRDefault="00EE67C0" w:rsidP="008D126B">
      <w:pPr>
        <w:numPr>
          <w:ilvl w:val="0"/>
          <w:numId w:val="34"/>
        </w:numPr>
        <w:autoSpaceDE w:val="0"/>
        <w:autoSpaceDN w:val="0"/>
        <w:adjustRightInd w:val="0"/>
        <w:jc w:val="both"/>
        <w:rPr>
          <w:rFonts w:ascii="Calibri" w:hAnsi="Calibri" w:cs="Arial"/>
          <w:i/>
          <w:lang w:val="en-GB"/>
        </w:rPr>
      </w:pPr>
      <w:r w:rsidRPr="00D15E7A">
        <w:rPr>
          <w:rFonts w:ascii="Calibri" w:hAnsi="Calibri" w:cs="Arial"/>
          <w:i/>
          <w:lang w:val="en-GB"/>
        </w:rPr>
        <w:t>the nature and extent of risks arising from the financial instruments to which the company is exposed</w:t>
      </w:r>
      <w:r>
        <w:rPr>
          <w:rFonts w:ascii="Calibri" w:hAnsi="Calibri" w:cs="Arial"/>
          <w:i/>
          <w:lang w:val="en-GB"/>
        </w:rPr>
        <w:t>;</w:t>
      </w:r>
      <w:r w:rsidRPr="00D15E7A">
        <w:rPr>
          <w:rFonts w:ascii="Calibri" w:hAnsi="Calibri" w:cs="Arial"/>
          <w:i/>
          <w:lang w:val="en-GB"/>
        </w:rPr>
        <w:t xml:space="preserve"> and </w:t>
      </w:r>
    </w:p>
    <w:p w:rsidR="00EE67C0" w:rsidRPr="00D15E7A" w:rsidRDefault="00EE67C0" w:rsidP="008D126B">
      <w:pPr>
        <w:numPr>
          <w:ilvl w:val="0"/>
          <w:numId w:val="34"/>
        </w:numPr>
        <w:autoSpaceDE w:val="0"/>
        <w:autoSpaceDN w:val="0"/>
        <w:adjustRightInd w:val="0"/>
        <w:jc w:val="both"/>
        <w:rPr>
          <w:rFonts w:ascii="Calibri" w:hAnsi="Calibri" w:cs="Arial"/>
          <w:i/>
          <w:lang w:val="en-GB"/>
        </w:rPr>
      </w:pPr>
      <w:r w:rsidRPr="00D15E7A">
        <w:rPr>
          <w:rFonts w:ascii="Calibri" w:hAnsi="Calibri" w:cs="Arial"/>
          <w:i/>
          <w:lang w:val="en-GB"/>
        </w:rPr>
        <w:t xml:space="preserve">how the company manages those risks. </w:t>
      </w:r>
    </w:p>
    <w:p w:rsidR="00EE67C0" w:rsidRPr="00D15E7A" w:rsidRDefault="00EE67C0" w:rsidP="00BC15F9">
      <w:pPr>
        <w:autoSpaceDE w:val="0"/>
        <w:autoSpaceDN w:val="0"/>
        <w:adjustRightInd w:val="0"/>
        <w:ind w:left="720"/>
        <w:jc w:val="both"/>
        <w:rPr>
          <w:rFonts w:ascii="Calibri" w:hAnsi="Calibri" w:cs="Arial"/>
          <w:i/>
          <w:lang w:val="en-GB"/>
        </w:rPr>
      </w:pPr>
    </w:p>
    <w:p w:rsidR="00EE67C0" w:rsidRPr="0018387D" w:rsidRDefault="00EE67C0" w:rsidP="0018387D">
      <w:pPr>
        <w:autoSpaceDE w:val="0"/>
        <w:autoSpaceDN w:val="0"/>
        <w:adjustRightInd w:val="0"/>
        <w:ind w:left="720"/>
        <w:jc w:val="both"/>
        <w:rPr>
          <w:rFonts w:ascii="Calibri" w:hAnsi="Calibri" w:cs="Arial"/>
          <w:lang w:val="en-GB"/>
        </w:rPr>
      </w:pPr>
      <w:r w:rsidRPr="00D15E7A">
        <w:rPr>
          <w:rFonts w:ascii="Calibri" w:hAnsi="Calibri" w:cs="Arial"/>
          <w:i/>
          <w:lang w:val="en-GB"/>
        </w:rPr>
        <w:t xml:space="preserve">Identification of risks by the Board </w:t>
      </w:r>
      <w:r>
        <w:rPr>
          <w:rFonts w:ascii="Calibri" w:hAnsi="Calibri" w:cs="Arial"/>
          <w:i/>
          <w:lang w:val="en-GB"/>
        </w:rPr>
        <w:t xml:space="preserve">ad audit committee </w:t>
      </w:r>
      <w:r w:rsidRPr="00D15E7A">
        <w:rPr>
          <w:rFonts w:ascii="Calibri" w:hAnsi="Calibri" w:cs="Arial"/>
          <w:i/>
          <w:lang w:val="en-GB"/>
        </w:rPr>
        <w:t>is primordial. This would enable the firm to generate economic profit and enhances shareholder value in the long term.</w:t>
      </w:r>
    </w:p>
    <w:p w:rsidR="00EE67C0" w:rsidRDefault="00EE67C0" w:rsidP="00BC15F9">
      <w:pPr>
        <w:ind w:left="720"/>
        <w:jc w:val="both"/>
        <w:rPr>
          <w:rFonts w:ascii="Calibri" w:hAnsi="Calibri" w:cs="Arial"/>
          <w:b/>
          <w:lang w:val="en-GB"/>
        </w:rPr>
      </w:pPr>
    </w:p>
    <w:p w:rsidR="00EE67C0" w:rsidRPr="000B4CA8" w:rsidRDefault="00EE67C0" w:rsidP="00BC15F9">
      <w:pPr>
        <w:ind w:left="720"/>
        <w:jc w:val="both"/>
        <w:rPr>
          <w:rFonts w:ascii="Calibri" w:hAnsi="Calibri" w:cs="Arial"/>
          <w:b/>
          <w:lang w:val="en-GB"/>
        </w:rPr>
      </w:pPr>
      <w:r w:rsidRPr="000B4CA8">
        <w:rPr>
          <w:rFonts w:ascii="Calibri" w:hAnsi="Calibri" w:cs="Arial"/>
          <w:b/>
          <w:lang w:val="en-GB"/>
        </w:rPr>
        <w:t xml:space="preserve">From the review exercise, FRC observed that 12 PIEs </w:t>
      </w:r>
      <w:bookmarkStart w:id="6" w:name="OLE_LINK5"/>
      <w:bookmarkStart w:id="7" w:name="OLE_LINK6"/>
      <w:r w:rsidRPr="000B4CA8">
        <w:rPr>
          <w:rFonts w:ascii="Calibri" w:hAnsi="Calibri" w:cs="Arial"/>
          <w:lang w:val="en-GB"/>
        </w:rPr>
        <w:t xml:space="preserve">[1 listed entity in Commerce sector, 1 regulated by BOM, </w:t>
      </w:r>
      <w:r w:rsidRPr="000B4CA8">
        <w:rPr>
          <w:rFonts w:ascii="Calibri" w:hAnsi="Calibri" w:cs="Arial"/>
        </w:rPr>
        <w:t>1</w:t>
      </w:r>
      <w:r>
        <w:rPr>
          <w:rFonts w:ascii="Calibri" w:hAnsi="Calibri" w:cs="Arial"/>
        </w:rPr>
        <w:t xml:space="preserve"> publicPIE </w:t>
      </w:r>
      <w:r w:rsidRPr="000B4CA8">
        <w:rPr>
          <w:rFonts w:ascii="Calibri" w:hAnsi="Calibri" w:cs="Arial"/>
        </w:rPr>
        <w:t xml:space="preserve">regulated by FSC and 9 </w:t>
      </w:r>
      <w:r>
        <w:rPr>
          <w:rFonts w:ascii="Calibri" w:hAnsi="Calibri" w:cs="Arial"/>
        </w:rPr>
        <w:t>PIEs in Category 4</w:t>
      </w:r>
      <w:r w:rsidRPr="000B4CA8">
        <w:rPr>
          <w:rFonts w:ascii="Calibri" w:hAnsi="Calibri" w:cs="Arial"/>
        </w:rPr>
        <w:t xml:space="preserve"> (including 2 public)]</w:t>
      </w:r>
      <w:r w:rsidRPr="000B4CA8">
        <w:rPr>
          <w:rFonts w:ascii="Calibri" w:hAnsi="Calibri" w:cs="Arial"/>
          <w:b/>
          <w:lang w:val="en-GB"/>
        </w:rPr>
        <w:t>had partly complied with IFRS 7.</w:t>
      </w:r>
    </w:p>
    <w:bookmarkEnd w:id="6"/>
    <w:bookmarkEnd w:id="7"/>
    <w:p w:rsidR="00EE67C0" w:rsidRDefault="00EE67C0" w:rsidP="0018387D">
      <w:pPr>
        <w:jc w:val="both"/>
        <w:rPr>
          <w:rFonts w:ascii="Calibri" w:hAnsi="Calibri" w:cs="Arial"/>
          <w:lang w:val="en-GB"/>
        </w:rPr>
      </w:pPr>
    </w:p>
    <w:p w:rsidR="00EE67C0" w:rsidRPr="00D15E7A" w:rsidRDefault="00EE67C0" w:rsidP="00BC15F9">
      <w:pPr>
        <w:ind w:firstLine="720"/>
        <w:jc w:val="both"/>
        <w:rPr>
          <w:rFonts w:ascii="Calibri" w:hAnsi="Calibri" w:cs="Arial"/>
          <w:lang w:val="en-GB"/>
        </w:rPr>
      </w:pPr>
      <w:r w:rsidRPr="00D15E7A">
        <w:rPr>
          <w:rFonts w:ascii="Calibri" w:hAnsi="Calibri" w:cs="Arial"/>
          <w:lang w:val="en-GB"/>
        </w:rPr>
        <w:t xml:space="preserve">The following disclosures as per IFRS 7 were found missing: </w:t>
      </w:r>
    </w:p>
    <w:p w:rsidR="00EE67C0" w:rsidRPr="00D15E7A" w:rsidRDefault="00EE67C0" w:rsidP="00BC15F9">
      <w:pPr>
        <w:ind w:firstLine="720"/>
        <w:jc w:val="both"/>
        <w:rPr>
          <w:rFonts w:ascii="Calibri" w:hAnsi="Calibri" w:cs="Arial"/>
          <w:lang w:val="en-GB"/>
        </w:rPr>
      </w:pPr>
    </w:p>
    <w:p w:rsidR="00EE67C0" w:rsidRPr="00D15E7A" w:rsidRDefault="00EE67C0" w:rsidP="008E18F1">
      <w:pPr>
        <w:numPr>
          <w:ilvl w:val="0"/>
          <w:numId w:val="3"/>
        </w:numPr>
        <w:tabs>
          <w:tab w:val="clear" w:pos="720"/>
          <w:tab w:val="num" w:pos="1080"/>
          <w:tab w:val="num" w:pos="1440"/>
        </w:tabs>
        <w:ind w:left="1080"/>
        <w:jc w:val="both"/>
        <w:rPr>
          <w:rFonts w:ascii="Calibri" w:hAnsi="Calibri" w:cs="Arial"/>
          <w:lang w:val="en-GB"/>
        </w:rPr>
      </w:pPr>
      <w:r w:rsidRPr="00D15E7A">
        <w:rPr>
          <w:rFonts w:ascii="Calibri" w:hAnsi="Calibri" w:cs="Arial"/>
          <w:lang w:val="en-GB"/>
        </w:rPr>
        <w:t>Disclosures related to cash flow hedge (IFRS 7 paragraphs 23 and 24).</w:t>
      </w:r>
    </w:p>
    <w:p w:rsidR="00EE67C0" w:rsidRPr="00C35531" w:rsidRDefault="00EE67C0" w:rsidP="00BC15F9">
      <w:pPr>
        <w:tabs>
          <w:tab w:val="num" w:pos="1440"/>
        </w:tabs>
        <w:ind w:left="1080"/>
        <w:jc w:val="both"/>
        <w:rPr>
          <w:rFonts w:ascii="Calibri" w:hAnsi="Calibri" w:cs="Arial"/>
          <w:highlight w:val="yellow"/>
          <w:lang w:val="en-GB"/>
        </w:rPr>
      </w:pPr>
    </w:p>
    <w:p w:rsidR="00EE67C0" w:rsidRPr="00D15E7A" w:rsidRDefault="00EE67C0" w:rsidP="008E18F1">
      <w:pPr>
        <w:numPr>
          <w:ilvl w:val="0"/>
          <w:numId w:val="3"/>
        </w:numPr>
        <w:tabs>
          <w:tab w:val="clear" w:pos="720"/>
          <w:tab w:val="num" w:pos="1080"/>
          <w:tab w:val="num" w:pos="1440"/>
        </w:tabs>
        <w:ind w:left="1080"/>
        <w:jc w:val="both"/>
        <w:rPr>
          <w:rFonts w:ascii="Calibri" w:hAnsi="Calibri" w:cs="Arial"/>
          <w:lang w:val="en-GB"/>
        </w:rPr>
      </w:pPr>
      <w:r w:rsidRPr="00D15E7A">
        <w:rPr>
          <w:rFonts w:ascii="Calibri" w:hAnsi="Calibri" w:cs="Arial"/>
          <w:lang w:val="en-GB"/>
        </w:rPr>
        <w:t>Management of financial risks (IFRS 7 paragraphs 33 and 39).</w:t>
      </w:r>
    </w:p>
    <w:p w:rsidR="00EE67C0" w:rsidRPr="00C35531" w:rsidRDefault="00EE67C0" w:rsidP="00BC15F9">
      <w:pPr>
        <w:tabs>
          <w:tab w:val="num" w:pos="1440"/>
        </w:tabs>
        <w:ind w:left="720"/>
        <w:jc w:val="both"/>
        <w:rPr>
          <w:rFonts w:ascii="Calibri" w:hAnsi="Calibri" w:cs="Arial"/>
          <w:highlight w:val="yellow"/>
          <w:lang w:val="en-GB"/>
        </w:rPr>
      </w:pPr>
    </w:p>
    <w:p w:rsidR="00EE67C0" w:rsidRPr="00D15E7A" w:rsidRDefault="00EE67C0" w:rsidP="008E18F1">
      <w:pPr>
        <w:numPr>
          <w:ilvl w:val="0"/>
          <w:numId w:val="3"/>
        </w:numPr>
        <w:tabs>
          <w:tab w:val="clear" w:pos="720"/>
          <w:tab w:val="num" w:pos="1080"/>
        </w:tabs>
        <w:ind w:left="1080"/>
        <w:jc w:val="both"/>
        <w:rPr>
          <w:rFonts w:ascii="Calibri" w:hAnsi="Calibri" w:cs="Arial"/>
          <w:lang w:val="en-GB"/>
        </w:rPr>
      </w:pPr>
      <w:r w:rsidRPr="00D15E7A">
        <w:rPr>
          <w:rFonts w:ascii="Calibri" w:hAnsi="Calibri" w:cs="Arial"/>
          <w:lang w:val="en-GB"/>
        </w:rPr>
        <w:t>Information on credit risk such as (IFRS 7 paragraphs 36 and 37):</w:t>
      </w:r>
    </w:p>
    <w:p w:rsidR="00EE67C0" w:rsidRPr="00D15E7A" w:rsidRDefault="00EE67C0" w:rsidP="00BC15F9">
      <w:pPr>
        <w:ind w:left="720"/>
        <w:jc w:val="both"/>
        <w:rPr>
          <w:rFonts w:ascii="Calibri" w:hAnsi="Calibri" w:cs="Arial"/>
          <w:lang w:val="en-GB"/>
        </w:rPr>
      </w:pPr>
    </w:p>
    <w:p w:rsidR="00EE67C0" w:rsidRPr="00D15E7A" w:rsidRDefault="00EE67C0" w:rsidP="008E18F1">
      <w:pPr>
        <w:numPr>
          <w:ilvl w:val="1"/>
          <w:numId w:val="3"/>
        </w:numPr>
        <w:autoSpaceDE w:val="0"/>
        <w:autoSpaceDN w:val="0"/>
        <w:adjustRightInd w:val="0"/>
        <w:jc w:val="both"/>
        <w:rPr>
          <w:rFonts w:ascii="Calibri" w:hAnsi="Calibri" w:cs="Arial"/>
        </w:rPr>
      </w:pPr>
      <w:r w:rsidRPr="00D15E7A">
        <w:rPr>
          <w:rFonts w:ascii="Calibri" w:hAnsi="Calibri" w:cs="Arial"/>
        </w:rPr>
        <w:t>Amount that best represents the entity’s maximum exposure to credit risk.</w:t>
      </w:r>
    </w:p>
    <w:p w:rsidR="00EE67C0" w:rsidRPr="00D15E7A" w:rsidRDefault="00EE67C0" w:rsidP="00D15E7A">
      <w:pPr>
        <w:autoSpaceDE w:val="0"/>
        <w:autoSpaceDN w:val="0"/>
        <w:adjustRightInd w:val="0"/>
        <w:ind w:left="1440"/>
        <w:jc w:val="both"/>
        <w:rPr>
          <w:rFonts w:ascii="Calibri" w:hAnsi="Calibri" w:cs="Arial"/>
        </w:rPr>
      </w:pPr>
    </w:p>
    <w:p w:rsidR="00EE67C0" w:rsidRPr="00D15E7A" w:rsidRDefault="00EE67C0" w:rsidP="008E18F1">
      <w:pPr>
        <w:numPr>
          <w:ilvl w:val="1"/>
          <w:numId w:val="4"/>
        </w:numPr>
        <w:tabs>
          <w:tab w:val="clear" w:pos="2160"/>
          <w:tab w:val="num" w:pos="1440"/>
        </w:tabs>
        <w:autoSpaceDE w:val="0"/>
        <w:autoSpaceDN w:val="0"/>
        <w:adjustRightInd w:val="0"/>
        <w:ind w:left="1440"/>
        <w:jc w:val="both"/>
        <w:rPr>
          <w:rFonts w:ascii="Calibri" w:hAnsi="Calibri" w:cs="Arial"/>
        </w:rPr>
      </w:pPr>
      <w:r w:rsidRPr="00D15E7A">
        <w:rPr>
          <w:rFonts w:ascii="Calibri" w:hAnsi="Calibri" w:cs="Arial"/>
        </w:rPr>
        <w:t>Information about the credit quality of financial assets that are neither past due nor impaired.</w:t>
      </w:r>
    </w:p>
    <w:p w:rsidR="00EE67C0" w:rsidRPr="00D15E7A" w:rsidRDefault="00EE67C0" w:rsidP="00BC15F9">
      <w:pPr>
        <w:autoSpaceDE w:val="0"/>
        <w:autoSpaceDN w:val="0"/>
        <w:adjustRightInd w:val="0"/>
        <w:ind w:left="1080"/>
        <w:jc w:val="both"/>
        <w:rPr>
          <w:rFonts w:ascii="Calibri" w:hAnsi="Calibri" w:cs="Arial"/>
        </w:rPr>
      </w:pPr>
    </w:p>
    <w:p w:rsidR="00EE67C0" w:rsidRPr="00D15E7A" w:rsidRDefault="00EE67C0" w:rsidP="008E18F1">
      <w:pPr>
        <w:numPr>
          <w:ilvl w:val="1"/>
          <w:numId w:val="4"/>
        </w:numPr>
        <w:tabs>
          <w:tab w:val="clear" w:pos="2160"/>
          <w:tab w:val="num" w:pos="1440"/>
        </w:tabs>
        <w:autoSpaceDE w:val="0"/>
        <w:autoSpaceDN w:val="0"/>
        <w:adjustRightInd w:val="0"/>
        <w:ind w:left="1440"/>
        <w:jc w:val="both"/>
        <w:rPr>
          <w:rFonts w:ascii="Calibri" w:hAnsi="Calibri" w:cs="Arial"/>
        </w:rPr>
      </w:pPr>
      <w:r w:rsidRPr="00D15E7A">
        <w:rPr>
          <w:rFonts w:ascii="Calibri" w:hAnsi="Calibri" w:cs="Arial"/>
        </w:rPr>
        <w:t>An analysis of the age of financial assets that are past due as at the end of the reporting period but not impaired.</w:t>
      </w:r>
    </w:p>
    <w:p w:rsidR="00EE67C0" w:rsidRPr="00D15E7A" w:rsidRDefault="00EE67C0" w:rsidP="00BC15F9">
      <w:pPr>
        <w:autoSpaceDE w:val="0"/>
        <w:autoSpaceDN w:val="0"/>
        <w:adjustRightInd w:val="0"/>
        <w:ind w:left="1080"/>
        <w:jc w:val="both"/>
        <w:rPr>
          <w:rFonts w:ascii="Calibri" w:hAnsi="Calibri" w:cs="Arial"/>
        </w:rPr>
      </w:pPr>
    </w:p>
    <w:p w:rsidR="00EE67C0" w:rsidRPr="00D15E7A" w:rsidRDefault="00EE67C0" w:rsidP="008E18F1">
      <w:pPr>
        <w:numPr>
          <w:ilvl w:val="1"/>
          <w:numId w:val="4"/>
        </w:numPr>
        <w:tabs>
          <w:tab w:val="clear" w:pos="2160"/>
          <w:tab w:val="num" w:pos="1440"/>
        </w:tabs>
        <w:autoSpaceDE w:val="0"/>
        <w:autoSpaceDN w:val="0"/>
        <w:adjustRightInd w:val="0"/>
        <w:ind w:left="1440"/>
        <w:jc w:val="both"/>
        <w:rPr>
          <w:rFonts w:ascii="Calibri" w:hAnsi="Calibri" w:cs="Arial"/>
        </w:rPr>
      </w:pPr>
      <w:r w:rsidRPr="00D15E7A">
        <w:rPr>
          <w:rFonts w:ascii="Calibri" w:hAnsi="Calibri" w:cs="Arial"/>
        </w:rPr>
        <w:t>Description, carrying amount, fair value and terms and conditions of collaterals.</w:t>
      </w:r>
    </w:p>
    <w:p w:rsidR="00EE67C0" w:rsidRPr="00C35531" w:rsidRDefault="00EE67C0" w:rsidP="00BC15F9">
      <w:pPr>
        <w:tabs>
          <w:tab w:val="num" w:pos="1080"/>
        </w:tabs>
        <w:jc w:val="both"/>
        <w:rPr>
          <w:rFonts w:ascii="Calibri" w:hAnsi="Calibri" w:cs="Arial"/>
          <w:highlight w:val="yellow"/>
          <w:lang w:val="en-GB"/>
        </w:rPr>
      </w:pPr>
    </w:p>
    <w:p w:rsidR="00EE67C0" w:rsidRPr="00D15E7A" w:rsidRDefault="00EE67C0" w:rsidP="008E18F1">
      <w:pPr>
        <w:numPr>
          <w:ilvl w:val="0"/>
          <w:numId w:val="3"/>
        </w:numPr>
        <w:tabs>
          <w:tab w:val="clear" w:pos="720"/>
          <w:tab w:val="num" w:pos="561"/>
          <w:tab w:val="num" w:pos="1080"/>
        </w:tabs>
        <w:ind w:left="1080"/>
        <w:jc w:val="both"/>
        <w:rPr>
          <w:rFonts w:ascii="Calibri" w:hAnsi="Calibri" w:cs="Arial"/>
          <w:lang w:val="en-GB"/>
        </w:rPr>
      </w:pPr>
      <w:r w:rsidRPr="00D15E7A">
        <w:rPr>
          <w:rFonts w:ascii="Calibri" w:hAnsi="Calibri" w:cs="Arial"/>
          <w:lang w:val="en-GB"/>
        </w:rPr>
        <w:t>Sensitivity analysis for each type of market risk to which the company is exposed and the methods and assumptions used in preparing the sensitivity analysis (IFRS 7 paragraph 40).</w:t>
      </w:r>
    </w:p>
    <w:p w:rsidR="00EE67C0" w:rsidRPr="00C35531" w:rsidRDefault="00EE67C0" w:rsidP="00BC15F9">
      <w:pPr>
        <w:tabs>
          <w:tab w:val="left" w:pos="748"/>
        </w:tabs>
        <w:jc w:val="both"/>
        <w:rPr>
          <w:rFonts w:ascii="Calibri" w:hAnsi="Calibri"/>
          <w:highlight w:val="yellow"/>
          <w:lang w:val="en-GB"/>
        </w:rPr>
      </w:pPr>
    </w:p>
    <w:p w:rsidR="00EE67C0" w:rsidRPr="00611E1F" w:rsidRDefault="00EE67C0" w:rsidP="00BC15F9">
      <w:pPr>
        <w:tabs>
          <w:tab w:val="left" w:pos="748"/>
        </w:tabs>
        <w:jc w:val="both"/>
        <w:rPr>
          <w:rFonts w:ascii="Calibri" w:hAnsi="Calibri" w:cs="Arial"/>
          <w:b/>
        </w:rPr>
      </w:pPr>
      <w:r w:rsidRPr="00611E1F">
        <w:rPr>
          <w:rFonts w:ascii="Calibri" w:hAnsi="Calibri" w:cs="Arial"/>
          <w:b/>
        </w:rPr>
        <w:t>1.6</w:t>
      </w:r>
      <w:r w:rsidRPr="00611E1F">
        <w:rPr>
          <w:rFonts w:ascii="Calibri" w:hAnsi="Calibri" w:cs="Arial"/>
          <w:b/>
        </w:rPr>
        <w:tab/>
        <w:t>IFRS 8, Operating Segments</w:t>
      </w:r>
    </w:p>
    <w:p w:rsidR="00EE67C0" w:rsidRPr="00611E1F" w:rsidRDefault="00EE67C0" w:rsidP="00BC15F9">
      <w:pPr>
        <w:tabs>
          <w:tab w:val="left" w:pos="748"/>
        </w:tabs>
        <w:ind w:left="1468"/>
        <w:jc w:val="both"/>
        <w:rPr>
          <w:rFonts w:ascii="Calibri" w:hAnsi="Calibri"/>
          <w:lang w:val="en-GB"/>
        </w:rPr>
      </w:pPr>
    </w:p>
    <w:p w:rsidR="00EE67C0" w:rsidRPr="00611E1F" w:rsidRDefault="00EE67C0" w:rsidP="00BC15F9">
      <w:pPr>
        <w:ind w:left="720"/>
        <w:jc w:val="both"/>
        <w:rPr>
          <w:rFonts w:ascii="Calibri" w:hAnsi="Calibri" w:cs="Arial"/>
        </w:rPr>
      </w:pPr>
      <w:r w:rsidRPr="00611E1F">
        <w:rPr>
          <w:rFonts w:ascii="Calibri" w:hAnsi="Calibri" w:cs="Arial"/>
        </w:rPr>
        <w:t xml:space="preserve">IFRS 8 </w:t>
      </w:r>
      <w:r w:rsidRPr="00611E1F">
        <w:rPr>
          <w:rFonts w:ascii="Calibri" w:hAnsi="Calibri" w:cs="Arial"/>
          <w:i/>
        </w:rPr>
        <w:t>Operating Segments</w:t>
      </w:r>
      <w:r w:rsidRPr="00611E1F">
        <w:rPr>
          <w:rFonts w:ascii="Calibri" w:hAnsi="Calibri" w:cs="Arial"/>
        </w:rPr>
        <w:t xml:space="preserve"> is applicable to listed entities. It requires that operating segment information be disclosed on the same basis as information used by management to assess operating performance and make decisions about the allocation of resources, to identify segments of the company. </w:t>
      </w:r>
    </w:p>
    <w:p w:rsidR="00EE67C0" w:rsidRPr="00611E1F" w:rsidRDefault="00EE67C0" w:rsidP="00BC15F9">
      <w:pPr>
        <w:ind w:left="720"/>
        <w:jc w:val="both"/>
        <w:rPr>
          <w:rFonts w:ascii="Calibri" w:hAnsi="Calibri" w:cs="Arial"/>
        </w:rPr>
      </w:pPr>
    </w:p>
    <w:p w:rsidR="00EE67C0" w:rsidRPr="00611E1F" w:rsidRDefault="00EE67C0" w:rsidP="00BC15F9">
      <w:pPr>
        <w:ind w:left="720"/>
        <w:jc w:val="both"/>
        <w:rPr>
          <w:rFonts w:ascii="Calibri" w:hAnsi="Calibri" w:cs="Arial"/>
          <w:i/>
        </w:rPr>
      </w:pPr>
      <w:r w:rsidRPr="00611E1F">
        <w:rPr>
          <w:rFonts w:ascii="Calibri" w:hAnsi="Calibri" w:cs="Arial"/>
          <w:i/>
        </w:rPr>
        <w:t>Segmental disclosures provide sufficient explanation of the basis on which the information was prepared and assist users of financial statements in understanding segmental performance.</w:t>
      </w:r>
    </w:p>
    <w:p w:rsidR="00EE67C0" w:rsidRPr="00611E1F" w:rsidRDefault="00EE67C0" w:rsidP="00BC15F9">
      <w:pPr>
        <w:ind w:left="720"/>
        <w:jc w:val="both"/>
        <w:rPr>
          <w:rFonts w:ascii="Calibri" w:hAnsi="Calibri" w:cs="Arial"/>
        </w:rPr>
      </w:pPr>
    </w:p>
    <w:p w:rsidR="00EE67C0" w:rsidRPr="002B7519" w:rsidRDefault="00EE67C0" w:rsidP="00BC15F9">
      <w:pPr>
        <w:ind w:left="720"/>
        <w:jc w:val="both"/>
        <w:rPr>
          <w:rFonts w:ascii="Calibri" w:hAnsi="Calibri" w:cs="Arial"/>
          <w:b/>
        </w:rPr>
      </w:pPr>
      <w:r w:rsidRPr="002B7519">
        <w:rPr>
          <w:rFonts w:ascii="Calibri" w:hAnsi="Calibri" w:cs="Arial"/>
          <w:b/>
        </w:rPr>
        <w:t>The following observations were made in respect of the 7 listed entities:</w:t>
      </w:r>
    </w:p>
    <w:p w:rsidR="00EE67C0" w:rsidRPr="00C35531" w:rsidRDefault="00EE67C0" w:rsidP="00BC15F9">
      <w:pPr>
        <w:ind w:left="720"/>
        <w:jc w:val="both"/>
        <w:rPr>
          <w:rFonts w:ascii="Calibri" w:hAnsi="Calibri" w:cs="Arial"/>
          <w:i/>
          <w:highlight w:val="yellow"/>
        </w:rPr>
      </w:pPr>
    </w:p>
    <w:p w:rsidR="00EE67C0" w:rsidRPr="00E90D02" w:rsidRDefault="00EE67C0" w:rsidP="00E90D02">
      <w:pPr>
        <w:numPr>
          <w:ilvl w:val="0"/>
          <w:numId w:val="5"/>
        </w:numPr>
        <w:tabs>
          <w:tab w:val="clear" w:pos="720"/>
          <w:tab w:val="num" w:pos="540"/>
        </w:tabs>
        <w:ind w:left="1080"/>
        <w:jc w:val="both"/>
        <w:rPr>
          <w:rFonts w:ascii="Calibri" w:hAnsi="Calibri" w:cs="Arial"/>
          <w:b/>
        </w:rPr>
      </w:pPr>
      <w:r w:rsidRPr="000E2DBC">
        <w:rPr>
          <w:rFonts w:ascii="Calibri" w:hAnsi="Calibri" w:cs="Arial"/>
          <w:b/>
        </w:rPr>
        <w:t>6 entities</w:t>
      </w:r>
      <w:r>
        <w:rPr>
          <w:rFonts w:ascii="Calibri" w:hAnsi="Calibri" w:cs="Arial"/>
          <w:b/>
        </w:rPr>
        <w:t xml:space="preserve"> </w:t>
      </w:r>
      <w:r>
        <w:rPr>
          <w:rFonts w:ascii="Calibri" w:hAnsi="Calibri" w:cs="Arial"/>
        </w:rPr>
        <w:t>[</w:t>
      </w:r>
      <w:r w:rsidRPr="000E2DBC">
        <w:rPr>
          <w:rFonts w:ascii="Calibri" w:hAnsi="Calibri" w:cs="Arial"/>
        </w:rPr>
        <w:t xml:space="preserve">1 BIF, </w:t>
      </w:r>
      <w:r>
        <w:rPr>
          <w:rFonts w:ascii="Calibri" w:hAnsi="Calibri" w:cs="Arial"/>
        </w:rPr>
        <w:t xml:space="preserve">1 </w:t>
      </w:r>
      <w:r w:rsidRPr="000E2DBC">
        <w:rPr>
          <w:rFonts w:ascii="Calibri" w:hAnsi="Calibri" w:cs="Arial"/>
        </w:rPr>
        <w:t>Commerce, 3 Industry, and 1 Leisure &amp; Hotels</w:t>
      </w:r>
      <w:r>
        <w:rPr>
          <w:rFonts w:ascii="Calibri" w:hAnsi="Calibri" w:cs="Arial"/>
        </w:rPr>
        <w:t xml:space="preserve">] </w:t>
      </w:r>
      <w:r w:rsidRPr="000E2DBC">
        <w:rPr>
          <w:rFonts w:ascii="Calibri" w:hAnsi="Calibri" w:cs="Arial"/>
          <w:b/>
        </w:rPr>
        <w:t xml:space="preserve">had </w:t>
      </w:r>
      <w:r w:rsidRPr="000E2DBC">
        <w:rPr>
          <w:rFonts w:ascii="Calibri" w:hAnsi="Calibri" w:cs="Arial"/>
          <w:b/>
          <w:u w:val="single"/>
        </w:rPr>
        <w:t>fully complied</w:t>
      </w:r>
      <w:r w:rsidRPr="000E2DBC">
        <w:rPr>
          <w:rFonts w:ascii="Calibri" w:hAnsi="Calibri" w:cs="Arial"/>
          <w:b/>
        </w:rPr>
        <w:t xml:space="preserve"> with the requirements of IFRS 8.</w:t>
      </w:r>
    </w:p>
    <w:p w:rsidR="00EE67C0" w:rsidRPr="000E2DBC" w:rsidRDefault="00EE67C0" w:rsidP="008E18F1">
      <w:pPr>
        <w:numPr>
          <w:ilvl w:val="0"/>
          <w:numId w:val="5"/>
        </w:numPr>
        <w:tabs>
          <w:tab w:val="clear" w:pos="720"/>
          <w:tab w:val="num" w:pos="540"/>
        </w:tabs>
        <w:ind w:left="1080"/>
        <w:jc w:val="both"/>
        <w:rPr>
          <w:rFonts w:ascii="Calibri" w:hAnsi="Calibri" w:cs="Arial"/>
          <w:b/>
        </w:rPr>
      </w:pPr>
      <w:r w:rsidRPr="000E2DBC">
        <w:rPr>
          <w:rFonts w:ascii="Calibri" w:hAnsi="Calibri" w:cs="Arial"/>
          <w:b/>
        </w:rPr>
        <w:t xml:space="preserve">1 </w:t>
      </w:r>
      <w:r>
        <w:rPr>
          <w:rFonts w:ascii="Calibri" w:hAnsi="Calibri" w:cs="Arial"/>
          <w:b/>
        </w:rPr>
        <w:t xml:space="preserve">PIE </w:t>
      </w:r>
      <w:r w:rsidRPr="009E7116">
        <w:rPr>
          <w:rFonts w:ascii="Calibri" w:hAnsi="Calibri" w:cs="Arial"/>
          <w:b/>
        </w:rPr>
        <w:t>in Commerce sector</w:t>
      </w:r>
      <w:r>
        <w:rPr>
          <w:rFonts w:ascii="Calibri" w:hAnsi="Calibri" w:cs="Arial"/>
          <w:b/>
        </w:rPr>
        <w:t xml:space="preserve"> </w:t>
      </w:r>
      <w:r w:rsidRPr="000E2DBC">
        <w:rPr>
          <w:rFonts w:ascii="Calibri" w:hAnsi="Calibri" w:cs="Arial"/>
          <w:b/>
        </w:rPr>
        <w:t>had not disclosed the requirements of IFRS 8 as this IFRS was not applicable given that the company did not have more than one operating segment due to the nature of its business.</w:t>
      </w:r>
    </w:p>
    <w:p w:rsidR="00EE67C0" w:rsidRDefault="00EE67C0" w:rsidP="006E3E34">
      <w:pPr>
        <w:ind w:right="-450"/>
        <w:jc w:val="both"/>
        <w:rPr>
          <w:rFonts w:ascii="Calibri" w:hAnsi="Calibri"/>
          <w:highlight w:val="yellow"/>
        </w:rPr>
      </w:pPr>
    </w:p>
    <w:p w:rsidR="00EE67C0" w:rsidRPr="004D2634" w:rsidRDefault="00EE67C0" w:rsidP="00823278">
      <w:pPr>
        <w:rPr>
          <w:rFonts w:ascii="Calibri" w:hAnsi="Calibri"/>
          <w:b/>
          <w:sz w:val="28"/>
          <w:szCs w:val="28"/>
        </w:rPr>
      </w:pPr>
      <w:r w:rsidRPr="004D2634">
        <w:rPr>
          <w:rFonts w:ascii="Calibri" w:hAnsi="Calibri" w:cs="Arial"/>
          <w:b/>
          <w:color w:val="0000FF"/>
          <w:sz w:val="28"/>
          <w:szCs w:val="28"/>
        </w:rPr>
        <w:t>2.</w:t>
      </w:r>
      <w:r w:rsidRPr="004D2634">
        <w:rPr>
          <w:rFonts w:ascii="Calibri" w:hAnsi="Calibri" w:cs="Arial"/>
          <w:b/>
          <w:color w:val="0000FF"/>
          <w:sz w:val="28"/>
          <w:szCs w:val="28"/>
        </w:rPr>
        <w:tab/>
      </w:r>
      <w:bookmarkStart w:id="8" w:name="_Hlk395611000"/>
      <w:bookmarkStart w:id="9" w:name="_Hlk395611879"/>
      <w:bookmarkStart w:id="10" w:name="OLE_LINK2"/>
      <w:bookmarkStart w:id="11" w:name="WC"/>
      <w:r w:rsidRPr="004D2634">
        <w:rPr>
          <w:rFonts w:ascii="Calibri" w:hAnsi="Calibri" w:cs="Arial"/>
          <w:b/>
          <w:color w:val="0000FF"/>
          <w:sz w:val="28"/>
          <w:szCs w:val="28"/>
        </w:rPr>
        <w:t xml:space="preserve">Corporate Governance </w:t>
      </w:r>
      <w:bookmarkEnd w:id="8"/>
      <w:r w:rsidRPr="004D2634">
        <w:rPr>
          <w:rFonts w:ascii="Calibri" w:hAnsi="Calibri" w:cs="Arial"/>
          <w:b/>
          <w:color w:val="0000FF"/>
          <w:sz w:val="28"/>
          <w:szCs w:val="28"/>
        </w:rPr>
        <w:t>Findings</w:t>
      </w:r>
      <w:bookmarkEnd w:id="9"/>
    </w:p>
    <w:p w:rsidR="00EE67C0" w:rsidRPr="004D2634" w:rsidRDefault="00EE67C0" w:rsidP="00823278">
      <w:pPr>
        <w:jc w:val="both"/>
        <w:rPr>
          <w:rFonts w:ascii="Calibri" w:hAnsi="Calibri"/>
        </w:rPr>
      </w:pPr>
    </w:p>
    <w:p w:rsidR="00EE67C0" w:rsidRPr="004D2634" w:rsidRDefault="00EE67C0" w:rsidP="00823278">
      <w:pPr>
        <w:ind w:left="720"/>
        <w:jc w:val="both"/>
        <w:rPr>
          <w:rFonts w:ascii="Calibri" w:hAnsi="Calibri"/>
        </w:rPr>
      </w:pPr>
      <w:r w:rsidRPr="004D2634">
        <w:rPr>
          <w:rFonts w:ascii="Calibri" w:hAnsi="Calibri"/>
        </w:rPr>
        <w:t xml:space="preserve">The </w:t>
      </w:r>
      <w:r>
        <w:rPr>
          <w:rFonts w:ascii="Calibri" w:hAnsi="Calibri"/>
        </w:rPr>
        <w:t>N</w:t>
      </w:r>
      <w:r w:rsidRPr="004D2634">
        <w:rPr>
          <w:rFonts w:ascii="Calibri" w:hAnsi="Calibri"/>
        </w:rPr>
        <w:t xml:space="preserve">ational </w:t>
      </w:r>
      <w:r>
        <w:rPr>
          <w:rFonts w:ascii="Calibri" w:hAnsi="Calibri"/>
        </w:rPr>
        <w:t>C</w:t>
      </w:r>
      <w:r w:rsidRPr="004D2634">
        <w:rPr>
          <w:rFonts w:ascii="Calibri" w:hAnsi="Calibri"/>
        </w:rPr>
        <w:t xml:space="preserve">ode of </w:t>
      </w:r>
      <w:r>
        <w:rPr>
          <w:rFonts w:ascii="Calibri" w:hAnsi="Calibri"/>
        </w:rPr>
        <w:t>C</w:t>
      </w:r>
      <w:r w:rsidRPr="004D2634">
        <w:rPr>
          <w:rFonts w:ascii="Calibri" w:hAnsi="Calibri"/>
        </w:rPr>
        <w:t xml:space="preserve">orporate </w:t>
      </w:r>
      <w:r>
        <w:rPr>
          <w:rFonts w:ascii="Calibri" w:hAnsi="Calibri"/>
        </w:rPr>
        <w:t>G</w:t>
      </w:r>
      <w:r w:rsidRPr="004D2634">
        <w:rPr>
          <w:rFonts w:ascii="Calibri" w:hAnsi="Calibri"/>
        </w:rPr>
        <w:t xml:space="preserve">overnance </w:t>
      </w:r>
      <w:r>
        <w:rPr>
          <w:rFonts w:ascii="Calibri" w:hAnsi="Calibri"/>
        </w:rPr>
        <w:t>stabilises the</w:t>
      </w:r>
      <w:r w:rsidRPr="004D2634">
        <w:rPr>
          <w:rFonts w:ascii="Calibri" w:hAnsi="Calibri"/>
        </w:rPr>
        <w:t xml:space="preserve"> principles for good corporate governance leading </w:t>
      </w:r>
      <w:r>
        <w:rPr>
          <w:rFonts w:ascii="Calibri" w:hAnsi="Calibri"/>
        </w:rPr>
        <w:t>towards</w:t>
      </w:r>
      <w:r w:rsidRPr="004D2634">
        <w:rPr>
          <w:rFonts w:ascii="Calibri" w:hAnsi="Calibri"/>
        </w:rPr>
        <w:t xml:space="preserve"> transparency, accountability and a long-term perspective</w:t>
      </w:r>
      <w:r>
        <w:rPr>
          <w:rFonts w:ascii="Calibri" w:hAnsi="Calibri"/>
        </w:rPr>
        <w:t>, that is, sustainability</w:t>
      </w:r>
      <w:r w:rsidRPr="004D2634">
        <w:rPr>
          <w:rFonts w:ascii="Calibri" w:hAnsi="Calibri"/>
        </w:rPr>
        <w:t xml:space="preserve">. </w:t>
      </w:r>
    </w:p>
    <w:p w:rsidR="00EE67C0" w:rsidRPr="004D2634" w:rsidRDefault="00EE67C0" w:rsidP="00823278">
      <w:pPr>
        <w:ind w:left="720"/>
        <w:jc w:val="both"/>
        <w:rPr>
          <w:rFonts w:ascii="Calibri" w:hAnsi="Calibri" w:cs="Calibri"/>
        </w:rPr>
      </w:pPr>
    </w:p>
    <w:p w:rsidR="00EE67C0" w:rsidRPr="004D2634" w:rsidRDefault="00EE67C0" w:rsidP="00823278">
      <w:pPr>
        <w:rPr>
          <w:rFonts w:ascii="Calibri" w:hAnsi="Calibri"/>
          <w:b/>
        </w:rPr>
      </w:pPr>
      <w:r w:rsidRPr="004D2634">
        <w:rPr>
          <w:rFonts w:ascii="Calibri" w:hAnsi="Calibri"/>
          <w:b/>
        </w:rPr>
        <w:t>2.1</w:t>
      </w:r>
      <w:r w:rsidRPr="004D2634">
        <w:rPr>
          <w:rFonts w:ascii="Calibri" w:hAnsi="Calibri"/>
          <w:b/>
        </w:rPr>
        <w:tab/>
        <w:t>Level of compliance with Corporate Governance (Full Reviews)</w:t>
      </w:r>
    </w:p>
    <w:p w:rsidR="00EE67C0" w:rsidRPr="004D2634" w:rsidRDefault="00EE67C0" w:rsidP="00823278">
      <w:pPr>
        <w:ind w:left="720"/>
        <w:jc w:val="both"/>
        <w:rPr>
          <w:rFonts w:ascii="Calibri" w:hAnsi="Calibri"/>
        </w:rPr>
      </w:pPr>
    </w:p>
    <w:p w:rsidR="00EE67C0" w:rsidRPr="004D2634" w:rsidRDefault="00EE67C0" w:rsidP="00823278">
      <w:pPr>
        <w:ind w:left="720"/>
        <w:jc w:val="both"/>
        <w:rPr>
          <w:rFonts w:ascii="Calibri" w:hAnsi="Calibri" w:cs="Calibri"/>
        </w:rPr>
      </w:pPr>
      <w:r w:rsidRPr="004D2634">
        <w:rPr>
          <w:rFonts w:ascii="Calibri" w:hAnsi="Calibri"/>
        </w:rPr>
        <w:t>Section 75(2) of the FRA stipulates that every PIE shall adopt corporate governance in accordance with the Code of Corporate Governance.  Also, the PIEs may use the ‘comply or explain’ principle laid down in the code of corporate governance. According to this principle, companies that depart from the relevant corporate Governance Code are required to explain in their corporate governance statement which parts of the Code they depart from and the reasons for doing so.</w:t>
      </w:r>
    </w:p>
    <w:p w:rsidR="00EE67C0" w:rsidRPr="004F6F5A" w:rsidRDefault="00EE67C0" w:rsidP="00823278">
      <w:pPr>
        <w:jc w:val="both"/>
        <w:rPr>
          <w:rFonts w:ascii="Calibri" w:hAnsi="Calibri" w:cs="Arial"/>
          <w:sz w:val="18"/>
          <w:highlight w:val="yellow"/>
          <w:lang w:val="en-GB"/>
        </w:rPr>
      </w:pPr>
    </w:p>
    <w:p w:rsidR="00EE67C0" w:rsidRPr="00520549" w:rsidRDefault="00EE67C0" w:rsidP="00ED68ED">
      <w:pPr>
        <w:ind w:left="810"/>
        <w:jc w:val="both"/>
        <w:rPr>
          <w:rFonts w:ascii="Calibri" w:hAnsi="Calibri"/>
        </w:rPr>
      </w:pPr>
      <w:r w:rsidRPr="00520549">
        <w:rPr>
          <w:rFonts w:ascii="Calibri" w:hAnsi="Calibri"/>
        </w:rPr>
        <w:t>The table below shows the number of annual reports reviewed and level of compliance by the respective PIEs.</w:t>
      </w:r>
    </w:p>
    <w:p w:rsidR="00EE67C0" w:rsidRPr="004F6F5A" w:rsidRDefault="00EE67C0" w:rsidP="00ED68ED">
      <w:pPr>
        <w:jc w:val="both"/>
        <w:rPr>
          <w:rFonts w:ascii="Calibri" w:hAnsi="Calibri"/>
          <w:sz w:val="20"/>
        </w:rPr>
      </w:pPr>
    </w:p>
    <w:tbl>
      <w:tblPr>
        <w:tblW w:w="7048" w:type="dxa"/>
        <w:tblInd w:w="800" w:type="dxa"/>
        <w:tblLook w:val="00A0"/>
      </w:tblPr>
      <w:tblGrid>
        <w:gridCol w:w="1980"/>
        <w:gridCol w:w="900"/>
        <w:gridCol w:w="1350"/>
        <w:gridCol w:w="1558"/>
        <w:gridCol w:w="1260"/>
      </w:tblGrid>
      <w:tr w:rsidR="00EE67C0" w:rsidRPr="00520549" w:rsidTr="002B7519">
        <w:trPr>
          <w:trHeight w:val="1222"/>
        </w:trPr>
        <w:tc>
          <w:tcPr>
            <w:tcW w:w="1980" w:type="dxa"/>
            <w:tcBorders>
              <w:top w:val="single" w:sz="8" w:space="0" w:color="auto"/>
              <w:left w:val="single" w:sz="8" w:space="0" w:color="auto"/>
              <w:bottom w:val="single" w:sz="8" w:space="0" w:color="auto"/>
              <w:right w:val="single" w:sz="8" w:space="0" w:color="auto"/>
            </w:tcBorders>
            <w:shd w:val="clear" w:color="000000" w:fill="E6E6E6"/>
            <w:noWrap/>
            <w:vAlign w:val="center"/>
          </w:tcPr>
          <w:p w:rsidR="00EE67C0" w:rsidRPr="00520549" w:rsidRDefault="00EE67C0" w:rsidP="00ED68ED">
            <w:pPr>
              <w:jc w:val="center"/>
              <w:rPr>
                <w:rFonts w:ascii="Calibri" w:hAnsi="Calibri"/>
                <w:b/>
                <w:bCs/>
                <w:sz w:val="18"/>
                <w:szCs w:val="18"/>
                <w:lang w:val="en-GB" w:eastAsia="en-GB"/>
              </w:rPr>
            </w:pPr>
            <w:r w:rsidRPr="00520549">
              <w:rPr>
                <w:rFonts w:ascii="Calibri" w:hAnsi="Calibri"/>
                <w:b/>
                <w:bCs/>
                <w:sz w:val="18"/>
                <w:szCs w:val="18"/>
                <w:lang w:eastAsia="en-GB"/>
              </w:rPr>
              <w:t>PIEs</w:t>
            </w:r>
          </w:p>
        </w:tc>
        <w:tc>
          <w:tcPr>
            <w:tcW w:w="900" w:type="dxa"/>
            <w:tcBorders>
              <w:top w:val="single" w:sz="8" w:space="0" w:color="auto"/>
              <w:left w:val="nil"/>
              <w:bottom w:val="single" w:sz="8" w:space="0" w:color="auto"/>
              <w:right w:val="single" w:sz="8" w:space="0" w:color="auto"/>
            </w:tcBorders>
            <w:shd w:val="clear" w:color="000000" w:fill="E6E6E6"/>
            <w:noWrap/>
            <w:vAlign w:val="center"/>
          </w:tcPr>
          <w:p w:rsidR="00EE67C0" w:rsidRPr="00520549" w:rsidRDefault="00EE67C0" w:rsidP="00ED68ED">
            <w:pPr>
              <w:jc w:val="center"/>
              <w:rPr>
                <w:rFonts w:ascii="Calibri" w:hAnsi="Calibri"/>
                <w:b/>
                <w:bCs/>
                <w:sz w:val="18"/>
                <w:szCs w:val="18"/>
                <w:lang w:val="en-GB" w:eastAsia="en-GB"/>
              </w:rPr>
            </w:pPr>
            <w:r w:rsidRPr="00520549">
              <w:rPr>
                <w:rFonts w:ascii="Calibri" w:hAnsi="Calibri"/>
                <w:b/>
                <w:bCs/>
                <w:sz w:val="18"/>
                <w:szCs w:val="18"/>
                <w:lang w:eastAsia="en-GB"/>
              </w:rPr>
              <w:t>Total</w:t>
            </w:r>
          </w:p>
        </w:tc>
        <w:tc>
          <w:tcPr>
            <w:tcW w:w="1350" w:type="dxa"/>
            <w:tcBorders>
              <w:top w:val="single" w:sz="8" w:space="0" w:color="auto"/>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b/>
                <w:bCs/>
                <w:sz w:val="18"/>
                <w:szCs w:val="18"/>
                <w:lang w:val="en-GB" w:eastAsia="en-GB"/>
              </w:rPr>
            </w:pPr>
            <w:r w:rsidRPr="00520549">
              <w:rPr>
                <w:rFonts w:ascii="Calibri" w:hAnsi="Calibri"/>
                <w:b/>
                <w:bCs/>
                <w:sz w:val="18"/>
                <w:szCs w:val="18"/>
                <w:lang w:eastAsia="en-GB"/>
              </w:rPr>
              <w:t>Reported on CG</w:t>
            </w:r>
          </w:p>
        </w:tc>
        <w:tc>
          <w:tcPr>
            <w:tcW w:w="1558" w:type="dxa"/>
            <w:tcBorders>
              <w:top w:val="single" w:sz="8" w:space="0" w:color="auto"/>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b/>
                <w:bCs/>
                <w:sz w:val="18"/>
                <w:szCs w:val="18"/>
                <w:lang w:val="en-GB" w:eastAsia="en-GB"/>
              </w:rPr>
            </w:pPr>
            <w:r w:rsidRPr="00520549">
              <w:rPr>
                <w:rFonts w:ascii="Calibri" w:hAnsi="Calibri"/>
                <w:b/>
                <w:bCs/>
                <w:sz w:val="18"/>
                <w:szCs w:val="18"/>
                <w:lang w:eastAsia="en-GB"/>
              </w:rPr>
              <w:t>Not Reported on CG, but explanations provided</w:t>
            </w:r>
          </w:p>
        </w:tc>
        <w:tc>
          <w:tcPr>
            <w:tcW w:w="1260" w:type="dxa"/>
            <w:tcBorders>
              <w:top w:val="single" w:sz="8" w:space="0" w:color="auto"/>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b/>
                <w:bCs/>
                <w:sz w:val="18"/>
                <w:szCs w:val="18"/>
                <w:lang w:val="en-GB" w:eastAsia="en-GB"/>
              </w:rPr>
            </w:pPr>
            <w:r w:rsidRPr="00520549">
              <w:rPr>
                <w:rFonts w:ascii="Calibri" w:hAnsi="Calibri"/>
                <w:b/>
                <w:bCs/>
                <w:sz w:val="18"/>
                <w:szCs w:val="18"/>
                <w:lang w:eastAsia="en-GB"/>
              </w:rPr>
              <w:t>Not Reported on CG and no explanations provided</w:t>
            </w:r>
          </w:p>
        </w:tc>
      </w:tr>
      <w:tr w:rsidR="00EE67C0" w:rsidRPr="00520549" w:rsidTr="002B7519">
        <w:trPr>
          <w:trHeight w:val="547"/>
        </w:trPr>
        <w:tc>
          <w:tcPr>
            <w:tcW w:w="198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lang w:val="en-GB" w:eastAsia="en-GB"/>
              </w:rPr>
            </w:pPr>
            <w:r w:rsidRPr="00520549">
              <w:rPr>
                <w:rFonts w:ascii="Calibri" w:hAnsi="Calibri"/>
                <w:lang w:eastAsia="en-GB"/>
              </w:rPr>
              <w:t>Listed on SEM</w:t>
            </w:r>
          </w:p>
        </w:tc>
        <w:tc>
          <w:tcPr>
            <w:tcW w:w="9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7</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7</w:t>
            </w:r>
          </w:p>
        </w:tc>
        <w:tc>
          <w:tcPr>
            <w:tcW w:w="155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w:t>
            </w:r>
          </w:p>
        </w:tc>
        <w:tc>
          <w:tcPr>
            <w:tcW w:w="1260" w:type="dxa"/>
            <w:tcBorders>
              <w:top w:val="nil"/>
              <w:left w:val="nil"/>
              <w:bottom w:val="single" w:sz="8" w:space="0" w:color="auto"/>
              <w:right w:val="single" w:sz="8" w:space="0" w:color="auto"/>
            </w:tcBorders>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w:t>
            </w:r>
          </w:p>
        </w:tc>
      </w:tr>
      <w:tr w:rsidR="00EE67C0" w:rsidRPr="00520549" w:rsidTr="002B7519">
        <w:trPr>
          <w:trHeight w:val="610"/>
        </w:trPr>
        <w:tc>
          <w:tcPr>
            <w:tcW w:w="198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lang w:val="en-GB" w:eastAsia="en-GB"/>
              </w:rPr>
            </w:pPr>
            <w:r w:rsidRPr="00520549">
              <w:rPr>
                <w:rFonts w:ascii="Calibri" w:hAnsi="Calibri"/>
                <w:lang w:eastAsia="en-GB"/>
              </w:rPr>
              <w:t>Regulated by BOM</w:t>
            </w:r>
          </w:p>
        </w:tc>
        <w:tc>
          <w:tcPr>
            <w:tcW w:w="9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3</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3</w:t>
            </w:r>
          </w:p>
        </w:tc>
        <w:tc>
          <w:tcPr>
            <w:tcW w:w="155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w:t>
            </w:r>
          </w:p>
        </w:tc>
        <w:tc>
          <w:tcPr>
            <w:tcW w:w="1260" w:type="dxa"/>
            <w:tcBorders>
              <w:top w:val="nil"/>
              <w:left w:val="nil"/>
              <w:bottom w:val="single" w:sz="8" w:space="0" w:color="auto"/>
              <w:right w:val="single" w:sz="8" w:space="0" w:color="auto"/>
            </w:tcBorders>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w:t>
            </w:r>
          </w:p>
        </w:tc>
      </w:tr>
      <w:tr w:rsidR="00EE67C0" w:rsidRPr="00520549" w:rsidTr="002B7519">
        <w:trPr>
          <w:trHeight w:val="430"/>
        </w:trPr>
        <w:tc>
          <w:tcPr>
            <w:tcW w:w="198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lang w:val="en-GB" w:eastAsia="en-GB"/>
              </w:rPr>
            </w:pPr>
            <w:r w:rsidRPr="00520549">
              <w:rPr>
                <w:rFonts w:ascii="Calibri" w:hAnsi="Calibri"/>
                <w:lang w:eastAsia="en-GB"/>
              </w:rPr>
              <w:t>Regulated by FSC</w:t>
            </w:r>
          </w:p>
        </w:tc>
        <w:tc>
          <w:tcPr>
            <w:tcW w:w="9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5</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4</w:t>
            </w:r>
          </w:p>
        </w:tc>
        <w:tc>
          <w:tcPr>
            <w:tcW w:w="155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1</w:t>
            </w:r>
          </w:p>
        </w:tc>
      </w:tr>
      <w:tr w:rsidR="00EE67C0" w:rsidRPr="00520549" w:rsidTr="002B7519">
        <w:trPr>
          <w:trHeight w:val="358"/>
        </w:trPr>
        <w:tc>
          <w:tcPr>
            <w:tcW w:w="198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lang w:val="en-GB" w:eastAsia="en-GB"/>
              </w:rPr>
            </w:pPr>
            <w:r w:rsidRPr="004F6F5A">
              <w:rPr>
                <w:rFonts w:ascii="Calibri" w:hAnsi="Calibri"/>
                <w:lang w:eastAsia="en-GB"/>
              </w:rPr>
              <w:t>Category 4 PIEs as per the FRA</w:t>
            </w:r>
          </w:p>
        </w:tc>
        <w:tc>
          <w:tcPr>
            <w:tcW w:w="9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41</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30</w:t>
            </w:r>
          </w:p>
        </w:tc>
        <w:tc>
          <w:tcPr>
            <w:tcW w:w="155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9</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lang w:val="en-GB" w:eastAsia="en-GB"/>
              </w:rPr>
            </w:pPr>
            <w:r w:rsidRPr="00520549">
              <w:rPr>
                <w:rFonts w:ascii="Calibri" w:hAnsi="Calibri"/>
                <w:lang w:eastAsia="en-GB"/>
              </w:rPr>
              <w:t>2</w:t>
            </w:r>
          </w:p>
        </w:tc>
      </w:tr>
      <w:tr w:rsidR="00EE67C0" w:rsidRPr="00520549" w:rsidTr="002B7519">
        <w:trPr>
          <w:trHeight w:val="330"/>
        </w:trPr>
        <w:tc>
          <w:tcPr>
            <w:tcW w:w="1980"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b/>
                <w:bCs/>
                <w:lang w:val="en-GB" w:eastAsia="en-GB"/>
              </w:rPr>
            </w:pPr>
            <w:r w:rsidRPr="00520549">
              <w:rPr>
                <w:rFonts w:ascii="Calibri" w:hAnsi="Calibri"/>
                <w:b/>
                <w:bCs/>
                <w:lang w:eastAsia="en-GB"/>
              </w:rPr>
              <w:t xml:space="preserve">Total </w:t>
            </w:r>
          </w:p>
        </w:tc>
        <w:tc>
          <w:tcPr>
            <w:tcW w:w="9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b/>
                <w:bCs/>
                <w:lang w:val="en-GB" w:eastAsia="en-GB"/>
              </w:rPr>
            </w:pPr>
            <w:r w:rsidRPr="00520549">
              <w:rPr>
                <w:rFonts w:ascii="Calibri" w:hAnsi="Calibri"/>
                <w:b/>
                <w:bCs/>
                <w:lang w:eastAsia="en-GB"/>
              </w:rPr>
              <w:t>56</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b/>
                <w:bCs/>
                <w:lang w:val="en-GB" w:eastAsia="en-GB"/>
              </w:rPr>
            </w:pPr>
            <w:r w:rsidRPr="00520549">
              <w:rPr>
                <w:rFonts w:ascii="Calibri" w:hAnsi="Calibri"/>
                <w:b/>
                <w:bCs/>
                <w:lang w:eastAsia="en-GB"/>
              </w:rPr>
              <w:t>44</w:t>
            </w:r>
          </w:p>
        </w:tc>
        <w:tc>
          <w:tcPr>
            <w:tcW w:w="155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b/>
                <w:bCs/>
                <w:lang w:val="en-GB" w:eastAsia="en-GB"/>
              </w:rPr>
            </w:pPr>
            <w:r w:rsidRPr="00520549">
              <w:rPr>
                <w:rFonts w:ascii="Calibri" w:hAnsi="Calibri"/>
                <w:b/>
                <w:bCs/>
                <w:lang w:eastAsia="en-GB"/>
              </w:rPr>
              <w:t>9</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b/>
                <w:bCs/>
                <w:lang w:val="en-GB" w:eastAsia="en-GB"/>
              </w:rPr>
            </w:pPr>
            <w:r w:rsidRPr="00520549">
              <w:rPr>
                <w:rFonts w:ascii="Calibri" w:hAnsi="Calibri"/>
                <w:b/>
                <w:bCs/>
                <w:lang w:eastAsia="en-GB"/>
              </w:rPr>
              <w:t>3</w:t>
            </w:r>
          </w:p>
        </w:tc>
      </w:tr>
    </w:tbl>
    <w:p w:rsidR="00EE67C0" w:rsidRDefault="00EE67C0" w:rsidP="008D126B">
      <w:pPr>
        <w:ind w:left="720"/>
        <w:jc w:val="both"/>
        <w:rPr>
          <w:rFonts w:ascii="Calibri" w:hAnsi="Calibri"/>
        </w:rPr>
      </w:pPr>
    </w:p>
    <w:p w:rsidR="00EE67C0" w:rsidRDefault="00EE67C0" w:rsidP="008D126B">
      <w:pPr>
        <w:ind w:left="720"/>
        <w:jc w:val="both"/>
        <w:rPr>
          <w:rFonts w:ascii="Calibri" w:hAnsi="Calibri"/>
        </w:rPr>
      </w:pPr>
      <w:r w:rsidRPr="00520549">
        <w:rPr>
          <w:rFonts w:ascii="Calibri" w:hAnsi="Calibri"/>
        </w:rPr>
        <w:t xml:space="preserve">It is commendable to note that 44 PIEs out of 56 had reported on corporate governance. However, there are critical areas </w:t>
      </w:r>
      <w:r>
        <w:rPr>
          <w:rFonts w:ascii="Calibri" w:hAnsi="Calibri"/>
        </w:rPr>
        <w:t>as detailed below.</w:t>
      </w:r>
    </w:p>
    <w:p w:rsidR="00EE67C0" w:rsidRDefault="00EE67C0" w:rsidP="008D126B">
      <w:pPr>
        <w:ind w:left="720"/>
        <w:jc w:val="both"/>
        <w:rPr>
          <w:highlight w:val="yellow"/>
        </w:rPr>
      </w:pPr>
    </w:p>
    <w:p w:rsidR="00EE67C0" w:rsidRDefault="00EE67C0" w:rsidP="008D126B">
      <w:pPr>
        <w:ind w:left="720"/>
        <w:jc w:val="both"/>
        <w:rPr>
          <w:highlight w:val="yellow"/>
        </w:rPr>
      </w:pPr>
    </w:p>
    <w:p w:rsidR="00EE67C0" w:rsidRDefault="00EE67C0" w:rsidP="008D126B">
      <w:pPr>
        <w:ind w:left="720"/>
        <w:jc w:val="both"/>
        <w:rPr>
          <w:highlight w:val="yellow"/>
        </w:rPr>
      </w:pPr>
    </w:p>
    <w:p w:rsidR="00EE67C0" w:rsidRDefault="00EE67C0" w:rsidP="008D126B">
      <w:pPr>
        <w:ind w:left="720"/>
        <w:jc w:val="both"/>
        <w:rPr>
          <w:highlight w:val="yellow"/>
        </w:rPr>
      </w:pPr>
    </w:p>
    <w:p w:rsidR="00EE67C0" w:rsidRDefault="00EE67C0" w:rsidP="008D126B">
      <w:pPr>
        <w:ind w:left="720"/>
        <w:jc w:val="both"/>
        <w:rPr>
          <w:highlight w:val="yellow"/>
        </w:rPr>
      </w:pPr>
    </w:p>
    <w:p w:rsidR="00EE67C0" w:rsidRPr="00C35531" w:rsidRDefault="00EE67C0" w:rsidP="008D126B">
      <w:pPr>
        <w:ind w:left="720"/>
        <w:jc w:val="both"/>
        <w:rPr>
          <w:highlight w:val="yellow"/>
        </w:rPr>
      </w:pPr>
    </w:p>
    <w:p w:rsidR="00EE67C0" w:rsidRPr="004D2634" w:rsidRDefault="00EE67C0" w:rsidP="00823278">
      <w:pPr>
        <w:rPr>
          <w:rFonts w:ascii="Calibri" w:hAnsi="Calibri"/>
          <w:b/>
        </w:rPr>
      </w:pPr>
      <w:r w:rsidRPr="004D2634">
        <w:rPr>
          <w:rFonts w:ascii="Calibri" w:hAnsi="Calibri"/>
          <w:b/>
        </w:rPr>
        <w:t>2.2</w:t>
      </w:r>
      <w:r w:rsidRPr="004D2634">
        <w:rPr>
          <w:rFonts w:ascii="Calibri" w:hAnsi="Calibri"/>
          <w:b/>
        </w:rPr>
        <w:tab/>
        <w:t>Corporate governance findings</w:t>
      </w:r>
    </w:p>
    <w:p w:rsidR="00EE67C0" w:rsidRPr="00C35531" w:rsidRDefault="00EE67C0" w:rsidP="00823278">
      <w:pPr>
        <w:rPr>
          <w:rFonts w:ascii="Calibri" w:hAnsi="Calibri"/>
          <w:b/>
          <w:highlight w:val="yellow"/>
        </w:rPr>
      </w:pPr>
    </w:p>
    <w:p w:rsidR="00EE67C0" w:rsidRPr="00520549" w:rsidRDefault="00EE67C0" w:rsidP="00ED68ED">
      <w:pPr>
        <w:ind w:left="720"/>
        <w:jc w:val="both"/>
        <w:rPr>
          <w:rFonts w:ascii="Calibri" w:hAnsi="Calibri"/>
          <w:b/>
        </w:rPr>
      </w:pPr>
      <w:r w:rsidRPr="00520549">
        <w:rPr>
          <w:rFonts w:ascii="Calibri" w:hAnsi="Calibri"/>
          <w:b/>
        </w:rPr>
        <w:t>(a)</w:t>
      </w:r>
      <w:r w:rsidRPr="00520549">
        <w:rPr>
          <w:rFonts w:ascii="Calibri" w:hAnsi="Calibri"/>
          <w:b/>
        </w:rPr>
        <w:tab/>
        <w:t>Reporting on corporate governance</w:t>
      </w:r>
    </w:p>
    <w:p w:rsidR="00EE67C0" w:rsidRPr="00520549" w:rsidRDefault="00EE67C0" w:rsidP="00ED68ED">
      <w:pPr>
        <w:ind w:left="720"/>
        <w:jc w:val="both"/>
        <w:rPr>
          <w:rFonts w:ascii="Calibri" w:hAnsi="Calibri"/>
          <w:b/>
          <w:sz w:val="16"/>
          <w:szCs w:val="16"/>
        </w:rPr>
      </w:pPr>
    </w:p>
    <w:p w:rsidR="00EE67C0" w:rsidRPr="00520549" w:rsidRDefault="00EE67C0" w:rsidP="008D126B">
      <w:pPr>
        <w:pStyle w:val="ListParagraph"/>
        <w:numPr>
          <w:ilvl w:val="0"/>
          <w:numId w:val="16"/>
        </w:numPr>
        <w:contextualSpacing/>
        <w:jc w:val="both"/>
        <w:rPr>
          <w:rFonts w:ascii="Calibri" w:hAnsi="Calibri"/>
        </w:rPr>
      </w:pPr>
      <w:r w:rsidRPr="00520549">
        <w:rPr>
          <w:rFonts w:ascii="Calibri" w:hAnsi="Calibri"/>
        </w:rPr>
        <w:t>For the 44 PIEs that had submitted a corporate governance report, FRC noted that the common non-compliances raisedfrom the annual report reviews of these PIEs were as follows:</w:t>
      </w:r>
    </w:p>
    <w:p w:rsidR="00EE67C0" w:rsidRPr="00520549" w:rsidRDefault="00EE67C0" w:rsidP="00ED68ED">
      <w:pPr>
        <w:ind w:left="720"/>
        <w:jc w:val="both"/>
        <w:rPr>
          <w:rFonts w:ascii="Calibri" w:hAnsi="Calibri"/>
          <w:b/>
        </w:rPr>
      </w:pPr>
    </w:p>
    <w:p w:rsidR="00EE67C0" w:rsidRPr="00520549" w:rsidRDefault="00EE67C0" w:rsidP="008D126B">
      <w:pPr>
        <w:pStyle w:val="ListParagraph"/>
        <w:numPr>
          <w:ilvl w:val="0"/>
          <w:numId w:val="14"/>
        </w:numPr>
        <w:contextualSpacing/>
        <w:rPr>
          <w:rFonts w:ascii="Calibri" w:hAnsi="Calibri"/>
          <w:b/>
        </w:rPr>
      </w:pPr>
      <w:r w:rsidRPr="00520549">
        <w:rPr>
          <w:rFonts w:ascii="Calibri" w:hAnsi="Calibri"/>
          <w:b/>
        </w:rPr>
        <w:t xml:space="preserve">Information on the Board of Directors </w:t>
      </w:r>
    </w:p>
    <w:p w:rsidR="00EE67C0" w:rsidRPr="00520549" w:rsidRDefault="00EE67C0" w:rsidP="00ED68ED">
      <w:pPr>
        <w:rPr>
          <w:rFonts w:ascii="Calibri" w:hAnsi="Calibri"/>
        </w:rPr>
      </w:pPr>
    </w:p>
    <w:p w:rsidR="00EE67C0" w:rsidRPr="00520549" w:rsidRDefault="00EE67C0" w:rsidP="00ED68ED">
      <w:pPr>
        <w:tabs>
          <w:tab w:val="left" w:pos="270"/>
          <w:tab w:val="left" w:pos="300"/>
        </w:tabs>
        <w:ind w:left="2160" w:hanging="360"/>
        <w:jc w:val="both"/>
        <w:rPr>
          <w:rFonts w:ascii="Calibri" w:hAnsi="Calibri"/>
        </w:rPr>
      </w:pPr>
      <w:r w:rsidRPr="00520549">
        <w:rPr>
          <w:rFonts w:ascii="Calibri" w:hAnsi="Calibri"/>
        </w:rPr>
        <w:tab/>
        <w:t xml:space="preserve">As per the code of corporate governance of </w:t>
      </w:r>
      <w:smartTag w:uri="urn:schemas-microsoft-com:office:smarttags" w:element="place">
        <w:smartTag w:uri="urn:schemas-microsoft-com:office:smarttags" w:element="country-region">
          <w:r w:rsidRPr="00520549">
            <w:rPr>
              <w:rFonts w:ascii="Calibri" w:hAnsi="Calibri"/>
            </w:rPr>
            <w:t>Mauritius</w:t>
          </w:r>
        </w:smartTag>
      </w:smartTag>
      <w:r w:rsidRPr="00520549">
        <w:rPr>
          <w:rFonts w:ascii="Calibri" w:hAnsi="Calibri"/>
        </w:rPr>
        <w:t xml:space="preserve">, a company should have appropriate balance of executive, non-executive and independent directors. This enables the company to make sound decision making with competent board members with proper level of qualifications and experience. </w:t>
      </w:r>
    </w:p>
    <w:p w:rsidR="00EE67C0" w:rsidRPr="00520549" w:rsidRDefault="00EE67C0" w:rsidP="00ED68ED">
      <w:pPr>
        <w:tabs>
          <w:tab w:val="left" w:pos="270"/>
          <w:tab w:val="left" w:pos="300"/>
        </w:tabs>
        <w:ind w:left="1800" w:hanging="360"/>
        <w:jc w:val="both"/>
        <w:rPr>
          <w:rFonts w:ascii="Calibri" w:hAnsi="Calibri"/>
        </w:rPr>
      </w:pPr>
    </w:p>
    <w:p w:rsidR="00EE67C0" w:rsidRPr="00520549" w:rsidRDefault="00EE67C0" w:rsidP="00ED68ED">
      <w:pPr>
        <w:tabs>
          <w:tab w:val="left" w:pos="270"/>
          <w:tab w:val="left" w:pos="300"/>
        </w:tabs>
        <w:ind w:left="2160" w:hanging="360"/>
        <w:jc w:val="both"/>
        <w:rPr>
          <w:rFonts w:ascii="Calibri" w:hAnsi="Calibri"/>
        </w:rPr>
      </w:pPr>
      <w:r w:rsidRPr="00520549">
        <w:rPr>
          <w:rFonts w:ascii="Calibri" w:hAnsi="Calibri"/>
        </w:rPr>
        <w:tab/>
        <w:t>During the course of the annual report reviews, FRC noted major non-compliances relating to the composition of the board – the minimum requirement of executive and independent directors was not met.</w:t>
      </w:r>
    </w:p>
    <w:p w:rsidR="00EE67C0" w:rsidRPr="00520549" w:rsidRDefault="00EE67C0" w:rsidP="00ED68ED">
      <w:pPr>
        <w:tabs>
          <w:tab w:val="left" w:pos="270"/>
          <w:tab w:val="left" w:pos="300"/>
        </w:tabs>
        <w:ind w:left="1800" w:hanging="360"/>
        <w:jc w:val="both"/>
        <w:rPr>
          <w:rFonts w:ascii="Calibri" w:hAnsi="Calibri"/>
        </w:rPr>
      </w:pPr>
      <w:r w:rsidRPr="00520549">
        <w:rPr>
          <w:rFonts w:ascii="Calibri" w:hAnsi="Calibri"/>
        </w:rPr>
        <w:tab/>
      </w:r>
    </w:p>
    <w:p w:rsidR="00EE67C0" w:rsidRPr="00520549" w:rsidRDefault="00EE67C0" w:rsidP="008D126B">
      <w:pPr>
        <w:pStyle w:val="ListParagraph"/>
        <w:numPr>
          <w:ilvl w:val="0"/>
          <w:numId w:val="15"/>
        </w:numPr>
        <w:tabs>
          <w:tab w:val="left" w:pos="270"/>
          <w:tab w:val="left" w:pos="300"/>
        </w:tabs>
        <w:contextualSpacing/>
        <w:jc w:val="both"/>
        <w:rPr>
          <w:rFonts w:ascii="Calibri" w:hAnsi="Calibri"/>
        </w:rPr>
      </w:pPr>
      <w:r w:rsidRPr="00520549">
        <w:rPr>
          <w:rFonts w:ascii="Calibri" w:hAnsi="Calibri"/>
        </w:rPr>
        <w:t xml:space="preserve">Minimum requirement of having at least 2 independent directors on the board of directors </w:t>
      </w:r>
    </w:p>
    <w:p w:rsidR="00EE67C0" w:rsidRPr="00520549" w:rsidRDefault="00EE67C0" w:rsidP="00ED68ED">
      <w:pPr>
        <w:tabs>
          <w:tab w:val="left" w:pos="270"/>
          <w:tab w:val="left" w:pos="300"/>
        </w:tabs>
        <w:ind w:left="1800"/>
        <w:jc w:val="both"/>
        <w:rPr>
          <w:rFonts w:ascii="Calibri" w:hAnsi="Calibri"/>
        </w:rPr>
      </w:pPr>
    </w:p>
    <w:p w:rsidR="00EE67C0" w:rsidRPr="00520549" w:rsidRDefault="00EE67C0" w:rsidP="00ED68ED">
      <w:pPr>
        <w:pStyle w:val="ListParagraph"/>
        <w:ind w:left="2520"/>
        <w:contextualSpacing/>
        <w:jc w:val="both"/>
        <w:rPr>
          <w:rFonts w:ascii="Calibri" w:hAnsi="Calibri"/>
        </w:rPr>
      </w:pPr>
      <w:r w:rsidRPr="00520549">
        <w:rPr>
          <w:rFonts w:ascii="Calibri" w:hAnsi="Calibri"/>
        </w:rPr>
        <w:t>As depicted in figure below, out of 44 PIEs 25 entities had at least 2 independent directors on their boards in line with section 2.2.2 of the code of the corporate governance. The rest either explained the reason for not having independe</w:t>
      </w:r>
      <w:r>
        <w:rPr>
          <w:rFonts w:ascii="Calibri" w:hAnsi="Calibri"/>
        </w:rPr>
        <w:t>nt directors or did not comply</w:t>
      </w:r>
      <w:r w:rsidRPr="00520549">
        <w:rPr>
          <w:rFonts w:ascii="Calibri" w:hAnsi="Calibri"/>
        </w:rPr>
        <w:t xml:space="preserve"> at all with this requirement.</w:t>
      </w:r>
    </w:p>
    <w:p w:rsidR="00EE67C0" w:rsidRPr="00520549" w:rsidRDefault="00EE67C0" w:rsidP="00E90D02">
      <w:pPr>
        <w:tabs>
          <w:tab w:val="left" w:pos="270"/>
          <w:tab w:val="left" w:pos="300"/>
        </w:tabs>
        <w:jc w:val="both"/>
        <w:rPr>
          <w:rFonts w:ascii="Calibri" w:hAnsi="Calibri"/>
        </w:rPr>
        <w:sectPr w:rsidR="00EE67C0" w:rsidRPr="00520549" w:rsidSect="00BD41FC">
          <w:footerReference w:type="even" r:id="rId9"/>
          <w:footerReference w:type="default" r:id="rId10"/>
          <w:pgSz w:w="12240" w:h="15840"/>
          <w:pgMar w:top="1440" w:right="1440" w:bottom="1440" w:left="1440" w:header="720" w:footer="720" w:gutter="0"/>
          <w:cols w:space="708"/>
          <w:docGrid w:linePitch="360"/>
        </w:sectPr>
      </w:pPr>
    </w:p>
    <w:p w:rsidR="00EE67C0" w:rsidRPr="00520549" w:rsidRDefault="00EE67C0" w:rsidP="00ED68ED">
      <w:pPr>
        <w:tabs>
          <w:tab w:val="left" w:pos="270"/>
          <w:tab w:val="left" w:pos="300"/>
        </w:tabs>
        <w:ind w:left="2520"/>
        <w:jc w:val="both"/>
        <w:rPr>
          <w:rFonts w:ascii="Calibri" w:hAnsi="Calibri"/>
        </w:rPr>
      </w:pPr>
    </w:p>
    <w:tbl>
      <w:tblPr>
        <w:tblW w:w="5968" w:type="dxa"/>
        <w:tblInd w:w="2240" w:type="dxa"/>
        <w:tblLook w:val="00A0"/>
      </w:tblPr>
      <w:tblGrid>
        <w:gridCol w:w="1343"/>
        <w:gridCol w:w="1329"/>
        <w:gridCol w:w="1336"/>
        <w:gridCol w:w="1175"/>
        <w:gridCol w:w="785"/>
      </w:tblGrid>
      <w:tr w:rsidR="00EE67C0" w:rsidRPr="00520549" w:rsidTr="006E0449">
        <w:trPr>
          <w:trHeight w:val="270"/>
        </w:trPr>
        <w:tc>
          <w:tcPr>
            <w:tcW w:w="1343"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EE67C0" w:rsidRPr="00520549" w:rsidRDefault="00EE67C0" w:rsidP="00ED68ED">
            <w:pPr>
              <w:jc w:val="center"/>
              <w:rPr>
                <w:rFonts w:ascii="Calibri" w:hAnsi="Calibri" w:cs="Arial"/>
                <w:b/>
                <w:bCs/>
                <w:sz w:val="16"/>
                <w:szCs w:val="16"/>
                <w:lang w:val="en-GB" w:eastAsia="en-GB"/>
              </w:rPr>
            </w:pPr>
            <w:r w:rsidRPr="00520549">
              <w:rPr>
                <w:rFonts w:ascii="Calibri" w:hAnsi="Calibri" w:cs="Arial"/>
                <w:b/>
                <w:bCs/>
                <w:sz w:val="16"/>
                <w:szCs w:val="16"/>
              </w:rPr>
              <w:t>PIEs</w:t>
            </w:r>
          </w:p>
        </w:tc>
        <w:tc>
          <w:tcPr>
            <w:tcW w:w="4625" w:type="dxa"/>
            <w:gridSpan w:val="4"/>
            <w:tcBorders>
              <w:top w:val="single" w:sz="8" w:space="0" w:color="auto"/>
              <w:left w:val="nil"/>
              <w:bottom w:val="single" w:sz="8" w:space="0" w:color="auto"/>
              <w:right w:val="single" w:sz="8" w:space="0" w:color="000000"/>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Section 2.2.2</w:t>
            </w:r>
          </w:p>
        </w:tc>
      </w:tr>
      <w:tr w:rsidR="00EE67C0" w:rsidRPr="00520549" w:rsidTr="006E0449">
        <w:trPr>
          <w:trHeight w:val="2473"/>
        </w:trPr>
        <w:tc>
          <w:tcPr>
            <w:tcW w:w="1343" w:type="dxa"/>
            <w:vMerge/>
            <w:tcBorders>
              <w:top w:val="single" w:sz="8" w:space="0" w:color="auto"/>
              <w:left w:val="single" w:sz="8" w:space="0" w:color="auto"/>
              <w:bottom w:val="single" w:sz="8" w:space="0" w:color="000000"/>
              <w:right w:val="single" w:sz="8" w:space="0" w:color="auto"/>
            </w:tcBorders>
            <w:vAlign w:val="center"/>
          </w:tcPr>
          <w:p w:rsidR="00EE67C0" w:rsidRPr="00520549" w:rsidRDefault="00EE67C0" w:rsidP="00ED68ED">
            <w:pPr>
              <w:rPr>
                <w:rFonts w:ascii="Calibri" w:hAnsi="Calibri" w:cs="Arial"/>
                <w:b/>
                <w:bCs/>
                <w:sz w:val="16"/>
                <w:szCs w:val="16"/>
              </w:rPr>
            </w:pPr>
          </w:p>
        </w:tc>
        <w:tc>
          <w:tcPr>
            <w:tcW w:w="1329"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 xml:space="preserve">Reported on the requirement that  all companies should have at least two independent directors on their boards </w:t>
            </w:r>
          </w:p>
        </w:tc>
        <w:tc>
          <w:tcPr>
            <w:tcW w:w="1336"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Explanations provided</w:t>
            </w:r>
          </w:p>
        </w:tc>
        <w:tc>
          <w:tcPr>
            <w:tcW w:w="1175"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Not Reported on the requirement that all companies should have at least two independent directors on their boards, and no explanations provided</w:t>
            </w:r>
          </w:p>
        </w:tc>
        <w:tc>
          <w:tcPr>
            <w:tcW w:w="785"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 xml:space="preserve">Total </w:t>
            </w:r>
          </w:p>
        </w:tc>
      </w:tr>
      <w:tr w:rsidR="00EE67C0" w:rsidRPr="00520549" w:rsidTr="006E0449">
        <w:trPr>
          <w:trHeight w:val="525"/>
        </w:trPr>
        <w:tc>
          <w:tcPr>
            <w:tcW w:w="1343"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Listed on SEM</w:t>
            </w:r>
          </w:p>
        </w:tc>
        <w:tc>
          <w:tcPr>
            <w:tcW w:w="132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6</w:t>
            </w:r>
          </w:p>
        </w:tc>
        <w:tc>
          <w:tcPr>
            <w:tcW w:w="133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17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78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7</w:t>
            </w:r>
          </w:p>
        </w:tc>
      </w:tr>
      <w:tr w:rsidR="00EE67C0" w:rsidRPr="00520549" w:rsidTr="006E0449">
        <w:trPr>
          <w:trHeight w:val="525"/>
        </w:trPr>
        <w:tc>
          <w:tcPr>
            <w:tcW w:w="1343"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FSC</w:t>
            </w:r>
          </w:p>
        </w:tc>
        <w:tc>
          <w:tcPr>
            <w:tcW w:w="132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3</w:t>
            </w:r>
          </w:p>
        </w:tc>
        <w:tc>
          <w:tcPr>
            <w:tcW w:w="133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17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78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w:t>
            </w:r>
          </w:p>
        </w:tc>
      </w:tr>
      <w:tr w:rsidR="00EE67C0" w:rsidRPr="00520549" w:rsidTr="006E0449">
        <w:trPr>
          <w:trHeight w:val="525"/>
        </w:trPr>
        <w:tc>
          <w:tcPr>
            <w:tcW w:w="1343"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BOM</w:t>
            </w:r>
          </w:p>
        </w:tc>
        <w:tc>
          <w:tcPr>
            <w:tcW w:w="132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33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 -</w:t>
            </w:r>
          </w:p>
        </w:tc>
        <w:tc>
          <w:tcPr>
            <w:tcW w:w="117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78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w:t>
            </w:r>
          </w:p>
        </w:tc>
      </w:tr>
      <w:tr w:rsidR="00EE67C0" w:rsidRPr="00520549" w:rsidTr="006E0449">
        <w:trPr>
          <w:trHeight w:val="270"/>
        </w:trPr>
        <w:tc>
          <w:tcPr>
            <w:tcW w:w="1343"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4F6F5A">
              <w:rPr>
                <w:rFonts w:ascii="Calibri" w:hAnsi="Calibri" w:cs="Arial"/>
                <w:sz w:val="18"/>
                <w:szCs w:val="18"/>
              </w:rPr>
              <w:t>Category 4 PIEs as per the FRA</w:t>
            </w:r>
          </w:p>
        </w:tc>
        <w:tc>
          <w:tcPr>
            <w:tcW w:w="132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14</w:t>
            </w:r>
          </w:p>
        </w:tc>
        <w:tc>
          <w:tcPr>
            <w:tcW w:w="133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8</w:t>
            </w:r>
          </w:p>
        </w:tc>
        <w:tc>
          <w:tcPr>
            <w:tcW w:w="117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8</w:t>
            </w:r>
          </w:p>
        </w:tc>
        <w:tc>
          <w:tcPr>
            <w:tcW w:w="78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30</w:t>
            </w:r>
          </w:p>
        </w:tc>
      </w:tr>
      <w:tr w:rsidR="00EE67C0" w:rsidRPr="00520549" w:rsidTr="006E0449">
        <w:trPr>
          <w:trHeight w:val="270"/>
        </w:trPr>
        <w:tc>
          <w:tcPr>
            <w:tcW w:w="1343"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cs="Arial"/>
                <w:b/>
                <w:bCs/>
                <w:sz w:val="18"/>
                <w:szCs w:val="18"/>
              </w:rPr>
            </w:pPr>
            <w:r w:rsidRPr="00520549">
              <w:rPr>
                <w:rFonts w:ascii="Calibri" w:hAnsi="Calibri" w:cs="Arial"/>
                <w:b/>
                <w:bCs/>
                <w:sz w:val="18"/>
                <w:szCs w:val="18"/>
              </w:rPr>
              <w:t xml:space="preserve">Total </w:t>
            </w:r>
          </w:p>
        </w:tc>
        <w:tc>
          <w:tcPr>
            <w:tcW w:w="132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25</w:t>
            </w:r>
          </w:p>
        </w:tc>
        <w:tc>
          <w:tcPr>
            <w:tcW w:w="133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10</w:t>
            </w:r>
          </w:p>
        </w:tc>
        <w:tc>
          <w:tcPr>
            <w:tcW w:w="117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9</w:t>
            </w:r>
          </w:p>
        </w:tc>
        <w:tc>
          <w:tcPr>
            <w:tcW w:w="78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44</w:t>
            </w:r>
          </w:p>
        </w:tc>
      </w:tr>
    </w:tbl>
    <w:p w:rsidR="00EE67C0" w:rsidRPr="00520549" w:rsidRDefault="00EE67C0" w:rsidP="00E90D02">
      <w:pPr>
        <w:tabs>
          <w:tab w:val="left" w:pos="270"/>
          <w:tab w:val="left" w:pos="300"/>
          <w:tab w:val="left" w:pos="2520"/>
        </w:tabs>
        <w:jc w:val="both"/>
        <w:rPr>
          <w:rFonts w:ascii="Calibri" w:hAnsi="Calibri"/>
        </w:rPr>
      </w:pPr>
    </w:p>
    <w:p w:rsidR="00EE67C0" w:rsidRPr="00520549" w:rsidRDefault="00EE67C0" w:rsidP="006E0449">
      <w:pPr>
        <w:tabs>
          <w:tab w:val="left" w:pos="270"/>
          <w:tab w:val="left" w:pos="300"/>
          <w:tab w:val="left" w:pos="2160"/>
        </w:tabs>
        <w:ind w:left="2160"/>
        <w:jc w:val="both"/>
        <w:rPr>
          <w:rFonts w:ascii="Calibri" w:hAnsi="Calibri"/>
        </w:rPr>
      </w:pPr>
      <w:r w:rsidRPr="00520549">
        <w:rPr>
          <w:rFonts w:ascii="Calibri" w:hAnsi="Calibri"/>
        </w:rPr>
        <w:t>The explanations provided for not complying with this section of the code of corporate governance included the following:</w:t>
      </w:r>
    </w:p>
    <w:p w:rsidR="00EE67C0" w:rsidRPr="00520549" w:rsidRDefault="00EE67C0" w:rsidP="00ED68ED">
      <w:pPr>
        <w:tabs>
          <w:tab w:val="left" w:pos="270"/>
          <w:tab w:val="left" w:pos="300"/>
          <w:tab w:val="left" w:pos="2520"/>
        </w:tabs>
        <w:ind w:left="1800"/>
        <w:jc w:val="both"/>
        <w:rPr>
          <w:rFonts w:ascii="Calibri" w:hAnsi="Calibri"/>
        </w:rPr>
      </w:pPr>
    </w:p>
    <w:p w:rsidR="00EE67C0" w:rsidRPr="00520549" w:rsidRDefault="00EE67C0" w:rsidP="008D126B">
      <w:pPr>
        <w:pStyle w:val="ListParagraph"/>
        <w:numPr>
          <w:ilvl w:val="0"/>
          <w:numId w:val="18"/>
        </w:numPr>
        <w:tabs>
          <w:tab w:val="left" w:pos="270"/>
          <w:tab w:val="left" w:pos="300"/>
          <w:tab w:val="left" w:pos="2520"/>
        </w:tabs>
        <w:contextualSpacing/>
        <w:jc w:val="both"/>
        <w:rPr>
          <w:rFonts w:ascii="Calibri" w:hAnsi="Calibri"/>
        </w:rPr>
      </w:pPr>
      <w:r w:rsidRPr="00520549">
        <w:rPr>
          <w:rFonts w:ascii="Calibri" w:hAnsi="Calibri"/>
        </w:rPr>
        <w:t>The entity was taking all the necessary steps to appoint additional independent directors;</w:t>
      </w:r>
    </w:p>
    <w:p w:rsidR="00EE67C0" w:rsidRPr="00520549" w:rsidRDefault="00EE67C0" w:rsidP="008D126B">
      <w:pPr>
        <w:pStyle w:val="ListParagraph"/>
        <w:numPr>
          <w:ilvl w:val="0"/>
          <w:numId w:val="18"/>
        </w:numPr>
        <w:tabs>
          <w:tab w:val="left" w:pos="270"/>
          <w:tab w:val="left" w:pos="300"/>
          <w:tab w:val="left" w:pos="2520"/>
        </w:tabs>
        <w:contextualSpacing/>
        <w:jc w:val="both"/>
        <w:rPr>
          <w:rFonts w:ascii="Calibri" w:hAnsi="Calibri"/>
        </w:rPr>
      </w:pPr>
      <w:r w:rsidRPr="00520549">
        <w:rPr>
          <w:rFonts w:ascii="Calibri" w:hAnsi="Calibri"/>
        </w:rPr>
        <w:t>The directors of the company believed that the Board composition was adequate due to the size and complexity of the business; and</w:t>
      </w:r>
    </w:p>
    <w:p w:rsidR="00EE67C0" w:rsidRPr="00520549" w:rsidRDefault="00EE67C0" w:rsidP="008D126B">
      <w:pPr>
        <w:pStyle w:val="ListParagraph"/>
        <w:numPr>
          <w:ilvl w:val="0"/>
          <w:numId w:val="18"/>
        </w:numPr>
        <w:tabs>
          <w:tab w:val="left" w:pos="270"/>
          <w:tab w:val="left" w:pos="300"/>
          <w:tab w:val="left" w:pos="2520"/>
        </w:tabs>
        <w:contextualSpacing/>
        <w:jc w:val="both"/>
        <w:rPr>
          <w:rFonts w:ascii="Calibri" w:hAnsi="Calibri"/>
        </w:rPr>
      </w:pPr>
      <w:r w:rsidRPr="00520549">
        <w:rPr>
          <w:rFonts w:ascii="Calibri" w:hAnsi="Calibri"/>
        </w:rPr>
        <w:t>A representative attends all Board/Committee meetings and contributes in the decision-making process and affairs of the entity.</w:t>
      </w:r>
    </w:p>
    <w:p w:rsidR="00EE67C0" w:rsidRPr="00520549" w:rsidRDefault="00EE67C0" w:rsidP="00ED68ED">
      <w:pPr>
        <w:pStyle w:val="ListParagraph"/>
        <w:tabs>
          <w:tab w:val="left" w:pos="270"/>
          <w:tab w:val="left" w:pos="300"/>
          <w:tab w:val="left" w:pos="2520"/>
        </w:tabs>
        <w:ind w:left="2880"/>
        <w:jc w:val="both"/>
        <w:rPr>
          <w:rFonts w:ascii="Calibri" w:hAnsi="Calibri"/>
        </w:rPr>
      </w:pPr>
    </w:p>
    <w:p w:rsidR="00EE67C0" w:rsidRPr="00520549" w:rsidRDefault="00EE67C0" w:rsidP="008D126B">
      <w:pPr>
        <w:pStyle w:val="ListParagraph"/>
        <w:numPr>
          <w:ilvl w:val="0"/>
          <w:numId w:val="15"/>
        </w:numPr>
        <w:tabs>
          <w:tab w:val="left" w:pos="270"/>
          <w:tab w:val="left" w:pos="300"/>
        </w:tabs>
        <w:ind w:left="2250" w:hanging="720"/>
        <w:contextualSpacing/>
        <w:jc w:val="both"/>
        <w:rPr>
          <w:rFonts w:ascii="Calibri" w:hAnsi="Calibri"/>
        </w:rPr>
      </w:pPr>
      <w:r w:rsidRPr="00520549">
        <w:rPr>
          <w:rFonts w:ascii="Calibri" w:hAnsi="Calibri"/>
        </w:rPr>
        <w:t xml:space="preserve">The minimum requirement of having 2 executive directors in the board of directors </w:t>
      </w:r>
    </w:p>
    <w:p w:rsidR="00EE67C0" w:rsidRPr="00520549" w:rsidRDefault="00EE67C0" w:rsidP="00ED68ED">
      <w:pPr>
        <w:rPr>
          <w:rFonts w:ascii="Calibri" w:hAnsi="Calibri" w:cs="Calibri"/>
        </w:rPr>
      </w:pPr>
    </w:p>
    <w:p w:rsidR="00EE67C0" w:rsidRPr="00520549" w:rsidRDefault="00EE67C0" w:rsidP="006E0449">
      <w:pPr>
        <w:ind w:left="2250"/>
        <w:jc w:val="both"/>
        <w:rPr>
          <w:rFonts w:ascii="Calibri" w:hAnsi="Calibri"/>
        </w:rPr>
      </w:pPr>
      <w:r w:rsidRPr="00520549">
        <w:rPr>
          <w:rFonts w:ascii="Calibri" w:hAnsi="Calibri"/>
        </w:rPr>
        <w:t xml:space="preserve">The figure below, indicates the level of compliance with the minimum requirement of having 2 executive directors in their boards. </w:t>
      </w:r>
    </w:p>
    <w:p w:rsidR="00EE67C0" w:rsidRPr="00520549" w:rsidRDefault="00EE67C0" w:rsidP="00ED68ED">
      <w:pPr>
        <w:ind w:left="2520"/>
        <w:jc w:val="both"/>
        <w:rPr>
          <w:rFonts w:ascii="Calibri" w:hAnsi="Calibri"/>
        </w:rPr>
      </w:pPr>
    </w:p>
    <w:p w:rsidR="00EE67C0" w:rsidRPr="00520549" w:rsidRDefault="00EE67C0" w:rsidP="00ED68ED">
      <w:pPr>
        <w:ind w:left="2520"/>
        <w:jc w:val="both"/>
        <w:rPr>
          <w:rFonts w:ascii="Calibri" w:hAnsi="Calibri"/>
        </w:rPr>
      </w:pPr>
    </w:p>
    <w:p w:rsidR="00EE67C0" w:rsidRDefault="00EE67C0" w:rsidP="00ED68ED">
      <w:pPr>
        <w:ind w:left="2520"/>
        <w:jc w:val="both"/>
        <w:rPr>
          <w:rFonts w:ascii="Calibri" w:hAnsi="Calibri"/>
        </w:rPr>
      </w:pPr>
    </w:p>
    <w:p w:rsidR="00EE67C0" w:rsidRPr="00520549" w:rsidRDefault="00EE67C0" w:rsidP="00ED68ED">
      <w:pPr>
        <w:ind w:left="2520"/>
        <w:jc w:val="both"/>
        <w:rPr>
          <w:rFonts w:ascii="Calibri" w:hAnsi="Calibri"/>
        </w:rPr>
      </w:pPr>
    </w:p>
    <w:p w:rsidR="00EE67C0" w:rsidRPr="00520549" w:rsidRDefault="00EE67C0" w:rsidP="00ED68ED">
      <w:pPr>
        <w:ind w:left="2520"/>
        <w:jc w:val="both"/>
        <w:rPr>
          <w:rFonts w:ascii="Calibri" w:hAnsi="Calibri"/>
        </w:rPr>
      </w:pPr>
    </w:p>
    <w:tbl>
      <w:tblPr>
        <w:tblW w:w="6230" w:type="dxa"/>
        <w:tblInd w:w="2240" w:type="dxa"/>
        <w:tblLook w:val="00A0"/>
      </w:tblPr>
      <w:tblGrid>
        <w:gridCol w:w="1667"/>
        <w:gridCol w:w="1504"/>
        <w:gridCol w:w="1174"/>
        <w:gridCol w:w="1159"/>
        <w:gridCol w:w="726"/>
      </w:tblGrid>
      <w:tr w:rsidR="00EE67C0" w:rsidRPr="00520549" w:rsidTr="006E0449">
        <w:trPr>
          <w:trHeight w:val="270"/>
        </w:trPr>
        <w:tc>
          <w:tcPr>
            <w:tcW w:w="1667"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EE67C0" w:rsidRPr="00520549" w:rsidRDefault="00EE67C0" w:rsidP="00ED68ED">
            <w:pPr>
              <w:jc w:val="center"/>
              <w:rPr>
                <w:rFonts w:ascii="Calibri" w:hAnsi="Calibri" w:cs="Arial"/>
                <w:b/>
                <w:bCs/>
                <w:sz w:val="16"/>
                <w:szCs w:val="18"/>
                <w:lang w:val="en-GB" w:eastAsia="en-GB"/>
              </w:rPr>
            </w:pPr>
            <w:r w:rsidRPr="00520549">
              <w:rPr>
                <w:rFonts w:ascii="Calibri" w:hAnsi="Calibri" w:cs="Arial"/>
                <w:b/>
                <w:bCs/>
                <w:sz w:val="16"/>
                <w:szCs w:val="18"/>
              </w:rPr>
              <w:t>PIEs</w:t>
            </w:r>
          </w:p>
        </w:tc>
        <w:tc>
          <w:tcPr>
            <w:tcW w:w="4563" w:type="dxa"/>
            <w:gridSpan w:val="4"/>
            <w:tcBorders>
              <w:top w:val="single" w:sz="8" w:space="0" w:color="auto"/>
              <w:left w:val="nil"/>
              <w:bottom w:val="single" w:sz="8" w:space="0" w:color="auto"/>
              <w:right w:val="single" w:sz="8" w:space="0" w:color="000000"/>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Section 2.2.3</w:t>
            </w:r>
          </w:p>
        </w:tc>
      </w:tr>
      <w:tr w:rsidR="00EE67C0" w:rsidRPr="00520549" w:rsidTr="006E0449">
        <w:trPr>
          <w:trHeight w:val="1870"/>
        </w:trPr>
        <w:tc>
          <w:tcPr>
            <w:tcW w:w="1667" w:type="dxa"/>
            <w:vMerge/>
            <w:tcBorders>
              <w:top w:val="single" w:sz="8" w:space="0" w:color="auto"/>
              <w:left w:val="single" w:sz="8" w:space="0" w:color="auto"/>
              <w:bottom w:val="single" w:sz="8" w:space="0" w:color="000000"/>
              <w:right w:val="single" w:sz="8" w:space="0" w:color="auto"/>
            </w:tcBorders>
            <w:vAlign w:val="center"/>
          </w:tcPr>
          <w:p w:rsidR="00EE67C0" w:rsidRPr="00520549" w:rsidRDefault="00EE67C0" w:rsidP="00ED68ED">
            <w:pPr>
              <w:rPr>
                <w:rFonts w:ascii="Calibri" w:hAnsi="Calibri" w:cs="Arial"/>
                <w:b/>
                <w:bCs/>
                <w:sz w:val="16"/>
                <w:szCs w:val="18"/>
              </w:rPr>
            </w:pPr>
          </w:p>
        </w:tc>
        <w:tc>
          <w:tcPr>
            <w:tcW w:w="1504"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 xml:space="preserve">Reported on the requirement that  all boards should have at least two executives as members </w:t>
            </w:r>
          </w:p>
        </w:tc>
        <w:tc>
          <w:tcPr>
            <w:tcW w:w="1174"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Explanations provided</w:t>
            </w:r>
          </w:p>
        </w:tc>
        <w:tc>
          <w:tcPr>
            <w:tcW w:w="1159"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Not Reported on the requirement that all boards should have at least two executives as members</w:t>
            </w:r>
          </w:p>
        </w:tc>
        <w:tc>
          <w:tcPr>
            <w:tcW w:w="726"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 xml:space="preserve">Total </w:t>
            </w:r>
          </w:p>
        </w:tc>
      </w:tr>
      <w:tr w:rsidR="00EE67C0" w:rsidRPr="00520549" w:rsidTr="006E0449">
        <w:trPr>
          <w:trHeight w:val="525"/>
        </w:trPr>
        <w:tc>
          <w:tcPr>
            <w:tcW w:w="166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Listed on SEM</w:t>
            </w:r>
          </w:p>
        </w:tc>
        <w:tc>
          <w:tcPr>
            <w:tcW w:w="150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5</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15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72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7</w:t>
            </w:r>
          </w:p>
        </w:tc>
      </w:tr>
      <w:tr w:rsidR="00EE67C0" w:rsidRPr="00520549" w:rsidTr="006E0449">
        <w:trPr>
          <w:trHeight w:val="525"/>
        </w:trPr>
        <w:tc>
          <w:tcPr>
            <w:tcW w:w="166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FSC</w:t>
            </w:r>
          </w:p>
        </w:tc>
        <w:tc>
          <w:tcPr>
            <w:tcW w:w="150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15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72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w:t>
            </w:r>
          </w:p>
        </w:tc>
      </w:tr>
      <w:tr w:rsidR="00EE67C0" w:rsidRPr="00520549" w:rsidTr="006E0449">
        <w:trPr>
          <w:trHeight w:val="525"/>
        </w:trPr>
        <w:tc>
          <w:tcPr>
            <w:tcW w:w="166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BOM</w:t>
            </w:r>
          </w:p>
        </w:tc>
        <w:tc>
          <w:tcPr>
            <w:tcW w:w="150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15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 -</w:t>
            </w:r>
          </w:p>
        </w:tc>
        <w:tc>
          <w:tcPr>
            <w:tcW w:w="72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w:t>
            </w:r>
          </w:p>
        </w:tc>
      </w:tr>
      <w:tr w:rsidR="00EE67C0" w:rsidRPr="00520549" w:rsidTr="006E0449">
        <w:trPr>
          <w:trHeight w:val="270"/>
        </w:trPr>
        <w:tc>
          <w:tcPr>
            <w:tcW w:w="166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4F6F5A">
              <w:rPr>
                <w:rFonts w:ascii="Calibri" w:hAnsi="Calibri" w:cs="Arial"/>
                <w:sz w:val="18"/>
                <w:szCs w:val="18"/>
              </w:rPr>
              <w:t>Category 4 PIEs as per the FRA</w:t>
            </w:r>
          </w:p>
        </w:tc>
        <w:tc>
          <w:tcPr>
            <w:tcW w:w="150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18</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6</w:t>
            </w:r>
          </w:p>
        </w:tc>
        <w:tc>
          <w:tcPr>
            <w:tcW w:w="115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6</w:t>
            </w:r>
          </w:p>
        </w:tc>
        <w:tc>
          <w:tcPr>
            <w:tcW w:w="72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30</w:t>
            </w:r>
          </w:p>
        </w:tc>
      </w:tr>
      <w:tr w:rsidR="00EE67C0" w:rsidRPr="00520549" w:rsidTr="006E0449">
        <w:trPr>
          <w:trHeight w:val="270"/>
        </w:trPr>
        <w:tc>
          <w:tcPr>
            <w:tcW w:w="1667"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cs="Arial"/>
                <w:b/>
                <w:bCs/>
                <w:sz w:val="18"/>
                <w:szCs w:val="18"/>
              </w:rPr>
            </w:pPr>
            <w:r w:rsidRPr="00520549">
              <w:rPr>
                <w:rFonts w:ascii="Calibri" w:hAnsi="Calibri" w:cs="Arial"/>
                <w:b/>
                <w:bCs/>
                <w:sz w:val="18"/>
                <w:szCs w:val="18"/>
              </w:rPr>
              <w:t xml:space="preserve">Total </w:t>
            </w:r>
          </w:p>
        </w:tc>
        <w:tc>
          <w:tcPr>
            <w:tcW w:w="150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27</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10</w:t>
            </w:r>
          </w:p>
        </w:tc>
        <w:tc>
          <w:tcPr>
            <w:tcW w:w="115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7</w:t>
            </w:r>
          </w:p>
        </w:tc>
        <w:tc>
          <w:tcPr>
            <w:tcW w:w="72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44</w:t>
            </w:r>
          </w:p>
        </w:tc>
      </w:tr>
    </w:tbl>
    <w:p w:rsidR="00EE67C0" w:rsidRPr="00520549" w:rsidRDefault="00EE67C0" w:rsidP="00ED68ED">
      <w:pPr>
        <w:ind w:left="2520"/>
        <w:jc w:val="both"/>
        <w:rPr>
          <w:rFonts w:ascii="Calibri" w:hAnsi="Calibri"/>
        </w:rPr>
      </w:pPr>
    </w:p>
    <w:p w:rsidR="00EE67C0" w:rsidRPr="00520549" w:rsidRDefault="00EE67C0" w:rsidP="006E0449">
      <w:pPr>
        <w:tabs>
          <w:tab w:val="left" w:pos="2520"/>
        </w:tabs>
        <w:ind w:left="2160"/>
        <w:jc w:val="both"/>
        <w:rPr>
          <w:rFonts w:ascii="Calibri" w:hAnsi="Calibri"/>
        </w:rPr>
      </w:pPr>
      <w:r w:rsidRPr="00520549">
        <w:rPr>
          <w:rFonts w:ascii="Calibri" w:hAnsi="Calibri"/>
        </w:rPr>
        <w:t>27 out of 44 PIEs met the minimum requirement of the code of corporate governance. The rest explained the reasons for not having executive directors on its board.</w:t>
      </w:r>
    </w:p>
    <w:p w:rsidR="00EE67C0" w:rsidRPr="00520549" w:rsidRDefault="00EE67C0" w:rsidP="00ED68ED">
      <w:pPr>
        <w:ind w:left="2250"/>
        <w:jc w:val="both"/>
        <w:rPr>
          <w:rFonts w:ascii="Calibri" w:hAnsi="Calibri"/>
        </w:rPr>
      </w:pPr>
    </w:p>
    <w:p w:rsidR="00EE67C0" w:rsidRPr="00520549" w:rsidRDefault="00EE67C0" w:rsidP="006E0449">
      <w:pPr>
        <w:ind w:left="2160"/>
        <w:jc w:val="both"/>
        <w:rPr>
          <w:rFonts w:ascii="Calibri" w:hAnsi="Calibri"/>
        </w:rPr>
      </w:pPr>
      <w:r w:rsidRPr="00520549">
        <w:rPr>
          <w:rFonts w:ascii="Calibri" w:hAnsi="Calibri"/>
        </w:rPr>
        <w:t>The explanations provided by the PIEs were described below:</w:t>
      </w:r>
    </w:p>
    <w:p w:rsidR="00EE67C0" w:rsidRPr="00520549" w:rsidRDefault="00EE67C0" w:rsidP="006E0449">
      <w:pPr>
        <w:ind w:left="2160"/>
        <w:jc w:val="both"/>
        <w:rPr>
          <w:rFonts w:ascii="Calibri" w:hAnsi="Calibri"/>
        </w:rPr>
      </w:pPr>
    </w:p>
    <w:p w:rsidR="00EE67C0" w:rsidRPr="00520549" w:rsidRDefault="00EE67C0" w:rsidP="008D126B">
      <w:pPr>
        <w:pStyle w:val="ListParagraph"/>
        <w:numPr>
          <w:ilvl w:val="0"/>
          <w:numId w:val="19"/>
        </w:numPr>
        <w:ind w:left="2520"/>
        <w:contextualSpacing/>
        <w:jc w:val="both"/>
        <w:rPr>
          <w:rFonts w:ascii="Calibri" w:hAnsi="Calibri"/>
        </w:rPr>
      </w:pPr>
      <w:r w:rsidRPr="00520549">
        <w:rPr>
          <w:rFonts w:ascii="Calibri" w:hAnsi="Calibri"/>
        </w:rPr>
        <w:t>The Board was of the opinion that its size and composition were optimal for the effective execution of its responsibilities;</w:t>
      </w:r>
    </w:p>
    <w:p w:rsidR="00EE67C0" w:rsidRPr="00520549" w:rsidRDefault="00EE67C0" w:rsidP="008D126B">
      <w:pPr>
        <w:pStyle w:val="ListParagraph"/>
        <w:numPr>
          <w:ilvl w:val="0"/>
          <w:numId w:val="19"/>
        </w:numPr>
        <w:ind w:left="2520"/>
        <w:contextualSpacing/>
        <w:jc w:val="both"/>
        <w:rPr>
          <w:rFonts w:ascii="Calibri" w:hAnsi="Calibri"/>
        </w:rPr>
      </w:pPr>
      <w:r w:rsidRPr="00520549">
        <w:rPr>
          <w:rFonts w:ascii="Calibri" w:hAnsi="Calibri"/>
        </w:rPr>
        <w:t>The Co</w:t>
      </w:r>
      <w:r>
        <w:rPr>
          <w:rFonts w:ascii="Calibri" w:hAnsi="Calibri"/>
        </w:rPr>
        <w:t>mpany</w:t>
      </w:r>
      <w:r w:rsidRPr="00520549">
        <w:rPr>
          <w:rFonts w:ascii="Calibri" w:hAnsi="Calibri"/>
        </w:rPr>
        <w:t xml:space="preserve"> entered into a management agreement </w:t>
      </w:r>
      <w:r>
        <w:rPr>
          <w:rFonts w:ascii="Calibri" w:hAnsi="Calibri"/>
        </w:rPr>
        <w:t xml:space="preserve">with an entity </w:t>
      </w:r>
      <w:r w:rsidRPr="00520549">
        <w:rPr>
          <w:rFonts w:ascii="Calibri" w:hAnsi="Calibri"/>
        </w:rPr>
        <w:t xml:space="preserve">which is the operator and manager and had exclusive responsibility and full control </w:t>
      </w:r>
      <w:r>
        <w:rPr>
          <w:rFonts w:ascii="Calibri" w:hAnsi="Calibri"/>
        </w:rPr>
        <w:t>in</w:t>
      </w:r>
      <w:r w:rsidRPr="00520549">
        <w:rPr>
          <w:rFonts w:ascii="Calibri" w:hAnsi="Calibri"/>
        </w:rPr>
        <w:t xml:space="preserve"> the operation and management of the </w:t>
      </w:r>
      <w:r>
        <w:rPr>
          <w:rFonts w:ascii="Calibri" w:hAnsi="Calibri"/>
        </w:rPr>
        <w:t>company’s business</w:t>
      </w:r>
      <w:r w:rsidRPr="00520549">
        <w:rPr>
          <w:rFonts w:ascii="Calibri" w:hAnsi="Calibri"/>
        </w:rPr>
        <w:t>;</w:t>
      </w:r>
    </w:p>
    <w:p w:rsidR="00EE67C0" w:rsidRPr="00520549" w:rsidRDefault="00EE67C0" w:rsidP="008D126B">
      <w:pPr>
        <w:pStyle w:val="ListParagraph"/>
        <w:numPr>
          <w:ilvl w:val="0"/>
          <w:numId w:val="19"/>
        </w:numPr>
        <w:ind w:left="2520"/>
        <w:contextualSpacing/>
        <w:jc w:val="both"/>
        <w:rPr>
          <w:rFonts w:ascii="Calibri" w:hAnsi="Calibri"/>
        </w:rPr>
      </w:pPr>
      <w:r w:rsidRPr="00520549">
        <w:rPr>
          <w:rFonts w:ascii="Calibri" w:hAnsi="Calibri"/>
        </w:rPr>
        <w:t>A representative attended all Board/Committee meetings and contributed in the decision-making process and affairs of the entity;</w:t>
      </w:r>
    </w:p>
    <w:p w:rsidR="00EE67C0" w:rsidRPr="00520549" w:rsidRDefault="00EE67C0" w:rsidP="008D126B">
      <w:pPr>
        <w:pStyle w:val="ListParagraph"/>
        <w:numPr>
          <w:ilvl w:val="0"/>
          <w:numId w:val="19"/>
        </w:numPr>
        <w:ind w:left="2520"/>
        <w:contextualSpacing/>
        <w:jc w:val="both"/>
        <w:rPr>
          <w:rFonts w:ascii="Calibri" w:hAnsi="Calibri"/>
        </w:rPr>
      </w:pPr>
      <w:r w:rsidRPr="00520549">
        <w:rPr>
          <w:rFonts w:ascii="Calibri" w:hAnsi="Calibri"/>
        </w:rPr>
        <w:t>The Board was satisfied that given the size and structure of the company, appointment of a second executive director was considered not to be necessary. The company also had a strong executive senior management who attended and participated in board meetings; and</w:t>
      </w:r>
    </w:p>
    <w:p w:rsidR="00EE67C0" w:rsidRDefault="00EE67C0" w:rsidP="008D126B">
      <w:pPr>
        <w:pStyle w:val="ListParagraph"/>
        <w:numPr>
          <w:ilvl w:val="0"/>
          <w:numId w:val="19"/>
        </w:numPr>
        <w:ind w:left="2520"/>
        <w:contextualSpacing/>
        <w:jc w:val="both"/>
        <w:rPr>
          <w:rFonts w:ascii="Calibri" w:hAnsi="Calibri"/>
        </w:rPr>
      </w:pPr>
      <w:r w:rsidRPr="00520549">
        <w:rPr>
          <w:rFonts w:ascii="Calibri" w:hAnsi="Calibri"/>
        </w:rPr>
        <w:t>The officer in charge was an executive director of the Board. Moreover, the shareholders had appointed an Acting Chief Executive Officer, subject to regulatory approvals.</w:t>
      </w:r>
    </w:p>
    <w:p w:rsidR="00EE67C0" w:rsidRPr="00520549" w:rsidRDefault="00EE67C0" w:rsidP="004F6F5A">
      <w:pPr>
        <w:pStyle w:val="ListParagraph"/>
        <w:ind w:left="2520"/>
        <w:contextualSpacing/>
        <w:jc w:val="both"/>
        <w:rPr>
          <w:rFonts w:ascii="Calibri" w:hAnsi="Calibri"/>
        </w:rPr>
      </w:pPr>
    </w:p>
    <w:p w:rsidR="00EE67C0" w:rsidRPr="00520549" w:rsidRDefault="00EE67C0" w:rsidP="008D126B">
      <w:pPr>
        <w:pStyle w:val="ListParagraph"/>
        <w:numPr>
          <w:ilvl w:val="0"/>
          <w:numId w:val="14"/>
        </w:numPr>
        <w:ind w:left="1800"/>
        <w:contextualSpacing/>
        <w:rPr>
          <w:rFonts w:ascii="Calibri" w:hAnsi="Calibri"/>
          <w:b/>
        </w:rPr>
      </w:pPr>
      <w:r w:rsidRPr="00520549">
        <w:rPr>
          <w:rFonts w:ascii="Calibri" w:hAnsi="Calibri"/>
          <w:b/>
        </w:rPr>
        <w:t>Information on Board Committees</w:t>
      </w:r>
    </w:p>
    <w:p w:rsidR="00EE67C0" w:rsidRPr="00520549" w:rsidRDefault="00EE67C0" w:rsidP="00ED68ED">
      <w:pPr>
        <w:ind w:left="2880"/>
        <w:jc w:val="both"/>
        <w:rPr>
          <w:rFonts w:ascii="Calibri" w:hAnsi="Calibri"/>
        </w:rPr>
      </w:pPr>
    </w:p>
    <w:p w:rsidR="00EE67C0" w:rsidRPr="00520549" w:rsidRDefault="00EE67C0" w:rsidP="006E0449">
      <w:pPr>
        <w:ind w:left="1800"/>
        <w:jc w:val="both"/>
        <w:rPr>
          <w:rFonts w:ascii="Calibri" w:hAnsi="Calibri"/>
        </w:rPr>
      </w:pPr>
      <w:r w:rsidRPr="00520549">
        <w:rPr>
          <w:rFonts w:ascii="Calibri" w:hAnsi="Calibri"/>
        </w:rPr>
        <w:t xml:space="preserve">Board committees are a mechanism to assist the board and its directors in discharging their duties through a more comprehensive evaluation of specific issues.As per the code of corporate governance, all companies should have, at a minimum, an audit committee and a corporate governance committee except for, subsidiary companies which would not be expected to have separate sets of board committees. </w:t>
      </w:r>
    </w:p>
    <w:p w:rsidR="00EE67C0" w:rsidRPr="00520549" w:rsidRDefault="00EE67C0" w:rsidP="00ED68ED">
      <w:pPr>
        <w:pStyle w:val="ListParagraph"/>
        <w:ind w:left="2160"/>
        <w:jc w:val="both"/>
        <w:rPr>
          <w:rFonts w:ascii="Calibri" w:hAnsi="Calibri"/>
        </w:rPr>
      </w:pPr>
    </w:p>
    <w:p w:rsidR="00EE67C0" w:rsidRDefault="00EE67C0" w:rsidP="006E0449">
      <w:pPr>
        <w:pStyle w:val="ListParagraph"/>
        <w:ind w:left="1800"/>
        <w:jc w:val="both"/>
        <w:rPr>
          <w:rFonts w:ascii="Calibri" w:hAnsi="Calibri"/>
        </w:rPr>
      </w:pPr>
      <w:r w:rsidRPr="00520549">
        <w:rPr>
          <w:rFonts w:ascii="Calibri" w:hAnsi="Calibri"/>
        </w:rPr>
        <w:t xml:space="preserve">From the table below, </w:t>
      </w:r>
      <w:r>
        <w:rPr>
          <w:rFonts w:ascii="Calibri" w:hAnsi="Calibri"/>
        </w:rPr>
        <w:t>FRC noted the following:</w:t>
      </w:r>
    </w:p>
    <w:p w:rsidR="00EE67C0" w:rsidRDefault="00EE67C0" w:rsidP="006E0449">
      <w:pPr>
        <w:pStyle w:val="ListParagraph"/>
        <w:ind w:left="1800"/>
        <w:jc w:val="both"/>
        <w:rPr>
          <w:rFonts w:ascii="Calibri" w:hAnsi="Calibri"/>
        </w:rPr>
      </w:pPr>
    </w:p>
    <w:p w:rsidR="00EE67C0" w:rsidRDefault="00EE67C0" w:rsidP="008D126B">
      <w:pPr>
        <w:pStyle w:val="ListParagraph"/>
        <w:numPr>
          <w:ilvl w:val="0"/>
          <w:numId w:val="15"/>
        </w:numPr>
        <w:ind w:left="2160"/>
        <w:jc w:val="both"/>
        <w:rPr>
          <w:rFonts w:ascii="Calibri" w:hAnsi="Calibri"/>
        </w:rPr>
      </w:pPr>
      <w:r w:rsidRPr="001F4FB9">
        <w:rPr>
          <w:rFonts w:ascii="Calibri" w:hAnsi="Calibri"/>
        </w:rPr>
        <w:t xml:space="preserve">20 out of the 44 PIEs had audit and </w:t>
      </w:r>
      <w:r>
        <w:rPr>
          <w:rFonts w:ascii="Calibri" w:hAnsi="Calibri"/>
        </w:rPr>
        <w:t>corporate governance committees.</w:t>
      </w:r>
    </w:p>
    <w:p w:rsidR="00EE67C0" w:rsidRDefault="00EE67C0" w:rsidP="008D126B">
      <w:pPr>
        <w:pStyle w:val="ListParagraph"/>
        <w:ind w:left="1440"/>
        <w:jc w:val="both"/>
        <w:rPr>
          <w:rFonts w:ascii="Calibri" w:hAnsi="Calibri"/>
        </w:rPr>
      </w:pPr>
    </w:p>
    <w:p w:rsidR="00EE67C0" w:rsidRPr="00520549" w:rsidRDefault="00EE67C0" w:rsidP="008D126B">
      <w:pPr>
        <w:pStyle w:val="ListParagraph"/>
        <w:numPr>
          <w:ilvl w:val="0"/>
          <w:numId w:val="15"/>
        </w:numPr>
        <w:ind w:left="2160"/>
        <w:jc w:val="both"/>
        <w:rPr>
          <w:rFonts w:ascii="Calibri" w:hAnsi="Calibri"/>
        </w:rPr>
      </w:pPr>
      <w:r w:rsidRPr="00520549">
        <w:rPr>
          <w:rFonts w:ascii="Calibri" w:hAnsi="Calibri"/>
        </w:rPr>
        <w:t>19 PIEs had not disclosed information on committees, but explanations provided in this regard. The PIEs explained the following:</w:t>
      </w:r>
    </w:p>
    <w:p w:rsidR="00EE67C0" w:rsidRPr="00520549" w:rsidRDefault="00EE67C0" w:rsidP="00ED68ED">
      <w:pPr>
        <w:pStyle w:val="ListParagraph"/>
        <w:ind w:left="2520" w:hanging="360"/>
        <w:jc w:val="both"/>
        <w:rPr>
          <w:rFonts w:ascii="Calibri" w:hAnsi="Calibri"/>
        </w:rPr>
      </w:pP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All matters were taken up at board level. As such no sub committees were established;</w:t>
      </w: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For the time being the board did not feel the need to implement local and independent committees because of its close collaboration with the existing group structures;</w:t>
      </w: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All corporate governance issues were considered by the committees formed by the holding company;</w:t>
      </w: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The ultimate holding company was responsible for board committees' issues;</w:t>
      </w: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Due to the size of the board and involvement of shareholders who were also directors of the company, no sub committees had been set up;</w:t>
      </w: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Board committees were functioning at the subsidiary level; and</w:t>
      </w:r>
    </w:p>
    <w:p w:rsidR="00EE67C0" w:rsidRPr="00520549" w:rsidRDefault="00EE67C0" w:rsidP="008D126B">
      <w:pPr>
        <w:pStyle w:val="ListParagraph"/>
        <w:numPr>
          <w:ilvl w:val="2"/>
          <w:numId w:val="31"/>
        </w:numPr>
        <w:ind w:left="2520"/>
        <w:contextualSpacing/>
        <w:jc w:val="both"/>
        <w:rPr>
          <w:rFonts w:ascii="Calibri" w:hAnsi="Calibri"/>
        </w:rPr>
      </w:pPr>
      <w:r w:rsidRPr="00520549">
        <w:rPr>
          <w:rFonts w:ascii="Calibri" w:hAnsi="Calibri"/>
        </w:rPr>
        <w:t>Having given due consideration to its business, its ownership and governance structures, the Board was of view that it would not bring additional benefits at this stage to set up any Board Committees to assist it in implementing the recommendations of the Code.</w:t>
      </w:r>
    </w:p>
    <w:p w:rsidR="00EE67C0" w:rsidRDefault="00EE67C0" w:rsidP="00ED68ED">
      <w:pPr>
        <w:pStyle w:val="ListParagraph"/>
        <w:ind w:left="2790"/>
        <w:contextualSpacing/>
        <w:jc w:val="both"/>
        <w:rPr>
          <w:rFonts w:ascii="Calibri" w:hAnsi="Calibri"/>
        </w:rPr>
      </w:pPr>
    </w:p>
    <w:p w:rsidR="00EE67C0" w:rsidRDefault="00EE67C0" w:rsidP="00ED68ED">
      <w:pPr>
        <w:pStyle w:val="ListParagraph"/>
        <w:ind w:left="2790"/>
        <w:contextualSpacing/>
        <w:jc w:val="both"/>
        <w:rPr>
          <w:rFonts w:ascii="Calibri" w:hAnsi="Calibri"/>
        </w:rPr>
      </w:pPr>
    </w:p>
    <w:tbl>
      <w:tblPr>
        <w:tblW w:w="6787" w:type="dxa"/>
        <w:tblInd w:w="1790" w:type="dxa"/>
        <w:tblLook w:val="00A0"/>
      </w:tblPr>
      <w:tblGrid>
        <w:gridCol w:w="1530"/>
        <w:gridCol w:w="1800"/>
        <w:gridCol w:w="1260"/>
        <w:gridCol w:w="1491"/>
        <w:gridCol w:w="706"/>
      </w:tblGrid>
      <w:tr w:rsidR="00EE67C0" w:rsidRPr="00520549" w:rsidTr="0090546C">
        <w:trPr>
          <w:trHeight w:val="270"/>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EE67C0" w:rsidRPr="00520549" w:rsidRDefault="00EE67C0" w:rsidP="00ED68ED">
            <w:pPr>
              <w:jc w:val="center"/>
              <w:rPr>
                <w:rFonts w:ascii="Calibri" w:hAnsi="Calibri" w:cs="Arial"/>
                <w:b/>
                <w:bCs/>
                <w:sz w:val="16"/>
                <w:szCs w:val="18"/>
                <w:lang w:val="en-GB" w:eastAsia="en-GB"/>
              </w:rPr>
            </w:pPr>
            <w:r w:rsidRPr="00520549">
              <w:rPr>
                <w:rFonts w:ascii="Calibri" w:hAnsi="Calibri" w:cs="Arial"/>
                <w:b/>
                <w:bCs/>
                <w:sz w:val="16"/>
                <w:szCs w:val="18"/>
              </w:rPr>
              <w:t>PIEs</w:t>
            </w:r>
          </w:p>
        </w:tc>
        <w:tc>
          <w:tcPr>
            <w:tcW w:w="5257" w:type="dxa"/>
            <w:gridSpan w:val="4"/>
            <w:tcBorders>
              <w:top w:val="single" w:sz="8" w:space="0" w:color="auto"/>
              <w:left w:val="nil"/>
              <w:bottom w:val="single" w:sz="8" w:space="0" w:color="auto"/>
              <w:right w:val="single" w:sz="8" w:space="0" w:color="000000"/>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Section 3.5</w:t>
            </w:r>
          </w:p>
        </w:tc>
      </w:tr>
      <w:tr w:rsidR="00EE67C0" w:rsidRPr="00520549" w:rsidTr="0090546C">
        <w:trPr>
          <w:trHeight w:val="1510"/>
        </w:trPr>
        <w:tc>
          <w:tcPr>
            <w:tcW w:w="1530" w:type="dxa"/>
            <w:vMerge/>
            <w:tcBorders>
              <w:top w:val="single" w:sz="8" w:space="0" w:color="auto"/>
              <w:left w:val="single" w:sz="8" w:space="0" w:color="auto"/>
              <w:bottom w:val="single" w:sz="8" w:space="0" w:color="000000"/>
              <w:right w:val="single" w:sz="8" w:space="0" w:color="auto"/>
            </w:tcBorders>
            <w:vAlign w:val="center"/>
          </w:tcPr>
          <w:p w:rsidR="00EE67C0" w:rsidRPr="00520549" w:rsidRDefault="00EE67C0" w:rsidP="00ED68ED">
            <w:pPr>
              <w:rPr>
                <w:rFonts w:ascii="Calibri" w:hAnsi="Calibri" w:cs="Arial"/>
                <w:b/>
                <w:bCs/>
                <w:sz w:val="16"/>
                <w:szCs w:val="18"/>
              </w:rPr>
            </w:pPr>
          </w:p>
        </w:tc>
        <w:tc>
          <w:tcPr>
            <w:tcW w:w="1800"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Reported on the requirement that all companies should have, at a minimum, an audit committee and a corporate</w:t>
            </w:r>
            <w:r w:rsidRPr="00520549">
              <w:rPr>
                <w:rFonts w:ascii="Calibri" w:hAnsi="Calibri" w:cs="Arial"/>
                <w:b/>
                <w:bCs/>
                <w:sz w:val="16"/>
                <w:szCs w:val="18"/>
              </w:rPr>
              <w:br/>
              <w:t xml:space="preserve">governance committee </w:t>
            </w:r>
          </w:p>
        </w:tc>
        <w:tc>
          <w:tcPr>
            <w:tcW w:w="1260"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Explanations provided</w:t>
            </w:r>
          </w:p>
        </w:tc>
        <w:tc>
          <w:tcPr>
            <w:tcW w:w="1491"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Not Reported on the requirement that all companies should have, at a minimum, an audit committee and a corporate</w:t>
            </w:r>
            <w:r w:rsidRPr="00520549">
              <w:rPr>
                <w:rFonts w:ascii="Calibri" w:hAnsi="Calibri" w:cs="Arial"/>
                <w:b/>
                <w:bCs/>
                <w:sz w:val="16"/>
                <w:szCs w:val="18"/>
              </w:rPr>
              <w:br/>
              <w:t>governance committee</w:t>
            </w:r>
          </w:p>
        </w:tc>
        <w:tc>
          <w:tcPr>
            <w:tcW w:w="706"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 xml:space="preserve">Total </w:t>
            </w:r>
          </w:p>
        </w:tc>
      </w:tr>
      <w:tr w:rsidR="00EE67C0" w:rsidRPr="00520549" w:rsidTr="0090546C">
        <w:trPr>
          <w:trHeight w:val="525"/>
        </w:trPr>
        <w:tc>
          <w:tcPr>
            <w:tcW w:w="153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Listed on SEM</w:t>
            </w:r>
          </w:p>
        </w:tc>
        <w:tc>
          <w:tcPr>
            <w:tcW w:w="18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5</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491"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70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7</w:t>
            </w:r>
          </w:p>
        </w:tc>
      </w:tr>
      <w:tr w:rsidR="00EE67C0" w:rsidRPr="00520549" w:rsidTr="0090546C">
        <w:trPr>
          <w:trHeight w:val="525"/>
        </w:trPr>
        <w:tc>
          <w:tcPr>
            <w:tcW w:w="153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FSC</w:t>
            </w:r>
          </w:p>
        </w:tc>
        <w:tc>
          <w:tcPr>
            <w:tcW w:w="18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3</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491"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70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w:t>
            </w:r>
          </w:p>
        </w:tc>
      </w:tr>
      <w:tr w:rsidR="00EE67C0" w:rsidRPr="00520549" w:rsidTr="0090546C">
        <w:trPr>
          <w:trHeight w:val="525"/>
        </w:trPr>
        <w:tc>
          <w:tcPr>
            <w:tcW w:w="153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BOM</w:t>
            </w:r>
          </w:p>
        </w:tc>
        <w:tc>
          <w:tcPr>
            <w:tcW w:w="18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3</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1491"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70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w:t>
            </w:r>
          </w:p>
        </w:tc>
      </w:tr>
      <w:tr w:rsidR="00EE67C0" w:rsidRPr="00520549" w:rsidTr="0090546C">
        <w:trPr>
          <w:trHeight w:val="270"/>
        </w:trPr>
        <w:tc>
          <w:tcPr>
            <w:tcW w:w="153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4F6F5A">
              <w:rPr>
                <w:rFonts w:ascii="Calibri" w:hAnsi="Calibri" w:cs="Arial"/>
                <w:sz w:val="18"/>
                <w:szCs w:val="18"/>
              </w:rPr>
              <w:t>Category 4 PIEs as per the FRA</w:t>
            </w:r>
          </w:p>
        </w:tc>
        <w:tc>
          <w:tcPr>
            <w:tcW w:w="18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9</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16</w:t>
            </w:r>
          </w:p>
        </w:tc>
        <w:tc>
          <w:tcPr>
            <w:tcW w:w="1491"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5</w:t>
            </w:r>
          </w:p>
        </w:tc>
        <w:tc>
          <w:tcPr>
            <w:tcW w:w="70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30</w:t>
            </w:r>
          </w:p>
        </w:tc>
      </w:tr>
      <w:tr w:rsidR="00EE67C0" w:rsidRPr="00520549" w:rsidTr="0090546C">
        <w:trPr>
          <w:trHeight w:val="270"/>
        </w:trPr>
        <w:tc>
          <w:tcPr>
            <w:tcW w:w="1530"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cs="Arial"/>
                <w:b/>
                <w:bCs/>
                <w:sz w:val="18"/>
                <w:szCs w:val="18"/>
              </w:rPr>
            </w:pPr>
            <w:r w:rsidRPr="00520549">
              <w:rPr>
                <w:rFonts w:ascii="Calibri" w:hAnsi="Calibri" w:cs="Arial"/>
                <w:b/>
                <w:bCs/>
                <w:sz w:val="18"/>
                <w:szCs w:val="18"/>
              </w:rPr>
              <w:t xml:space="preserve">Total </w:t>
            </w:r>
          </w:p>
        </w:tc>
        <w:tc>
          <w:tcPr>
            <w:tcW w:w="180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20</w:t>
            </w:r>
          </w:p>
        </w:tc>
        <w:tc>
          <w:tcPr>
            <w:tcW w:w="126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19</w:t>
            </w:r>
          </w:p>
        </w:tc>
        <w:tc>
          <w:tcPr>
            <w:tcW w:w="1491"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5</w:t>
            </w:r>
          </w:p>
        </w:tc>
        <w:tc>
          <w:tcPr>
            <w:tcW w:w="706"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44</w:t>
            </w:r>
          </w:p>
        </w:tc>
      </w:tr>
    </w:tbl>
    <w:p w:rsidR="00EE67C0" w:rsidRPr="00520549" w:rsidRDefault="00EE67C0" w:rsidP="00ED68ED">
      <w:pPr>
        <w:pStyle w:val="ListParagraph"/>
        <w:ind w:left="2520"/>
        <w:jc w:val="both"/>
        <w:rPr>
          <w:rFonts w:ascii="Calibri" w:hAnsi="Calibri"/>
        </w:rPr>
      </w:pPr>
    </w:p>
    <w:p w:rsidR="00EE67C0" w:rsidRPr="006E0449" w:rsidRDefault="00EE67C0" w:rsidP="008D126B">
      <w:pPr>
        <w:pStyle w:val="ListParagraph"/>
        <w:numPr>
          <w:ilvl w:val="0"/>
          <w:numId w:val="14"/>
        </w:numPr>
        <w:ind w:left="1800"/>
        <w:contextualSpacing/>
        <w:rPr>
          <w:rFonts w:ascii="Calibri" w:hAnsi="Calibri"/>
          <w:b/>
        </w:rPr>
      </w:pPr>
      <w:r w:rsidRPr="006E0449">
        <w:rPr>
          <w:rFonts w:ascii="Calibri" w:hAnsi="Calibri"/>
          <w:b/>
        </w:rPr>
        <w:t>Detailed directors’ remuneration</w:t>
      </w:r>
    </w:p>
    <w:p w:rsidR="00EE67C0" w:rsidRPr="00520549" w:rsidRDefault="00EE67C0" w:rsidP="00ED68ED">
      <w:pPr>
        <w:pStyle w:val="ListParagraph"/>
        <w:ind w:left="1800"/>
        <w:rPr>
          <w:rFonts w:ascii="Calibri" w:hAnsi="Calibri"/>
          <w:b/>
        </w:rPr>
      </w:pPr>
    </w:p>
    <w:p w:rsidR="00EE67C0" w:rsidRDefault="00EE67C0" w:rsidP="006E0449">
      <w:pPr>
        <w:ind w:left="1800"/>
        <w:jc w:val="both"/>
        <w:rPr>
          <w:rFonts w:ascii="Calibri" w:hAnsi="Calibri"/>
        </w:rPr>
      </w:pPr>
      <w:r w:rsidRPr="00520549">
        <w:rPr>
          <w:rFonts w:ascii="Calibri" w:hAnsi="Calibri"/>
        </w:rPr>
        <w:t xml:space="preserve">Disclosures on directors’ remuneration provide a control mechanism that seeks to ensure that there is alignment of directors’ interests with that of shareholders. The table below indicates details of individual remuneration of directors. </w:t>
      </w:r>
    </w:p>
    <w:p w:rsidR="00EE67C0" w:rsidRPr="00520549" w:rsidRDefault="00EE67C0" w:rsidP="006E0449">
      <w:pPr>
        <w:ind w:left="1800"/>
        <w:jc w:val="both"/>
        <w:rPr>
          <w:rFonts w:ascii="Calibri" w:hAnsi="Calibri"/>
        </w:rPr>
      </w:pPr>
    </w:p>
    <w:tbl>
      <w:tblPr>
        <w:tblW w:w="6590" w:type="dxa"/>
        <w:tblInd w:w="1790" w:type="dxa"/>
        <w:tblLook w:val="00A0"/>
      </w:tblPr>
      <w:tblGrid>
        <w:gridCol w:w="2027"/>
        <w:gridCol w:w="1463"/>
        <w:gridCol w:w="1174"/>
        <w:gridCol w:w="1254"/>
        <w:gridCol w:w="672"/>
      </w:tblGrid>
      <w:tr w:rsidR="00EE67C0" w:rsidRPr="00520549" w:rsidTr="006E0449">
        <w:trPr>
          <w:trHeight w:val="270"/>
        </w:trPr>
        <w:tc>
          <w:tcPr>
            <w:tcW w:w="2027"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EE67C0" w:rsidRPr="00520549" w:rsidRDefault="00EE67C0" w:rsidP="00ED68ED">
            <w:pPr>
              <w:jc w:val="center"/>
              <w:rPr>
                <w:rFonts w:ascii="Calibri" w:hAnsi="Calibri" w:cs="Arial"/>
                <w:b/>
                <w:bCs/>
                <w:sz w:val="16"/>
                <w:szCs w:val="18"/>
                <w:lang w:val="en-GB" w:eastAsia="en-GB"/>
              </w:rPr>
            </w:pPr>
            <w:r w:rsidRPr="00520549">
              <w:rPr>
                <w:rFonts w:ascii="Calibri" w:hAnsi="Calibri" w:cs="Arial"/>
                <w:b/>
                <w:bCs/>
                <w:sz w:val="16"/>
                <w:szCs w:val="18"/>
              </w:rPr>
              <w:t>PIEs</w:t>
            </w:r>
          </w:p>
        </w:tc>
        <w:tc>
          <w:tcPr>
            <w:tcW w:w="4563" w:type="dxa"/>
            <w:gridSpan w:val="4"/>
            <w:tcBorders>
              <w:top w:val="single" w:sz="8" w:space="0" w:color="auto"/>
              <w:left w:val="nil"/>
              <w:bottom w:val="single" w:sz="8" w:space="0" w:color="auto"/>
              <w:right w:val="single" w:sz="8" w:space="0" w:color="000000"/>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Section 2.8.2</w:t>
            </w:r>
          </w:p>
        </w:tc>
      </w:tr>
      <w:tr w:rsidR="00EE67C0" w:rsidRPr="00520549" w:rsidTr="0090546C">
        <w:trPr>
          <w:trHeight w:val="1528"/>
        </w:trPr>
        <w:tc>
          <w:tcPr>
            <w:tcW w:w="2027" w:type="dxa"/>
            <w:vMerge/>
            <w:tcBorders>
              <w:top w:val="single" w:sz="8" w:space="0" w:color="auto"/>
              <w:left w:val="single" w:sz="8" w:space="0" w:color="auto"/>
              <w:bottom w:val="single" w:sz="8" w:space="0" w:color="000000"/>
              <w:right w:val="single" w:sz="8" w:space="0" w:color="auto"/>
            </w:tcBorders>
            <w:vAlign w:val="center"/>
          </w:tcPr>
          <w:p w:rsidR="00EE67C0" w:rsidRPr="00520549" w:rsidRDefault="00EE67C0" w:rsidP="00ED68ED">
            <w:pPr>
              <w:rPr>
                <w:rFonts w:ascii="Calibri" w:hAnsi="Calibri" w:cs="Arial"/>
                <w:b/>
                <w:bCs/>
                <w:sz w:val="16"/>
                <w:szCs w:val="18"/>
              </w:rPr>
            </w:pPr>
          </w:p>
        </w:tc>
        <w:tc>
          <w:tcPr>
            <w:tcW w:w="1463"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Reported on the disclosure requirement of remuneration paid to each director on an individual basis</w:t>
            </w:r>
          </w:p>
        </w:tc>
        <w:tc>
          <w:tcPr>
            <w:tcW w:w="1174"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Explanations provided</w:t>
            </w:r>
          </w:p>
        </w:tc>
        <w:tc>
          <w:tcPr>
            <w:tcW w:w="1254"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Not Reported on the disclosure requirement of remuneration paid to each director on an individual basis</w:t>
            </w:r>
          </w:p>
        </w:tc>
        <w:tc>
          <w:tcPr>
            <w:tcW w:w="672"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 xml:space="preserve">Total </w:t>
            </w:r>
          </w:p>
        </w:tc>
      </w:tr>
      <w:tr w:rsidR="00EE67C0" w:rsidRPr="00520549" w:rsidTr="006E0449">
        <w:trPr>
          <w:trHeight w:val="525"/>
        </w:trPr>
        <w:tc>
          <w:tcPr>
            <w:tcW w:w="202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Listed on SEM</w:t>
            </w:r>
          </w:p>
        </w:tc>
        <w:tc>
          <w:tcPr>
            <w:tcW w:w="1463"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4</w:t>
            </w:r>
          </w:p>
        </w:tc>
        <w:tc>
          <w:tcPr>
            <w:tcW w:w="125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672"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7</w:t>
            </w:r>
          </w:p>
        </w:tc>
      </w:tr>
      <w:tr w:rsidR="00EE67C0" w:rsidRPr="00520549" w:rsidTr="006E0449">
        <w:trPr>
          <w:trHeight w:val="525"/>
        </w:trPr>
        <w:tc>
          <w:tcPr>
            <w:tcW w:w="202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FSC</w:t>
            </w:r>
          </w:p>
        </w:tc>
        <w:tc>
          <w:tcPr>
            <w:tcW w:w="1463"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125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672"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w:t>
            </w:r>
          </w:p>
        </w:tc>
      </w:tr>
      <w:tr w:rsidR="00EE67C0" w:rsidRPr="00520549" w:rsidTr="006E0449">
        <w:trPr>
          <w:trHeight w:val="525"/>
        </w:trPr>
        <w:tc>
          <w:tcPr>
            <w:tcW w:w="202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BOM</w:t>
            </w:r>
          </w:p>
        </w:tc>
        <w:tc>
          <w:tcPr>
            <w:tcW w:w="1463"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125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w:t>
            </w:r>
          </w:p>
        </w:tc>
        <w:tc>
          <w:tcPr>
            <w:tcW w:w="672"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w:t>
            </w:r>
          </w:p>
        </w:tc>
      </w:tr>
      <w:tr w:rsidR="00EE67C0" w:rsidRPr="00520549" w:rsidTr="006E0449">
        <w:trPr>
          <w:trHeight w:val="270"/>
        </w:trPr>
        <w:tc>
          <w:tcPr>
            <w:tcW w:w="2027"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4F6F5A">
              <w:rPr>
                <w:rFonts w:ascii="Calibri" w:hAnsi="Calibri" w:cs="Arial"/>
                <w:sz w:val="18"/>
                <w:szCs w:val="18"/>
              </w:rPr>
              <w:t>Category 4 PIEs as per the FRA</w:t>
            </w:r>
          </w:p>
        </w:tc>
        <w:tc>
          <w:tcPr>
            <w:tcW w:w="1463"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18</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10</w:t>
            </w:r>
          </w:p>
        </w:tc>
        <w:tc>
          <w:tcPr>
            <w:tcW w:w="125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672"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30</w:t>
            </w:r>
          </w:p>
        </w:tc>
      </w:tr>
      <w:tr w:rsidR="00EE67C0" w:rsidRPr="00520549" w:rsidTr="006E0449">
        <w:trPr>
          <w:trHeight w:val="270"/>
        </w:trPr>
        <w:tc>
          <w:tcPr>
            <w:tcW w:w="2027"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cs="Arial"/>
                <w:b/>
                <w:bCs/>
                <w:sz w:val="18"/>
                <w:szCs w:val="18"/>
              </w:rPr>
            </w:pPr>
            <w:r w:rsidRPr="00520549">
              <w:rPr>
                <w:rFonts w:ascii="Calibri" w:hAnsi="Calibri" w:cs="Arial"/>
                <w:b/>
                <w:bCs/>
                <w:sz w:val="18"/>
                <w:szCs w:val="18"/>
              </w:rPr>
              <w:t xml:space="preserve">Total </w:t>
            </w:r>
          </w:p>
        </w:tc>
        <w:tc>
          <w:tcPr>
            <w:tcW w:w="1463"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22</w:t>
            </w:r>
          </w:p>
        </w:tc>
        <w:tc>
          <w:tcPr>
            <w:tcW w:w="117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17</w:t>
            </w:r>
          </w:p>
        </w:tc>
        <w:tc>
          <w:tcPr>
            <w:tcW w:w="1254"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5</w:t>
            </w:r>
          </w:p>
        </w:tc>
        <w:tc>
          <w:tcPr>
            <w:tcW w:w="672"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44</w:t>
            </w:r>
          </w:p>
        </w:tc>
      </w:tr>
    </w:tbl>
    <w:p w:rsidR="00EE67C0" w:rsidRPr="00520549" w:rsidRDefault="00EE67C0" w:rsidP="00ED68ED">
      <w:pPr>
        <w:ind w:left="1800"/>
        <w:jc w:val="both"/>
        <w:rPr>
          <w:rFonts w:ascii="Calibri" w:hAnsi="Calibri"/>
        </w:rPr>
      </w:pPr>
    </w:p>
    <w:p w:rsidR="00EE67C0" w:rsidRDefault="00EE67C0" w:rsidP="008D126B">
      <w:pPr>
        <w:ind w:left="1710"/>
        <w:jc w:val="both"/>
        <w:rPr>
          <w:rFonts w:ascii="Calibri" w:hAnsi="Calibri"/>
        </w:rPr>
      </w:pPr>
      <w:r w:rsidRPr="00520549">
        <w:rPr>
          <w:rFonts w:ascii="Calibri" w:hAnsi="Calibri"/>
        </w:rPr>
        <w:t>From the above, it is noted that</w:t>
      </w:r>
      <w:r>
        <w:rPr>
          <w:rFonts w:ascii="Calibri" w:hAnsi="Calibri"/>
        </w:rPr>
        <w:t>:</w:t>
      </w:r>
    </w:p>
    <w:p w:rsidR="00EE67C0" w:rsidRDefault="00EE67C0" w:rsidP="008D126B">
      <w:pPr>
        <w:pStyle w:val="ListParagraph"/>
        <w:numPr>
          <w:ilvl w:val="0"/>
          <w:numId w:val="35"/>
        </w:numPr>
        <w:jc w:val="both"/>
        <w:rPr>
          <w:rFonts w:ascii="Calibri" w:hAnsi="Calibri"/>
        </w:rPr>
      </w:pPr>
      <w:r>
        <w:rPr>
          <w:rFonts w:ascii="Calibri" w:hAnsi="Calibri"/>
        </w:rPr>
        <w:t>22 out of 44 PIEs reported on individual remuneration; and</w:t>
      </w:r>
    </w:p>
    <w:p w:rsidR="00EE67C0" w:rsidRPr="00520549" w:rsidRDefault="00EE67C0" w:rsidP="008D126B">
      <w:pPr>
        <w:pStyle w:val="ListParagraph"/>
        <w:numPr>
          <w:ilvl w:val="0"/>
          <w:numId w:val="35"/>
        </w:numPr>
        <w:jc w:val="both"/>
        <w:rPr>
          <w:rFonts w:ascii="Calibri" w:hAnsi="Calibri"/>
        </w:rPr>
      </w:pPr>
      <w:r w:rsidRPr="00520549">
        <w:rPr>
          <w:rFonts w:ascii="Calibri" w:hAnsi="Calibri"/>
        </w:rPr>
        <w:t>17</w:t>
      </w:r>
      <w:r>
        <w:rPr>
          <w:rFonts w:ascii="Calibri" w:hAnsi="Calibri"/>
        </w:rPr>
        <w:t xml:space="preserve"> PIEs</w:t>
      </w:r>
      <w:r w:rsidRPr="00520549">
        <w:rPr>
          <w:rFonts w:ascii="Calibri" w:hAnsi="Calibri"/>
        </w:rPr>
        <w:t xml:space="preserve"> explain the reason for not disclosing information on individual remuneration of directors. </w:t>
      </w:r>
    </w:p>
    <w:p w:rsidR="00EE67C0" w:rsidRPr="00520549" w:rsidRDefault="00EE67C0" w:rsidP="00E90D02">
      <w:pPr>
        <w:jc w:val="both"/>
        <w:rPr>
          <w:rFonts w:ascii="Calibri" w:hAnsi="Calibri"/>
        </w:rPr>
      </w:pPr>
    </w:p>
    <w:p w:rsidR="00EE67C0" w:rsidRPr="00520549" w:rsidRDefault="00EE67C0" w:rsidP="008D126B">
      <w:pPr>
        <w:ind w:left="2070"/>
        <w:jc w:val="both"/>
        <w:rPr>
          <w:rFonts w:ascii="Calibri" w:hAnsi="Calibri"/>
        </w:rPr>
      </w:pPr>
      <w:r w:rsidRPr="0090546C">
        <w:rPr>
          <w:rFonts w:ascii="Calibri" w:hAnsi="Calibri"/>
        </w:rPr>
        <w:t>The explanations given for not disclosing detailed remuneration of directors on an individual basis were that the PIEs considered Directors' fees and remuneration as being sensitive information in the competitive market.</w:t>
      </w:r>
    </w:p>
    <w:p w:rsidR="00EE67C0" w:rsidRPr="00520549" w:rsidRDefault="00EE67C0" w:rsidP="00ED68ED">
      <w:pPr>
        <w:pStyle w:val="ListParagraph"/>
        <w:ind w:left="2520"/>
        <w:jc w:val="both"/>
        <w:rPr>
          <w:rFonts w:ascii="Calibri" w:hAnsi="Calibri"/>
        </w:rPr>
      </w:pPr>
    </w:p>
    <w:p w:rsidR="00EE67C0" w:rsidRPr="00520549" w:rsidRDefault="00EE67C0" w:rsidP="008D126B">
      <w:pPr>
        <w:pStyle w:val="ListParagraph"/>
        <w:numPr>
          <w:ilvl w:val="0"/>
          <w:numId w:val="14"/>
        </w:numPr>
        <w:ind w:left="1800"/>
        <w:contextualSpacing/>
        <w:rPr>
          <w:rFonts w:ascii="Calibri" w:hAnsi="Calibri"/>
          <w:b/>
        </w:rPr>
      </w:pPr>
      <w:r w:rsidRPr="00520549">
        <w:rPr>
          <w:rFonts w:ascii="Calibri" w:hAnsi="Calibri"/>
          <w:b/>
        </w:rPr>
        <w:t>Risk management</w:t>
      </w:r>
    </w:p>
    <w:p w:rsidR="00EE67C0" w:rsidRPr="00520549" w:rsidRDefault="00EE67C0" w:rsidP="00ED68ED">
      <w:pPr>
        <w:pStyle w:val="ListParagraph"/>
        <w:ind w:left="1800"/>
        <w:rPr>
          <w:rFonts w:ascii="Calibri" w:hAnsi="Calibri"/>
          <w:b/>
        </w:rPr>
      </w:pPr>
    </w:p>
    <w:p w:rsidR="00EE67C0" w:rsidRPr="00520549" w:rsidRDefault="00EE67C0" w:rsidP="0090546C">
      <w:pPr>
        <w:ind w:left="1800"/>
        <w:jc w:val="both"/>
        <w:rPr>
          <w:rFonts w:ascii="Calibri" w:hAnsi="Calibri"/>
        </w:rPr>
      </w:pPr>
      <w:r w:rsidRPr="00520549">
        <w:rPr>
          <w:rFonts w:ascii="Calibri" w:hAnsi="Calibri"/>
        </w:rPr>
        <w:t xml:space="preserve">Risk management reduces the probability that the attainment of an organisation’s objectives are jeopardised by unforeseen events. It ensures that management is capable of identifying circumstances which represent an opportunity or can be turned to competitive advantage.The operation of controls and internal audit form part of the process of risk management  </w:t>
      </w:r>
    </w:p>
    <w:p w:rsidR="00EE67C0" w:rsidRPr="00520549" w:rsidRDefault="00EE67C0" w:rsidP="00ED68ED">
      <w:pPr>
        <w:ind w:left="1800"/>
        <w:jc w:val="both"/>
        <w:rPr>
          <w:rFonts w:ascii="Calibri" w:hAnsi="Calibri"/>
        </w:rPr>
      </w:pPr>
    </w:p>
    <w:p w:rsidR="00EE67C0" w:rsidRPr="00520549" w:rsidRDefault="00EE67C0" w:rsidP="0090546C">
      <w:pPr>
        <w:ind w:left="1800"/>
        <w:jc w:val="both"/>
        <w:rPr>
          <w:rFonts w:ascii="Calibri" w:hAnsi="Calibri"/>
        </w:rPr>
      </w:pPr>
      <w:r w:rsidRPr="00520549">
        <w:rPr>
          <w:rFonts w:ascii="Calibri" w:hAnsi="Calibri"/>
        </w:rPr>
        <w:t>The table below shows details of the PIEs complying with this section of the code of corporate governance.</w:t>
      </w:r>
    </w:p>
    <w:p w:rsidR="00EE67C0" w:rsidRPr="00520549" w:rsidRDefault="00EE67C0" w:rsidP="00ED68ED">
      <w:pPr>
        <w:ind w:left="2160"/>
        <w:jc w:val="both"/>
        <w:rPr>
          <w:rFonts w:ascii="Calibri" w:hAnsi="Calibri"/>
        </w:rPr>
      </w:pPr>
    </w:p>
    <w:tbl>
      <w:tblPr>
        <w:tblW w:w="6120" w:type="dxa"/>
        <w:tblInd w:w="1790" w:type="dxa"/>
        <w:tblLook w:val="00A0"/>
      </w:tblPr>
      <w:tblGrid>
        <w:gridCol w:w="1710"/>
        <w:gridCol w:w="1350"/>
        <w:gridCol w:w="1080"/>
        <w:gridCol w:w="1170"/>
        <w:gridCol w:w="810"/>
      </w:tblGrid>
      <w:tr w:rsidR="00EE67C0" w:rsidRPr="00520549" w:rsidTr="0090546C">
        <w:trPr>
          <w:trHeight w:val="270"/>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EE67C0" w:rsidRPr="00520549" w:rsidRDefault="00EE67C0" w:rsidP="00ED68ED">
            <w:pPr>
              <w:jc w:val="center"/>
              <w:rPr>
                <w:rFonts w:ascii="Calibri" w:hAnsi="Calibri" w:cs="Arial"/>
                <w:b/>
                <w:bCs/>
                <w:sz w:val="16"/>
                <w:szCs w:val="18"/>
                <w:lang w:val="en-GB" w:eastAsia="en-GB"/>
              </w:rPr>
            </w:pPr>
            <w:r w:rsidRPr="00520549">
              <w:rPr>
                <w:rFonts w:ascii="Calibri" w:hAnsi="Calibri" w:cs="Arial"/>
                <w:b/>
                <w:bCs/>
                <w:sz w:val="16"/>
                <w:szCs w:val="18"/>
              </w:rPr>
              <w:t>PIEs</w:t>
            </w:r>
          </w:p>
        </w:tc>
        <w:tc>
          <w:tcPr>
            <w:tcW w:w="4410" w:type="dxa"/>
            <w:gridSpan w:val="4"/>
            <w:tcBorders>
              <w:top w:val="single" w:sz="8" w:space="0" w:color="auto"/>
              <w:left w:val="nil"/>
              <w:bottom w:val="single" w:sz="8" w:space="0" w:color="auto"/>
              <w:right w:val="single" w:sz="8" w:space="0" w:color="000000"/>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Sections 5.1.7 / 8.4</w:t>
            </w:r>
          </w:p>
        </w:tc>
      </w:tr>
      <w:tr w:rsidR="00EE67C0" w:rsidRPr="00520549" w:rsidTr="0090546C">
        <w:trPr>
          <w:trHeight w:val="1717"/>
        </w:trPr>
        <w:tc>
          <w:tcPr>
            <w:tcW w:w="1710" w:type="dxa"/>
            <w:vMerge/>
            <w:tcBorders>
              <w:top w:val="single" w:sz="8" w:space="0" w:color="auto"/>
              <w:left w:val="single" w:sz="8" w:space="0" w:color="auto"/>
              <w:bottom w:val="single" w:sz="8" w:space="0" w:color="000000"/>
              <w:right w:val="single" w:sz="8" w:space="0" w:color="auto"/>
            </w:tcBorders>
            <w:vAlign w:val="center"/>
          </w:tcPr>
          <w:p w:rsidR="00EE67C0" w:rsidRPr="00520549" w:rsidRDefault="00EE67C0" w:rsidP="00ED68ED">
            <w:pPr>
              <w:rPr>
                <w:rFonts w:ascii="Calibri" w:hAnsi="Calibri" w:cs="Arial"/>
                <w:b/>
                <w:bCs/>
                <w:sz w:val="16"/>
                <w:szCs w:val="18"/>
              </w:rPr>
            </w:pPr>
          </w:p>
        </w:tc>
        <w:tc>
          <w:tcPr>
            <w:tcW w:w="1350"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Reported on the requirement that risk consideration and management in key risk areas</w:t>
            </w:r>
          </w:p>
        </w:tc>
        <w:tc>
          <w:tcPr>
            <w:tcW w:w="1080"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Explanations provided</w:t>
            </w:r>
          </w:p>
        </w:tc>
        <w:tc>
          <w:tcPr>
            <w:tcW w:w="1170"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Not Reported on the requirement that risk consideration and management in key risk areas</w:t>
            </w:r>
          </w:p>
        </w:tc>
        <w:tc>
          <w:tcPr>
            <w:tcW w:w="810"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8"/>
              </w:rPr>
            </w:pPr>
            <w:r w:rsidRPr="00520549">
              <w:rPr>
                <w:rFonts w:ascii="Calibri" w:hAnsi="Calibri" w:cs="Arial"/>
                <w:b/>
                <w:bCs/>
                <w:sz w:val="16"/>
                <w:szCs w:val="18"/>
              </w:rPr>
              <w:t xml:space="preserve">Total </w:t>
            </w:r>
          </w:p>
        </w:tc>
      </w:tr>
      <w:tr w:rsidR="00EE67C0" w:rsidRPr="00520549" w:rsidTr="0090546C">
        <w:trPr>
          <w:trHeight w:val="525"/>
        </w:trPr>
        <w:tc>
          <w:tcPr>
            <w:tcW w:w="171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20"/>
                <w:szCs w:val="20"/>
              </w:rPr>
            </w:pPr>
            <w:r w:rsidRPr="00520549">
              <w:rPr>
                <w:rFonts w:ascii="Calibri" w:hAnsi="Calibri" w:cs="Arial"/>
                <w:sz w:val="20"/>
                <w:szCs w:val="20"/>
              </w:rPr>
              <w:t>Listed on SEM</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7</w:t>
            </w:r>
          </w:p>
        </w:tc>
        <w:tc>
          <w:tcPr>
            <w:tcW w:w="108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117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81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7</w:t>
            </w:r>
          </w:p>
        </w:tc>
      </w:tr>
      <w:tr w:rsidR="00EE67C0" w:rsidRPr="00520549" w:rsidTr="0090546C">
        <w:trPr>
          <w:trHeight w:val="525"/>
        </w:trPr>
        <w:tc>
          <w:tcPr>
            <w:tcW w:w="171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20"/>
                <w:szCs w:val="20"/>
              </w:rPr>
            </w:pPr>
            <w:r w:rsidRPr="00520549">
              <w:rPr>
                <w:rFonts w:ascii="Calibri" w:hAnsi="Calibri" w:cs="Arial"/>
                <w:sz w:val="20"/>
                <w:szCs w:val="20"/>
              </w:rPr>
              <w:t>Regulated by FSC</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4</w:t>
            </w:r>
          </w:p>
        </w:tc>
        <w:tc>
          <w:tcPr>
            <w:tcW w:w="108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117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81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4</w:t>
            </w:r>
          </w:p>
        </w:tc>
      </w:tr>
      <w:tr w:rsidR="00EE67C0" w:rsidRPr="00520549" w:rsidTr="0090546C">
        <w:trPr>
          <w:trHeight w:val="525"/>
        </w:trPr>
        <w:tc>
          <w:tcPr>
            <w:tcW w:w="171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20"/>
                <w:szCs w:val="20"/>
              </w:rPr>
            </w:pPr>
            <w:r w:rsidRPr="00520549">
              <w:rPr>
                <w:rFonts w:ascii="Calibri" w:hAnsi="Calibri" w:cs="Arial"/>
                <w:sz w:val="20"/>
                <w:szCs w:val="20"/>
              </w:rPr>
              <w:t>Regulated by BOM</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3</w:t>
            </w:r>
          </w:p>
        </w:tc>
        <w:tc>
          <w:tcPr>
            <w:tcW w:w="108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117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81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3</w:t>
            </w:r>
          </w:p>
        </w:tc>
      </w:tr>
      <w:tr w:rsidR="00EE67C0" w:rsidRPr="00520549" w:rsidTr="0090546C">
        <w:trPr>
          <w:trHeight w:val="270"/>
        </w:trPr>
        <w:tc>
          <w:tcPr>
            <w:tcW w:w="1710"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20"/>
                <w:szCs w:val="20"/>
              </w:rPr>
            </w:pPr>
            <w:r w:rsidRPr="004F6F5A">
              <w:rPr>
                <w:rFonts w:ascii="Calibri" w:hAnsi="Calibri" w:cs="Arial"/>
                <w:sz w:val="20"/>
                <w:szCs w:val="20"/>
              </w:rPr>
              <w:t>Category 4 PIEs as per the FRA</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27</w:t>
            </w:r>
          </w:p>
        </w:tc>
        <w:tc>
          <w:tcPr>
            <w:tcW w:w="108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w:t>
            </w:r>
          </w:p>
        </w:tc>
        <w:tc>
          <w:tcPr>
            <w:tcW w:w="117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20"/>
                <w:szCs w:val="20"/>
              </w:rPr>
            </w:pPr>
            <w:r w:rsidRPr="00520549">
              <w:rPr>
                <w:rFonts w:ascii="Calibri" w:hAnsi="Calibri" w:cs="Arial"/>
                <w:sz w:val="20"/>
                <w:szCs w:val="20"/>
              </w:rPr>
              <w:t>3</w:t>
            </w:r>
          </w:p>
        </w:tc>
        <w:tc>
          <w:tcPr>
            <w:tcW w:w="81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30</w:t>
            </w:r>
          </w:p>
        </w:tc>
      </w:tr>
      <w:tr w:rsidR="00EE67C0" w:rsidRPr="00520549" w:rsidTr="0090546C">
        <w:trPr>
          <w:trHeight w:val="270"/>
        </w:trPr>
        <w:tc>
          <w:tcPr>
            <w:tcW w:w="1710"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cs="Arial"/>
                <w:b/>
                <w:bCs/>
                <w:sz w:val="20"/>
                <w:szCs w:val="20"/>
              </w:rPr>
            </w:pPr>
            <w:r w:rsidRPr="00520549">
              <w:rPr>
                <w:rFonts w:ascii="Calibri" w:hAnsi="Calibri" w:cs="Arial"/>
                <w:b/>
                <w:bCs/>
                <w:sz w:val="20"/>
                <w:szCs w:val="20"/>
              </w:rPr>
              <w:t xml:space="preserve">Total </w:t>
            </w:r>
          </w:p>
        </w:tc>
        <w:tc>
          <w:tcPr>
            <w:tcW w:w="135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41</w:t>
            </w:r>
          </w:p>
        </w:tc>
        <w:tc>
          <w:tcPr>
            <w:tcW w:w="108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w:t>
            </w:r>
          </w:p>
        </w:tc>
        <w:tc>
          <w:tcPr>
            <w:tcW w:w="117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3</w:t>
            </w:r>
          </w:p>
        </w:tc>
        <w:tc>
          <w:tcPr>
            <w:tcW w:w="810"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20"/>
                <w:szCs w:val="20"/>
              </w:rPr>
            </w:pPr>
            <w:r w:rsidRPr="00520549">
              <w:rPr>
                <w:rFonts w:ascii="Calibri" w:hAnsi="Calibri" w:cs="Arial"/>
                <w:b/>
                <w:bCs/>
                <w:sz w:val="20"/>
                <w:szCs w:val="20"/>
              </w:rPr>
              <w:t>44</w:t>
            </w:r>
          </w:p>
        </w:tc>
      </w:tr>
    </w:tbl>
    <w:p w:rsidR="00EE67C0" w:rsidRPr="00520549" w:rsidRDefault="00EE67C0" w:rsidP="00ED68ED">
      <w:pPr>
        <w:ind w:left="2160"/>
        <w:jc w:val="both"/>
        <w:rPr>
          <w:rFonts w:ascii="Calibri" w:hAnsi="Calibri"/>
        </w:rPr>
      </w:pPr>
    </w:p>
    <w:p w:rsidR="00EE67C0" w:rsidRDefault="00EE67C0" w:rsidP="0090546C">
      <w:pPr>
        <w:ind w:left="1800"/>
        <w:jc w:val="both"/>
        <w:rPr>
          <w:rFonts w:ascii="Calibri" w:hAnsi="Calibri"/>
        </w:rPr>
      </w:pPr>
      <w:r w:rsidRPr="00520549">
        <w:rPr>
          <w:rFonts w:ascii="Calibri" w:hAnsi="Calibri"/>
        </w:rPr>
        <w:t xml:space="preserve">As shown in the table above, FRC noted that 41 out of the 44 PIEs reviewed, had reported on consideration and management in key risks. Only 3 PIEs </w:t>
      </w:r>
      <w:r>
        <w:rPr>
          <w:rFonts w:ascii="Calibri" w:hAnsi="Calibri"/>
        </w:rPr>
        <w:t xml:space="preserve">in Category 4 </w:t>
      </w:r>
      <w:r w:rsidRPr="00520549">
        <w:rPr>
          <w:rFonts w:ascii="Calibri" w:hAnsi="Calibri"/>
        </w:rPr>
        <w:t xml:space="preserve">had not disclosed in their annual reports, details of exposure to key risks and management of these risks. </w:t>
      </w:r>
    </w:p>
    <w:p w:rsidR="00EE67C0" w:rsidRDefault="00EE67C0" w:rsidP="0090546C">
      <w:pPr>
        <w:ind w:left="1800"/>
        <w:jc w:val="both"/>
        <w:rPr>
          <w:rFonts w:ascii="Calibri" w:hAnsi="Calibri"/>
        </w:rPr>
      </w:pPr>
    </w:p>
    <w:p w:rsidR="00EE67C0" w:rsidRDefault="00EE67C0" w:rsidP="0090546C">
      <w:pPr>
        <w:ind w:left="1800"/>
        <w:jc w:val="both"/>
        <w:rPr>
          <w:rFonts w:ascii="Calibri" w:hAnsi="Calibri"/>
        </w:rPr>
      </w:pPr>
    </w:p>
    <w:p w:rsidR="00EE67C0" w:rsidRPr="00520549" w:rsidRDefault="00EE67C0" w:rsidP="0090546C">
      <w:pPr>
        <w:ind w:left="1800"/>
        <w:jc w:val="both"/>
        <w:rPr>
          <w:rFonts w:ascii="Calibri" w:hAnsi="Calibri"/>
        </w:rPr>
      </w:pPr>
    </w:p>
    <w:p w:rsidR="00EE67C0" w:rsidRPr="00520549" w:rsidRDefault="00EE67C0" w:rsidP="008D126B">
      <w:pPr>
        <w:pStyle w:val="ListParagraph"/>
        <w:numPr>
          <w:ilvl w:val="0"/>
          <w:numId w:val="14"/>
        </w:numPr>
        <w:ind w:left="1800"/>
        <w:contextualSpacing/>
        <w:rPr>
          <w:rFonts w:ascii="Calibri" w:hAnsi="Calibri"/>
          <w:b/>
        </w:rPr>
      </w:pPr>
      <w:r w:rsidRPr="00520549">
        <w:rPr>
          <w:rFonts w:ascii="Calibri" w:hAnsi="Calibri"/>
          <w:b/>
        </w:rPr>
        <w:t xml:space="preserve">Internal Audit </w:t>
      </w:r>
    </w:p>
    <w:p w:rsidR="00EE67C0" w:rsidRPr="00520549" w:rsidRDefault="00EE67C0" w:rsidP="00ED68ED">
      <w:pPr>
        <w:pStyle w:val="ListParagraph"/>
        <w:ind w:left="2160"/>
        <w:rPr>
          <w:rFonts w:ascii="Calibri" w:hAnsi="Calibri"/>
        </w:rPr>
      </w:pPr>
    </w:p>
    <w:p w:rsidR="00EE67C0" w:rsidRPr="00520549" w:rsidRDefault="00EE67C0" w:rsidP="0090546C">
      <w:pPr>
        <w:pStyle w:val="ListParagraph"/>
        <w:ind w:left="1800"/>
        <w:jc w:val="both"/>
        <w:rPr>
          <w:rFonts w:ascii="Calibri" w:hAnsi="Calibri"/>
        </w:rPr>
      </w:pPr>
      <w:r w:rsidRPr="00520549">
        <w:rPr>
          <w:rFonts w:ascii="Calibri" w:hAnsi="Calibri"/>
        </w:rPr>
        <w:t>The internal audit function is responsible for providing assurance to the board regarding the implementation, operation and effectiveness of internal control and risk management. Information on this function provides a better understanding of the level of internal audit processes implemented by the PIEs.</w:t>
      </w:r>
    </w:p>
    <w:p w:rsidR="00EE67C0" w:rsidRPr="00520549" w:rsidRDefault="00EE67C0" w:rsidP="00ED68ED">
      <w:pPr>
        <w:pStyle w:val="ListParagraph"/>
        <w:ind w:left="2160"/>
        <w:jc w:val="both"/>
        <w:rPr>
          <w:rFonts w:ascii="Calibri" w:hAnsi="Calibri"/>
        </w:rPr>
      </w:pPr>
    </w:p>
    <w:tbl>
      <w:tblPr>
        <w:tblW w:w="6297" w:type="dxa"/>
        <w:tblInd w:w="1790" w:type="dxa"/>
        <w:tblLook w:val="00A0"/>
      </w:tblPr>
      <w:tblGrid>
        <w:gridCol w:w="2098"/>
        <w:gridCol w:w="1165"/>
        <w:gridCol w:w="1068"/>
        <w:gridCol w:w="1277"/>
        <w:gridCol w:w="689"/>
      </w:tblGrid>
      <w:tr w:rsidR="00EE67C0" w:rsidRPr="00520549" w:rsidTr="0090546C">
        <w:trPr>
          <w:trHeight w:val="270"/>
        </w:trPr>
        <w:tc>
          <w:tcPr>
            <w:tcW w:w="2098"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EE67C0" w:rsidRPr="00520549" w:rsidRDefault="00EE67C0" w:rsidP="00ED68ED">
            <w:pPr>
              <w:jc w:val="center"/>
              <w:rPr>
                <w:rFonts w:ascii="Calibri" w:hAnsi="Calibri" w:cs="Arial"/>
                <w:b/>
                <w:bCs/>
                <w:sz w:val="16"/>
                <w:szCs w:val="16"/>
                <w:lang w:val="en-GB" w:eastAsia="en-GB"/>
              </w:rPr>
            </w:pPr>
            <w:r w:rsidRPr="00520549">
              <w:rPr>
                <w:rFonts w:ascii="Calibri" w:hAnsi="Calibri" w:cs="Arial"/>
                <w:b/>
                <w:bCs/>
                <w:sz w:val="16"/>
                <w:szCs w:val="16"/>
              </w:rPr>
              <w:t>PIEs</w:t>
            </w:r>
          </w:p>
        </w:tc>
        <w:tc>
          <w:tcPr>
            <w:tcW w:w="4199" w:type="dxa"/>
            <w:gridSpan w:val="4"/>
            <w:tcBorders>
              <w:top w:val="single" w:sz="8" w:space="0" w:color="auto"/>
              <w:left w:val="nil"/>
              <w:bottom w:val="single" w:sz="8" w:space="0" w:color="auto"/>
              <w:right w:val="single" w:sz="8" w:space="0" w:color="000000"/>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Section 5.3</w:t>
            </w:r>
          </w:p>
        </w:tc>
      </w:tr>
      <w:tr w:rsidR="00EE67C0" w:rsidRPr="00520549" w:rsidTr="0090546C">
        <w:trPr>
          <w:trHeight w:val="1060"/>
        </w:trPr>
        <w:tc>
          <w:tcPr>
            <w:tcW w:w="2098" w:type="dxa"/>
            <w:vMerge/>
            <w:tcBorders>
              <w:top w:val="single" w:sz="8" w:space="0" w:color="auto"/>
              <w:left w:val="single" w:sz="8" w:space="0" w:color="auto"/>
              <w:bottom w:val="single" w:sz="8" w:space="0" w:color="000000"/>
              <w:right w:val="single" w:sz="8" w:space="0" w:color="auto"/>
            </w:tcBorders>
            <w:vAlign w:val="center"/>
          </w:tcPr>
          <w:p w:rsidR="00EE67C0" w:rsidRPr="00520549" w:rsidRDefault="00EE67C0" w:rsidP="00ED68ED">
            <w:pPr>
              <w:rPr>
                <w:rFonts w:ascii="Calibri" w:hAnsi="Calibri" w:cs="Arial"/>
                <w:b/>
                <w:bCs/>
                <w:sz w:val="16"/>
                <w:szCs w:val="16"/>
              </w:rPr>
            </w:pPr>
          </w:p>
        </w:tc>
        <w:tc>
          <w:tcPr>
            <w:tcW w:w="1165"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Reported on internal audit</w:t>
            </w:r>
          </w:p>
        </w:tc>
        <w:tc>
          <w:tcPr>
            <w:tcW w:w="1068"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Explanations provided</w:t>
            </w:r>
          </w:p>
        </w:tc>
        <w:tc>
          <w:tcPr>
            <w:tcW w:w="1277"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Not reported on internal audit and explanation not provided</w:t>
            </w:r>
          </w:p>
        </w:tc>
        <w:tc>
          <w:tcPr>
            <w:tcW w:w="689" w:type="dxa"/>
            <w:tcBorders>
              <w:top w:val="nil"/>
              <w:left w:val="nil"/>
              <w:bottom w:val="single" w:sz="8" w:space="0" w:color="auto"/>
              <w:right w:val="single" w:sz="8" w:space="0" w:color="auto"/>
            </w:tcBorders>
            <w:shd w:val="clear" w:color="000000" w:fill="E6E6E6"/>
            <w:vAlign w:val="center"/>
          </w:tcPr>
          <w:p w:rsidR="00EE67C0" w:rsidRPr="00520549" w:rsidRDefault="00EE67C0" w:rsidP="00ED68ED">
            <w:pPr>
              <w:jc w:val="center"/>
              <w:rPr>
                <w:rFonts w:ascii="Calibri" w:hAnsi="Calibri" w:cs="Arial"/>
                <w:b/>
                <w:bCs/>
                <w:sz w:val="16"/>
                <w:szCs w:val="16"/>
              </w:rPr>
            </w:pPr>
            <w:r w:rsidRPr="00520549">
              <w:rPr>
                <w:rFonts w:ascii="Calibri" w:hAnsi="Calibri" w:cs="Arial"/>
                <w:b/>
                <w:bCs/>
                <w:sz w:val="16"/>
                <w:szCs w:val="16"/>
              </w:rPr>
              <w:t xml:space="preserve">Total </w:t>
            </w:r>
          </w:p>
        </w:tc>
      </w:tr>
      <w:tr w:rsidR="00EE67C0" w:rsidRPr="00520549" w:rsidTr="0090546C">
        <w:trPr>
          <w:trHeight w:val="495"/>
        </w:trPr>
        <w:tc>
          <w:tcPr>
            <w:tcW w:w="2098"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Listed on SEM</w:t>
            </w:r>
          </w:p>
        </w:tc>
        <w:tc>
          <w:tcPr>
            <w:tcW w:w="116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7</w:t>
            </w:r>
          </w:p>
        </w:tc>
        <w:tc>
          <w:tcPr>
            <w:tcW w:w="106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1277" w:type="dxa"/>
            <w:tcBorders>
              <w:top w:val="nil"/>
              <w:left w:val="nil"/>
              <w:bottom w:val="single" w:sz="8" w:space="0" w:color="auto"/>
              <w:right w:val="single" w:sz="8" w:space="0" w:color="auto"/>
            </w:tcBorders>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68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7</w:t>
            </w:r>
          </w:p>
        </w:tc>
      </w:tr>
      <w:tr w:rsidR="00EE67C0" w:rsidRPr="00520549" w:rsidTr="0090546C">
        <w:trPr>
          <w:trHeight w:val="495"/>
        </w:trPr>
        <w:tc>
          <w:tcPr>
            <w:tcW w:w="2098"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FSC</w:t>
            </w:r>
          </w:p>
        </w:tc>
        <w:tc>
          <w:tcPr>
            <w:tcW w:w="116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4</w:t>
            </w:r>
          </w:p>
        </w:tc>
        <w:tc>
          <w:tcPr>
            <w:tcW w:w="106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1277"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68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w:t>
            </w:r>
          </w:p>
        </w:tc>
      </w:tr>
      <w:tr w:rsidR="00EE67C0" w:rsidRPr="00520549" w:rsidTr="0090546C">
        <w:trPr>
          <w:trHeight w:val="495"/>
        </w:trPr>
        <w:tc>
          <w:tcPr>
            <w:tcW w:w="2098"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520549">
              <w:rPr>
                <w:rFonts w:ascii="Calibri" w:hAnsi="Calibri" w:cs="Arial"/>
                <w:sz w:val="18"/>
                <w:szCs w:val="18"/>
              </w:rPr>
              <w:t>Regulated by BOM</w:t>
            </w:r>
          </w:p>
        </w:tc>
        <w:tc>
          <w:tcPr>
            <w:tcW w:w="116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3</w:t>
            </w:r>
          </w:p>
        </w:tc>
        <w:tc>
          <w:tcPr>
            <w:tcW w:w="106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1277" w:type="dxa"/>
            <w:tcBorders>
              <w:top w:val="nil"/>
              <w:left w:val="nil"/>
              <w:bottom w:val="single" w:sz="8" w:space="0" w:color="auto"/>
              <w:right w:val="single" w:sz="8" w:space="0" w:color="auto"/>
            </w:tcBorders>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w:t>
            </w:r>
          </w:p>
        </w:tc>
        <w:tc>
          <w:tcPr>
            <w:tcW w:w="68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w:t>
            </w:r>
          </w:p>
        </w:tc>
      </w:tr>
      <w:tr w:rsidR="00EE67C0" w:rsidRPr="00520549" w:rsidTr="0090546C">
        <w:trPr>
          <w:trHeight w:val="270"/>
        </w:trPr>
        <w:tc>
          <w:tcPr>
            <w:tcW w:w="2098" w:type="dxa"/>
            <w:tcBorders>
              <w:top w:val="nil"/>
              <w:left w:val="single" w:sz="8" w:space="0" w:color="auto"/>
              <w:bottom w:val="single" w:sz="8" w:space="0" w:color="auto"/>
              <w:right w:val="single" w:sz="8" w:space="0" w:color="auto"/>
            </w:tcBorders>
            <w:noWrap/>
            <w:vAlign w:val="center"/>
          </w:tcPr>
          <w:p w:rsidR="00EE67C0" w:rsidRPr="00520549" w:rsidRDefault="00EE67C0" w:rsidP="00ED68ED">
            <w:pPr>
              <w:jc w:val="both"/>
              <w:rPr>
                <w:rFonts w:ascii="Calibri" w:hAnsi="Calibri" w:cs="Arial"/>
                <w:sz w:val="18"/>
                <w:szCs w:val="18"/>
              </w:rPr>
            </w:pPr>
            <w:r w:rsidRPr="004F6F5A">
              <w:rPr>
                <w:rFonts w:ascii="Calibri" w:hAnsi="Calibri" w:cs="Arial"/>
                <w:sz w:val="18"/>
                <w:szCs w:val="18"/>
              </w:rPr>
              <w:t>Category 4 PIEs as per the FRA</w:t>
            </w:r>
          </w:p>
        </w:tc>
        <w:tc>
          <w:tcPr>
            <w:tcW w:w="116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24</w:t>
            </w:r>
          </w:p>
        </w:tc>
        <w:tc>
          <w:tcPr>
            <w:tcW w:w="106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4</w:t>
            </w:r>
          </w:p>
        </w:tc>
        <w:tc>
          <w:tcPr>
            <w:tcW w:w="1277"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sz w:val="18"/>
                <w:szCs w:val="18"/>
              </w:rPr>
            </w:pPr>
            <w:r w:rsidRPr="00520549">
              <w:rPr>
                <w:rFonts w:ascii="Calibri" w:hAnsi="Calibri" w:cs="Arial"/>
                <w:sz w:val="18"/>
                <w:szCs w:val="18"/>
              </w:rPr>
              <w:t>2</w:t>
            </w:r>
          </w:p>
        </w:tc>
        <w:tc>
          <w:tcPr>
            <w:tcW w:w="68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30</w:t>
            </w:r>
          </w:p>
        </w:tc>
      </w:tr>
      <w:tr w:rsidR="00EE67C0" w:rsidRPr="00520549" w:rsidTr="0090546C">
        <w:trPr>
          <w:trHeight w:val="270"/>
        </w:trPr>
        <w:tc>
          <w:tcPr>
            <w:tcW w:w="2098" w:type="dxa"/>
            <w:tcBorders>
              <w:top w:val="nil"/>
              <w:left w:val="single" w:sz="8" w:space="0" w:color="auto"/>
              <w:bottom w:val="single" w:sz="8" w:space="0" w:color="auto"/>
              <w:right w:val="single" w:sz="8" w:space="0" w:color="auto"/>
            </w:tcBorders>
            <w:vAlign w:val="center"/>
          </w:tcPr>
          <w:p w:rsidR="00EE67C0" w:rsidRPr="00520549" w:rsidRDefault="00EE67C0" w:rsidP="00ED68ED">
            <w:pPr>
              <w:jc w:val="both"/>
              <w:rPr>
                <w:rFonts w:ascii="Calibri" w:hAnsi="Calibri" w:cs="Arial"/>
                <w:b/>
                <w:bCs/>
                <w:sz w:val="18"/>
                <w:szCs w:val="18"/>
              </w:rPr>
            </w:pPr>
            <w:r w:rsidRPr="00520549">
              <w:rPr>
                <w:rFonts w:ascii="Calibri" w:hAnsi="Calibri" w:cs="Arial"/>
                <w:b/>
                <w:bCs/>
                <w:sz w:val="18"/>
                <w:szCs w:val="18"/>
              </w:rPr>
              <w:t xml:space="preserve">Total </w:t>
            </w:r>
          </w:p>
        </w:tc>
        <w:tc>
          <w:tcPr>
            <w:tcW w:w="1165"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38</w:t>
            </w:r>
          </w:p>
        </w:tc>
        <w:tc>
          <w:tcPr>
            <w:tcW w:w="1068"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w:t>
            </w:r>
          </w:p>
        </w:tc>
        <w:tc>
          <w:tcPr>
            <w:tcW w:w="1277"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2</w:t>
            </w:r>
          </w:p>
        </w:tc>
        <w:tc>
          <w:tcPr>
            <w:tcW w:w="689" w:type="dxa"/>
            <w:tcBorders>
              <w:top w:val="nil"/>
              <w:left w:val="nil"/>
              <w:bottom w:val="single" w:sz="8" w:space="0" w:color="auto"/>
              <w:right w:val="single" w:sz="8" w:space="0" w:color="auto"/>
            </w:tcBorders>
            <w:noWrap/>
            <w:vAlign w:val="center"/>
          </w:tcPr>
          <w:p w:rsidR="00EE67C0" w:rsidRPr="00520549" w:rsidRDefault="00EE67C0" w:rsidP="00ED68ED">
            <w:pPr>
              <w:jc w:val="center"/>
              <w:rPr>
                <w:rFonts w:ascii="Calibri" w:hAnsi="Calibri" w:cs="Arial"/>
                <w:b/>
                <w:bCs/>
                <w:sz w:val="18"/>
                <w:szCs w:val="18"/>
              </w:rPr>
            </w:pPr>
            <w:r w:rsidRPr="00520549">
              <w:rPr>
                <w:rFonts w:ascii="Calibri" w:hAnsi="Calibri" w:cs="Arial"/>
                <w:b/>
                <w:bCs/>
                <w:sz w:val="18"/>
                <w:szCs w:val="18"/>
              </w:rPr>
              <w:t>44</w:t>
            </w:r>
          </w:p>
        </w:tc>
      </w:tr>
    </w:tbl>
    <w:p w:rsidR="00EE67C0" w:rsidRPr="00520549" w:rsidRDefault="00EE67C0" w:rsidP="00ED68ED">
      <w:pPr>
        <w:pStyle w:val="ListParagraph"/>
        <w:ind w:left="2160"/>
        <w:jc w:val="both"/>
        <w:rPr>
          <w:rFonts w:ascii="Calibri" w:hAnsi="Calibri"/>
        </w:rPr>
      </w:pPr>
    </w:p>
    <w:p w:rsidR="00EE67C0" w:rsidRPr="00520549" w:rsidRDefault="00EE67C0" w:rsidP="0090546C">
      <w:pPr>
        <w:ind w:left="1800" w:hanging="360"/>
        <w:jc w:val="both"/>
        <w:rPr>
          <w:rFonts w:ascii="Calibri" w:hAnsi="Calibri"/>
        </w:rPr>
      </w:pPr>
      <w:r w:rsidRPr="00520549">
        <w:rPr>
          <w:rFonts w:ascii="Calibri" w:hAnsi="Calibri"/>
        </w:rPr>
        <w:tab/>
        <w:t>The table above shows that 6 PIEs had not provided information on their internal audit function in their annual reports. Out of these 6 PIEs, 4 had explained the following:</w:t>
      </w:r>
    </w:p>
    <w:p w:rsidR="00EE67C0" w:rsidRPr="00520549" w:rsidRDefault="00EE67C0" w:rsidP="00ED68ED">
      <w:pPr>
        <w:ind w:left="2160" w:hanging="360"/>
        <w:jc w:val="both"/>
        <w:rPr>
          <w:rFonts w:ascii="Calibri" w:hAnsi="Calibri"/>
        </w:rPr>
      </w:pPr>
    </w:p>
    <w:p w:rsidR="00EE67C0" w:rsidRPr="00520549" w:rsidRDefault="00EE67C0" w:rsidP="008D126B">
      <w:pPr>
        <w:numPr>
          <w:ilvl w:val="0"/>
          <w:numId w:val="15"/>
        </w:numPr>
        <w:tabs>
          <w:tab w:val="left" w:pos="2250"/>
        </w:tabs>
        <w:ind w:left="2250" w:hanging="450"/>
        <w:jc w:val="both"/>
        <w:rPr>
          <w:rFonts w:ascii="Calibri" w:hAnsi="Calibri"/>
        </w:rPr>
      </w:pPr>
      <w:r w:rsidRPr="00520549">
        <w:rPr>
          <w:rFonts w:ascii="Calibri" w:hAnsi="Calibri"/>
        </w:rPr>
        <w:t>Internal audit function was being discharged at holding level;</w:t>
      </w:r>
    </w:p>
    <w:p w:rsidR="00EE67C0" w:rsidRPr="00520549" w:rsidRDefault="00EE67C0" w:rsidP="008D126B">
      <w:pPr>
        <w:numPr>
          <w:ilvl w:val="0"/>
          <w:numId w:val="15"/>
        </w:numPr>
        <w:tabs>
          <w:tab w:val="left" w:pos="2250"/>
        </w:tabs>
        <w:ind w:left="2250" w:hanging="450"/>
        <w:jc w:val="both"/>
        <w:rPr>
          <w:rFonts w:ascii="Calibri" w:hAnsi="Calibri"/>
        </w:rPr>
      </w:pPr>
      <w:r w:rsidRPr="00520549">
        <w:rPr>
          <w:rFonts w:ascii="Calibri" w:hAnsi="Calibri"/>
        </w:rPr>
        <w:t xml:space="preserve">Due to the size and complexity of the business, there is no internal audit function within the company; and </w:t>
      </w:r>
    </w:p>
    <w:p w:rsidR="00EE67C0" w:rsidRPr="00520549" w:rsidRDefault="00EE67C0" w:rsidP="008D126B">
      <w:pPr>
        <w:numPr>
          <w:ilvl w:val="0"/>
          <w:numId w:val="15"/>
        </w:numPr>
        <w:tabs>
          <w:tab w:val="left" w:pos="2250"/>
        </w:tabs>
        <w:ind w:left="2250" w:hanging="450"/>
        <w:jc w:val="both"/>
        <w:rPr>
          <w:rFonts w:ascii="Calibri" w:hAnsi="Calibri"/>
        </w:rPr>
      </w:pPr>
      <w:r w:rsidRPr="00520549">
        <w:rPr>
          <w:rFonts w:ascii="Calibri" w:hAnsi="Calibri"/>
        </w:rPr>
        <w:t>Oversight of the financial reporting process is made by the board of directors.</w:t>
      </w:r>
    </w:p>
    <w:p w:rsidR="00EE67C0" w:rsidRPr="00520549" w:rsidRDefault="00EE67C0" w:rsidP="00ED68ED">
      <w:pPr>
        <w:ind w:left="1800"/>
        <w:jc w:val="both"/>
        <w:rPr>
          <w:rFonts w:ascii="Calibri" w:hAnsi="Calibri"/>
        </w:rPr>
      </w:pPr>
    </w:p>
    <w:p w:rsidR="00EE67C0" w:rsidRPr="00520549" w:rsidRDefault="00EE67C0" w:rsidP="008D126B">
      <w:pPr>
        <w:pStyle w:val="ListParagraph"/>
        <w:numPr>
          <w:ilvl w:val="0"/>
          <w:numId w:val="16"/>
        </w:numPr>
        <w:ind w:left="1800"/>
        <w:contextualSpacing/>
        <w:jc w:val="both"/>
        <w:rPr>
          <w:rFonts w:ascii="Calibri" w:hAnsi="Calibri"/>
          <w:b/>
        </w:rPr>
      </w:pPr>
      <w:r w:rsidRPr="00520549">
        <w:rPr>
          <w:rFonts w:ascii="Calibri" w:hAnsi="Calibri"/>
          <w:b/>
        </w:rPr>
        <w:t>Other corporate governance issues</w:t>
      </w:r>
    </w:p>
    <w:p w:rsidR="00EE67C0" w:rsidRPr="00520549" w:rsidRDefault="00EE67C0" w:rsidP="00ED68ED">
      <w:pPr>
        <w:rPr>
          <w:rFonts w:ascii="Calibri" w:hAnsi="Calibri"/>
          <w:b/>
        </w:rPr>
      </w:pPr>
    </w:p>
    <w:p w:rsidR="00EE67C0" w:rsidRPr="00520549" w:rsidRDefault="00EE67C0" w:rsidP="00ED68ED">
      <w:pPr>
        <w:ind w:left="1800"/>
        <w:jc w:val="both"/>
        <w:rPr>
          <w:rFonts w:ascii="Calibri" w:hAnsi="Calibri"/>
        </w:rPr>
      </w:pPr>
      <w:r w:rsidRPr="00520549">
        <w:rPr>
          <w:rFonts w:ascii="Calibri" w:hAnsi="Calibri"/>
        </w:rPr>
        <w:t>During the course of its annual report reviews, FRC identified some uncommon non-compliances issues with respect to the following:</w:t>
      </w:r>
    </w:p>
    <w:p w:rsidR="00EE67C0" w:rsidRPr="00520549" w:rsidRDefault="00EE67C0" w:rsidP="00ED68ED">
      <w:pPr>
        <w:ind w:left="1800"/>
        <w:rPr>
          <w:rFonts w:ascii="Calibri" w:hAnsi="Calibri"/>
          <w:b/>
        </w:rPr>
      </w:pPr>
    </w:p>
    <w:p w:rsidR="00EE67C0" w:rsidRPr="00520549" w:rsidRDefault="00EE67C0" w:rsidP="008D126B">
      <w:pPr>
        <w:pStyle w:val="ListParagraph"/>
        <w:numPr>
          <w:ilvl w:val="0"/>
          <w:numId w:val="17"/>
        </w:numPr>
        <w:contextualSpacing/>
        <w:jc w:val="both"/>
        <w:rPr>
          <w:rFonts w:ascii="Calibri" w:hAnsi="Calibri"/>
        </w:rPr>
      </w:pPr>
      <w:r w:rsidRPr="00520549">
        <w:rPr>
          <w:rFonts w:ascii="Calibri" w:hAnsi="Calibri"/>
        </w:rPr>
        <w:t>Information on internal control and internal audit (section 5 Risk Management, Internal Control and Internal Audit);</w:t>
      </w:r>
    </w:p>
    <w:p w:rsidR="00EE67C0" w:rsidRPr="00520549" w:rsidRDefault="00EE67C0" w:rsidP="008D126B">
      <w:pPr>
        <w:pStyle w:val="ListParagraph"/>
        <w:numPr>
          <w:ilvl w:val="0"/>
          <w:numId w:val="17"/>
        </w:numPr>
        <w:contextualSpacing/>
        <w:jc w:val="both"/>
        <w:rPr>
          <w:rFonts w:ascii="Calibri" w:hAnsi="Calibri"/>
        </w:rPr>
      </w:pPr>
      <w:r w:rsidRPr="00520549">
        <w:rPr>
          <w:rFonts w:ascii="Calibri" w:hAnsi="Calibri"/>
        </w:rPr>
        <w:t>Details and amount paid for non-audit services (section 6 Accounting and Auditing);</w:t>
      </w:r>
    </w:p>
    <w:p w:rsidR="00EE67C0" w:rsidRPr="00520549" w:rsidRDefault="00EE67C0" w:rsidP="008D126B">
      <w:pPr>
        <w:pStyle w:val="ListParagraph"/>
        <w:numPr>
          <w:ilvl w:val="0"/>
          <w:numId w:val="17"/>
        </w:numPr>
        <w:contextualSpacing/>
        <w:jc w:val="both"/>
        <w:rPr>
          <w:rFonts w:ascii="Calibri" w:hAnsi="Calibri"/>
        </w:rPr>
      </w:pPr>
      <w:r w:rsidRPr="00520549">
        <w:rPr>
          <w:rFonts w:ascii="Calibri" w:hAnsi="Calibri"/>
        </w:rPr>
        <w:t xml:space="preserve">Statement of remuneration philosophy (section 8 Communication and Disclosure); </w:t>
      </w:r>
    </w:p>
    <w:p w:rsidR="00EE67C0" w:rsidRPr="00520549" w:rsidRDefault="00EE67C0" w:rsidP="008D126B">
      <w:pPr>
        <w:pStyle w:val="ListParagraph"/>
        <w:numPr>
          <w:ilvl w:val="0"/>
          <w:numId w:val="17"/>
        </w:numPr>
        <w:contextualSpacing/>
        <w:jc w:val="both"/>
        <w:rPr>
          <w:rFonts w:ascii="Calibri" w:hAnsi="Calibri"/>
        </w:rPr>
      </w:pPr>
      <w:r w:rsidRPr="00520549">
        <w:rPr>
          <w:rFonts w:ascii="Calibri" w:hAnsi="Calibri"/>
        </w:rPr>
        <w:t>Policies and practices as regards social, ethical, safety, health and environmental issues (section 8 Communication and Disclosure);</w:t>
      </w:r>
    </w:p>
    <w:p w:rsidR="00EE67C0" w:rsidRPr="00520549" w:rsidRDefault="00EE67C0" w:rsidP="008D126B">
      <w:pPr>
        <w:pStyle w:val="ListParagraph"/>
        <w:numPr>
          <w:ilvl w:val="0"/>
          <w:numId w:val="17"/>
        </w:numPr>
        <w:contextualSpacing/>
        <w:jc w:val="both"/>
        <w:rPr>
          <w:rFonts w:ascii="Calibri" w:hAnsi="Calibri"/>
        </w:rPr>
      </w:pPr>
      <w:r w:rsidRPr="00520549">
        <w:rPr>
          <w:rFonts w:ascii="Calibri" w:hAnsi="Calibri"/>
        </w:rPr>
        <w:t>A detailed time table specifying important events (section 8 Communication and Disclosure); and</w:t>
      </w:r>
    </w:p>
    <w:p w:rsidR="00EE67C0" w:rsidRPr="00520549" w:rsidRDefault="00EE67C0" w:rsidP="008D126B">
      <w:pPr>
        <w:pStyle w:val="ListParagraph"/>
        <w:numPr>
          <w:ilvl w:val="0"/>
          <w:numId w:val="17"/>
        </w:numPr>
        <w:contextualSpacing/>
        <w:jc w:val="both"/>
        <w:rPr>
          <w:rFonts w:ascii="Calibri" w:hAnsi="Calibri"/>
        </w:rPr>
      </w:pPr>
      <w:r w:rsidRPr="00520549">
        <w:rPr>
          <w:rFonts w:ascii="Calibri" w:hAnsi="Calibri"/>
        </w:rPr>
        <w:t>Directors’ responsibilities for financial statements and accounting records (Section 8 Communication and Disclosure).</w:t>
      </w:r>
    </w:p>
    <w:p w:rsidR="00EE67C0" w:rsidRPr="00520549" w:rsidRDefault="00EE67C0" w:rsidP="00ED68ED">
      <w:pPr>
        <w:pStyle w:val="ListParagraph"/>
        <w:ind w:left="2160"/>
        <w:contextualSpacing/>
        <w:jc w:val="both"/>
        <w:rPr>
          <w:rFonts w:ascii="Calibri" w:hAnsi="Calibri"/>
        </w:rPr>
      </w:pPr>
    </w:p>
    <w:p w:rsidR="00EE67C0" w:rsidRPr="00520549" w:rsidRDefault="00EE67C0" w:rsidP="0090546C">
      <w:pPr>
        <w:ind w:left="1440" w:hanging="720"/>
        <w:jc w:val="both"/>
        <w:rPr>
          <w:rFonts w:ascii="Calibri" w:hAnsi="Calibri"/>
          <w:b/>
        </w:rPr>
      </w:pPr>
      <w:r w:rsidRPr="00520549">
        <w:rPr>
          <w:rFonts w:ascii="Calibri" w:hAnsi="Calibri"/>
          <w:b/>
        </w:rPr>
        <w:t>(b)</w:t>
      </w:r>
      <w:r w:rsidRPr="00520549">
        <w:rPr>
          <w:rFonts w:ascii="Calibri" w:hAnsi="Calibri"/>
          <w:b/>
        </w:rPr>
        <w:tab/>
        <w:t>Explanations provided for non-submission of a corporate governance report</w:t>
      </w:r>
    </w:p>
    <w:p w:rsidR="00EE67C0" w:rsidRPr="00520549" w:rsidRDefault="00EE67C0" w:rsidP="00ED68ED">
      <w:pPr>
        <w:ind w:left="720"/>
        <w:jc w:val="both"/>
        <w:rPr>
          <w:rFonts w:ascii="Calibri" w:hAnsi="Calibri"/>
          <w:b/>
        </w:rPr>
      </w:pPr>
    </w:p>
    <w:p w:rsidR="00EE67C0" w:rsidRDefault="00EE67C0" w:rsidP="00ED68ED">
      <w:pPr>
        <w:ind w:left="1440"/>
        <w:jc w:val="both"/>
        <w:rPr>
          <w:rFonts w:ascii="Calibri" w:hAnsi="Calibri"/>
        </w:rPr>
      </w:pPr>
      <w:r w:rsidRPr="00520549">
        <w:rPr>
          <w:rFonts w:ascii="Calibri" w:hAnsi="Calibri"/>
        </w:rPr>
        <w:t xml:space="preserve">FRC observed that 9 PIEs had provided explanations for not submitting a corporate governance report. These PIEs was reminded to henceforth adopt the </w:t>
      </w:r>
      <w:r>
        <w:rPr>
          <w:rFonts w:ascii="Calibri" w:hAnsi="Calibri"/>
        </w:rPr>
        <w:t>C</w:t>
      </w:r>
      <w:r w:rsidRPr="00520549">
        <w:rPr>
          <w:rFonts w:ascii="Calibri" w:hAnsi="Calibri"/>
        </w:rPr>
        <w:t xml:space="preserve">ode of corporate governance and </w:t>
      </w:r>
      <w:r>
        <w:rPr>
          <w:rFonts w:ascii="Calibri" w:hAnsi="Calibri"/>
        </w:rPr>
        <w:t xml:space="preserve">to </w:t>
      </w:r>
      <w:r w:rsidRPr="00520549">
        <w:rPr>
          <w:rFonts w:ascii="Calibri" w:hAnsi="Calibri"/>
        </w:rPr>
        <w:t xml:space="preserve">comply with section 75 of the Financial Reporting Act.  </w:t>
      </w:r>
    </w:p>
    <w:p w:rsidR="00EE67C0" w:rsidRDefault="00EE67C0" w:rsidP="00ED68ED">
      <w:pPr>
        <w:ind w:left="1440"/>
        <w:jc w:val="both"/>
        <w:rPr>
          <w:rFonts w:ascii="Calibri" w:hAnsi="Calibri"/>
        </w:rPr>
      </w:pPr>
    </w:p>
    <w:p w:rsidR="00EE67C0" w:rsidRPr="00520549" w:rsidRDefault="00EE67C0" w:rsidP="00ED68ED">
      <w:pPr>
        <w:ind w:left="1440"/>
        <w:jc w:val="both"/>
        <w:rPr>
          <w:rFonts w:ascii="Calibri" w:hAnsi="Calibri"/>
          <w:b/>
        </w:rPr>
      </w:pPr>
      <w:r>
        <w:rPr>
          <w:rFonts w:ascii="Calibri" w:hAnsi="Calibri"/>
        </w:rPr>
        <w:t>A PIE cannot provide explanations for not submitting a corporate governance report. It is essential for a PIE to adhere to the good principles of governance as laid down by the code.</w:t>
      </w:r>
    </w:p>
    <w:p w:rsidR="00EE67C0" w:rsidRPr="00520549" w:rsidRDefault="00EE67C0" w:rsidP="00ED68ED">
      <w:pPr>
        <w:ind w:left="360"/>
        <w:jc w:val="both"/>
        <w:rPr>
          <w:rFonts w:ascii="Calibri" w:hAnsi="Calibri"/>
        </w:rPr>
      </w:pPr>
    </w:p>
    <w:p w:rsidR="00EE67C0" w:rsidRPr="00520549" w:rsidRDefault="00EE67C0" w:rsidP="00ED68ED">
      <w:pPr>
        <w:ind w:left="1440"/>
        <w:jc w:val="both"/>
        <w:rPr>
          <w:rFonts w:ascii="Calibri" w:hAnsi="Calibri"/>
        </w:rPr>
      </w:pPr>
      <w:r w:rsidRPr="00520549">
        <w:rPr>
          <w:rFonts w:ascii="Calibri" w:hAnsi="Calibri"/>
        </w:rPr>
        <w:t>The explanations provided for non-submission of a corporate governance report were as follows:</w:t>
      </w:r>
    </w:p>
    <w:p w:rsidR="00EE67C0" w:rsidRPr="00520549" w:rsidRDefault="00EE67C0" w:rsidP="00ED68ED">
      <w:pPr>
        <w:ind w:left="720"/>
        <w:jc w:val="both"/>
        <w:rPr>
          <w:rFonts w:ascii="Calibri" w:hAnsi="Calibri"/>
        </w:rPr>
      </w:pPr>
    </w:p>
    <w:p w:rsidR="00EE67C0" w:rsidRPr="00520549" w:rsidRDefault="00EE67C0" w:rsidP="008D126B">
      <w:pPr>
        <w:numPr>
          <w:ilvl w:val="0"/>
          <w:numId w:val="28"/>
        </w:numPr>
        <w:ind w:left="1800"/>
        <w:jc w:val="both"/>
        <w:rPr>
          <w:rFonts w:ascii="Calibri" w:hAnsi="Calibri"/>
        </w:rPr>
      </w:pPr>
      <w:r w:rsidRPr="00520549">
        <w:rPr>
          <w:rFonts w:ascii="Calibri" w:hAnsi="Calibri"/>
        </w:rPr>
        <w:t>The PIE was a wholly owned subsidiary of another entity and had only one director.  Given the current organisational structure, it considered that disclosures made in other sections of the annual report were sufficient for the various stakeholders in understanding of the operations and the financial performance of the entity</w:t>
      </w:r>
      <w:r>
        <w:rPr>
          <w:rFonts w:ascii="Calibri" w:hAnsi="Calibri"/>
        </w:rPr>
        <w:t>;</w:t>
      </w:r>
    </w:p>
    <w:p w:rsidR="00EE67C0" w:rsidRPr="00520549" w:rsidRDefault="00EE67C0" w:rsidP="00ED68ED">
      <w:pPr>
        <w:ind w:left="1080"/>
        <w:jc w:val="both"/>
        <w:rPr>
          <w:rFonts w:ascii="Calibri" w:hAnsi="Calibri"/>
        </w:rPr>
      </w:pPr>
    </w:p>
    <w:p w:rsidR="00EE67C0" w:rsidRPr="00520549" w:rsidRDefault="00EE67C0" w:rsidP="008D126B">
      <w:pPr>
        <w:numPr>
          <w:ilvl w:val="0"/>
          <w:numId w:val="28"/>
        </w:numPr>
        <w:ind w:left="1800"/>
        <w:jc w:val="both"/>
        <w:rPr>
          <w:rFonts w:ascii="Calibri" w:hAnsi="Calibri"/>
        </w:rPr>
      </w:pPr>
      <w:r w:rsidRPr="00520549">
        <w:rPr>
          <w:rFonts w:ascii="Calibri" w:hAnsi="Calibri"/>
        </w:rPr>
        <w:t>The directors were aware that the requirements of the Code of Corporate Governance had not been fully implemented during the year and remained committed in implementing the full requirements of the Code of Corporate Governance in the next financial statements</w:t>
      </w:r>
      <w:r>
        <w:rPr>
          <w:rFonts w:ascii="Calibri" w:hAnsi="Calibri"/>
        </w:rPr>
        <w:t>;</w:t>
      </w:r>
    </w:p>
    <w:p w:rsidR="00EE67C0" w:rsidRPr="00520549" w:rsidRDefault="00EE67C0" w:rsidP="00ED68ED">
      <w:pPr>
        <w:ind w:left="1080"/>
        <w:jc w:val="both"/>
        <w:rPr>
          <w:rFonts w:ascii="Calibri" w:hAnsi="Calibri"/>
        </w:rPr>
      </w:pPr>
    </w:p>
    <w:p w:rsidR="00EE67C0" w:rsidRPr="00520549" w:rsidRDefault="00EE67C0" w:rsidP="008D126B">
      <w:pPr>
        <w:numPr>
          <w:ilvl w:val="0"/>
          <w:numId w:val="28"/>
        </w:numPr>
        <w:ind w:left="1800"/>
        <w:jc w:val="both"/>
        <w:rPr>
          <w:rFonts w:ascii="Calibri" w:hAnsi="Calibri"/>
        </w:rPr>
      </w:pPr>
      <w:r w:rsidRPr="00520549">
        <w:rPr>
          <w:rFonts w:ascii="Calibri" w:hAnsi="Calibri"/>
        </w:rPr>
        <w:t>Corporate governance was done at holding level and the principles of good governance were being followed throughout the group</w:t>
      </w:r>
      <w:r>
        <w:rPr>
          <w:rFonts w:ascii="Calibri" w:hAnsi="Calibri"/>
        </w:rPr>
        <w:t>;</w:t>
      </w:r>
    </w:p>
    <w:p w:rsidR="00EE67C0" w:rsidRPr="00520549" w:rsidRDefault="00EE67C0" w:rsidP="00ED68ED">
      <w:pPr>
        <w:ind w:left="1080"/>
        <w:jc w:val="both"/>
        <w:rPr>
          <w:rFonts w:ascii="Calibri" w:hAnsi="Calibri"/>
        </w:rPr>
      </w:pPr>
    </w:p>
    <w:p w:rsidR="00EE67C0" w:rsidRPr="00520549" w:rsidRDefault="00EE67C0" w:rsidP="008D126B">
      <w:pPr>
        <w:numPr>
          <w:ilvl w:val="0"/>
          <w:numId w:val="28"/>
        </w:numPr>
        <w:ind w:left="1800"/>
        <w:jc w:val="both"/>
        <w:rPr>
          <w:rFonts w:ascii="Calibri" w:hAnsi="Calibri"/>
        </w:rPr>
      </w:pPr>
      <w:r w:rsidRPr="00520549">
        <w:rPr>
          <w:rFonts w:ascii="Calibri" w:hAnsi="Calibri"/>
        </w:rPr>
        <w:t>The board of directors was accountable and responsible for the performance and affairs of the company and assumed all tasks of compliance and governance</w:t>
      </w:r>
      <w:r>
        <w:rPr>
          <w:rFonts w:ascii="Calibri" w:hAnsi="Calibri"/>
        </w:rPr>
        <w:t>; and</w:t>
      </w:r>
    </w:p>
    <w:p w:rsidR="00EE67C0" w:rsidRPr="00520549" w:rsidRDefault="00EE67C0" w:rsidP="00ED68ED">
      <w:pPr>
        <w:ind w:left="1080"/>
        <w:jc w:val="both"/>
        <w:rPr>
          <w:rFonts w:ascii="Calibri" w:hAnsi="Calibri"/>
        </w:rPr>
      </w:pPr>
    </w:p>
    <w:p w:rsidR="00EE67C0" w:rsidRPr="00520549" w:rsidRDefault="00EE67C0" w:rsidP="008D126B">
      <w:pPr>
        <w:numPr>
          <w:ilvl w:val="0"/>
          <w:numId w:val="28"/>
        </w:numPr>
        <w:ind w:left="1800"/>
        <w:jc w:val="both"/>
        <w:rPr>
          <w:rFonts w:ascii="Calibri" w:hAnsi="Calibri"/>
        </w:rPr>
      </w:pPr>
      <w:r w:rsidRPr="00520549">
        <w:rPr>
          <w:rFonts w:ascii="Calibri" w:hAnsi="Calibri"/>
        </w:rPr>
        <w:t>The company was a family owned business consisting of investment in subsidiaries which are listed on the Stock Exchange of Mauritius and equipped with fully fledged systems of Corporate Governance.</w:t>
      </w:r>
    </w:p>
    <w:p w:rsidR="00EE67C0" w:rsidRPr="00520549" w:rsidRDefault="00EE67C0" w:rsidP="00ED68ED">
      <w:pPr>
        <w:ind w:left="360"/>
        <w:jc w:val="both"/>
        <w:rPr>
          <w:rFonts w:ascii="Calibri" w:hAnsi="Calibri"/>
        </w:rPr>
      </w:pPr>
    </w:p>
    <w:p w:rsidR="00EE67C0" w:rsidRPr="00520549" w:rsidRDefault="00EE67C0" w:rsidP="00ED68ED">
      <w:pPr>
        <w:tabs>
          <w:tab w:val="left" w:pos="1440"/>
        </w:tabs>
        <w:ind w:left="1440" w:hanging="810"/>
        <w:jc w:val="both"/>
        <w:rPr>
          <w:rFonts w:ascii="Calibri" w:hAnsi="Calibri"/>
          <w:b/>
        </w:rPr>
      </w:pPr>
      <w:r w:rsidRPr="00520549">
        <w:rPr>
          <w:rFonts w:ascii="Calibri" w:hAnsi="Calibri"/>
          <w:b/>
        </w:rPr>
        <w:t>(c)</w:t>
      </w:r>
      <w:r w:rsidRPr="00520549">
        <w:rPr>
          <w:rFonts w:ascii="Calibri" w:hAnsi="Calibri"/>
          <w:b/>
        </w:rPr>
        <w:tab/>
        <w:t xml:space="preserve">No explanations provided for non-submission of corporate governance report </w:t>
      </w:r>
    </w:p>
    <w:p w:rsidR="00EE67C0" w:rsidRPr="00520549" w:rsidRDefault="00EE67C0" w:rsidP="00ED68ED">
      <w:pPr>
        <w:jc w:val="both"/>
        <w:rPr>
          <w:rFonts w:ascii="Calibri" w:hAnsi="Calibri"/>
        </w:rPr>
      </w:pPr>
    </w:p>
    <w:p w:rsidR="00EE67C0" w:rsidRPr="00520549" w:rsidRDefault="00EE67C0" w:rsidP="00ED68ED">
      <w:pPr>
        <w:ind w:left="1440"/>
        <w:jc w:val="both"/>
        <w:rPr>
          <w:rFonts w:ascii="Calibri" w:hAnsi="Calibri"/>
        </w:rPr>
      </w:pPr>
      <w:r w:rsidRPr="00520549">
        <w:rPr>
          <w:rFonts w:ascii="Calibri" w:hAnsi="Calibri"/>
        </w:rPr>
        <w:t xml:space="preserve">3 PIEs had not submitted a corporate governance report and had not provided explanations in this respect.  </w:t>
      </w:r>
    </w:p>
    <w:p w:rsidR="00EE67C0" w:rsidRPr="00520549" w:rsidRDefault="00EE67C0" w:rsidP="00ED68ED">
      <w:pPr>
        <w:ind w:left="720"/>
        <w:jc w:val="both"/>
        <w:rPr>
          <w:rFonts w:ascii="Calibri" w:hAnsi="Calibri"/>
        </w:rPr>
      </w:pPr>
    </w:p>
    <w:p w:rsidR="00EE67C0" w:rsidRPr="00520549" w:rsidRDefault="00EE67C0" w:rsidP="00ED68ED">
      <w:pPr>
        <w:ind w:left="1440"/>
        <w:jc w:val="both"/>
        <w:rPr>
          <w:rFonts w:ascii="Calibri" w:hAnsi="Calibri"/>
        </w:rPr>
      </w:pPr>
      <w:r w:rsidRPr="00520549">
        <w:rPr>
          <w:rFonts w:ascii="Calibri" w:hAnsi="Calibri"/>
        </w:rPr>
        <w:t xml:space="preserve">The PIEs were reminded of the requirement of section 75(2) of the Financial Reporting Act and that of the need to comply with each requirement of the code of corporate governance on a ‘comply or explain principle.’ </w:t>
      </w:r>
    </w:p>
    <w:p w:rsidR="00EE67C0" w:rsidRPr="00520549" w:rsidRDefault="00EE67C0" w:rsidP="00ED68ED">
      <w:pPr>
        <w:ind w:left="1080"/>
        <w:jc w:val="both"/>
        <w:rPr>
          <w:rFonts w:ascii="Calibri" w:hAnsi="Calibri"/>
        </w:rPr>
      </w:pPr>
    </w:p>
    <w:p w:rsidR="00EE67C0" w:rsidRPr="00520549" w:rsidRDefault="00EE67C0" w:rsidP="00ED68ED">
      <w:pPr>
        <w:ind w:left="1440"/>
        <w:jc w:val="both"/>
        <w:rPr>
          <w:rFonts w:ascii="Calibri" w:hAnsi="Calibri"/>
        </w:rPr>
      </w:pPr>
      <w:r w:rsidRPr="00520549">
        <w:rPr>
          <w:rFonts w:ascii="Calibri" w:hAnsi="Calibri"/>
        </w:rPr>
        <w:t>Out of the 3 PIEs, 2 PIEs took note of the non-compliance raised with regards to the requirements of the code of corporate governance. The reply of the remaining PIE is still outstanding.</w:t>
      </w:r>
    </w:p>
    <w:p w:rsidR="00EE67C0" w:rsidRPr="00520549" w:rsidRDefault="00EE67C0" w:rsidP="00ED68ED">
      <w:pPr>
        <w:ind w:left="1440"/>
        <w:jc w:val="both"/>
        <w:rPr>
          <w:rFonts w:ascii="Calibri" w:hAnsi="Calibri"/>
        </w:rPr>
      </w:pPr>
    </w:p>
    <w:p w:rsidR="00EE67C0" w:rsidRPr="00520549" w:rsidRDefault="00EE67C0" w:rsidP="00ED68ED">
      <w:pPr>
        <w:ind w:left="1440"/>
        <w:jc w:val="both"/>
        <w:rPr>
          <w:rFonts w:ascii="Calibri" w:hAnsi="Calibri"/>
          <w:b/>
        </w:rPr>
      </w:pPr>
    </w:p>
    <w:p w:rsidR="00EE67C0" w:rsidRPr="00520549" w:rsidRDefault="00EE67C0" w:rsidP="00ED68ED">
      <w:pPr>
        <w:ind w:left="720" w:hanging="720"/>
        <w:jc w:val="both"/>
        <w:rPr>
          <w:rFonts w:ascii="Calibri" w:hAnsi="Calibri"/>
          <w:b/>
        </w:rPr>
      </w:pPr>
      <w:r w:rsidRPr="00520549">
        <w:rPr>
          <w:rFonts w:ascii="Calibri" w:hAnsi="Calibri"/>
          <w:b/>
        </w:rPr>
        <w:t>2.3</w:t>
      </w:r>
      <w:r w:rsidRPr="00520549">
        <w:rPr>
          <w:rFonts w:ascii="Calibri" w:hAnsi="Calibri"/>
          <w:b/>
        </w:rPr>
        <w:tab/>
        <w:t>Reporting by Auditors in compliance with Section 39(3) of the FR Act</w:t>
      </w:r>
    </w:p>
    <w:p w:rsidR="00EE67C0" w:rsidRPr="00520549" w:rsidRDefault="00EE67C0" w:rsidP="00ED68ED">
      <w:pPr>
        <w:tabs>
          <w:tab w:val="left" w:pos="709"/>
          <w:tab w:val="left" w:pos="810"/>
        </w:tabs>
        <w:ind w:left="709"/>
        <w:jc w:val="both"/>
        <w:rPr>
          <w:rFonts w:ascii="Calibri" w:hAnsi="Calibri"/>
        </w:rPr>
      </w:pPr>
    </w:p>
    <w:p w:rsidR="00EE67C0" w:rsidRPr="00520549" w:rsidRDefault="00EE67C0" w:rsidP="00ED68ED">
      <w:pPr>
        <w:tabs>
          <w:tab w:val="left" w:pos="709"/>
        </w:tabs>
        <w:ind w:left="709"/>
        <w:jc w:val="both"/>
        <w:rPr>
          <w:rFonts w:ascii="Calibri" w:hAnsi="Calibri"/>
        </w:rPr>
      </w:pPr>
      <w:r w:rsidRPr="00520549">
        <w:rPr>
          <w:rFonts w:ascii="Calibri" w:hAnsi="Calibri"/>
        </w:rPr>
        <w:t>Section 39(3) of the Financial Reporting Act requires an auditor to report whether the disclosures made in the corporate governance report are consistent with the Code. The format of this report on corporate governance by auditors is laid out in the guidelines on compliance with corporate governance – Government Gazette No. 64 of 20 July 2013, General Notice No. 1819.</w:t>
      </w:r>
    </w:p>
    <w:p w:rsidR="00EE67C0" w:rsidRPr="00520549" w:rsidRDefault="00EE67C0" w:rsidP="00ED68ED">
      <w:pPr>
        <w:tabs>
          <w:tab w:val="left" w:pos="709"/>
        </w:tabs>
        <w:ind w:left="709"/>
        <w:jc w:val="both"/>
        <w:rPr>
          <w:rFonts w:ascii="Calibri" w:hAnsi="Calibri"/>
        </w:rPr>
      </w:pPr>
    </w:p>
    <w:p w:rsidR="00EE67C0" w:rsidRPr="00520549" w:rsidRDefault="00EE67C0" w:rsidP="00ED68ED">
      <w:pPr>
        <w:ind w:left="720"/>
        <w:jc w:val="both"/>
        <w:rPr>
          <w:rFonts w:ascii="Calibri" w:hAnsi="Calibri"/>
        </w:rPr>
      </w:pPr>
      <w:r w:rsidRPr="00520549">
        <w:rPr>
          <w:rFonts w:ascii="Calibri" w:hAnsi="Calibri"/>
        </w:rPr>
        <w:t xml:space="preserve">From the 56 Annual Reports reviewed, FRC observed that the </w:t>
      </w:r>
      <w:r w:rsidRPr="00520549">
        <w:rPr>
          <w:rFonts w:ascii="Calibri" w:hAnsi="Calibri"/>
          <w:b/>
          <w:u w:val="single"/>
        </w:rPr>
        <w:t>auditors</w:t>
      </w:r>
      <w:r w:rsidRPr="00520549">
        <w:rPr>
          <w:rFonts w:ascii="Calibri" w:hAnsi="Calibri"/>
        </w:rPr>
        <w:t xml:space="preserve"> of:</w:t>
      </w:r>
    </w:p>
    <w:p w:rsidR="00EE67C0" w:rsidRPr="00520549" w:rsidRDefault="00EE67C0" w:rsidP="00ED68ED">
      <w:pPr>
        <w:ind w:left="720"/>
        <w:jc w:val="both"/>
        <w:rPr>
          <w:rFonts w:ascii="Calibri" w:hAnsi="Calibri"/>
        </w:rPr>
      </w:pPr>
    </w:p>
    <w:p w:rsidR="00EE67C0" w:rsidRPr="00520549" w:rsidRDefault="00EE67C0" w:rsidP="00ED68ED">
      <w:pPr>
        <w:ind w:left="720"/>
        <w:jc w:val="both"/>
        <w:rPr>
          <w:rFonts w:ascii="Calibri" w:hAnsi="Calibri"/>
          <w:b/>
        </w:rPr>
      </w:pPr>
      <w:r w:rsidRPr="00520549">
        <w:rPr>
          <w:rFonts w:ascii="Calibri" w:hAnsi="Calibri"/>
          <w:b/>
        </w:rPr>
        <w:t>50 PIEs [</w:t>
      </w:r>
      <w:r w:rsidRPr="00520549">
        <w:rPr>
          <w:rFonts w:ascii="Calibri" w:hAnsi="Calibri"/>
        </w:rPr>
        <w:t xml:space="preserve">7 listed (1 BIF, 2 Commerce, 3 Industry and 1 Leisure &amp; Hotels), 3 regulated by BOM, 4 PIEs regulated by FSC (including 1 public) and 36 </w:t>
      </w:r>
      <w:r>
        <w:rPr>
          <w:rFonts w:ascii="Calibri" w:hAnsi="Calibri"/>
        </w:rPr>
        <w:t>PIEs in Category 4</w:t>
      </w:r>
      <w:r w:rsidRPr="00520549">
        <w:rPr>
          <w:rFonts w:ascii="Calibri" w:hAnsi="Calibri"/>
        </w:rPr>
        <w:t xml:space="preserve"> (including 2 public</w:t>
      </w:r>
      <w:r w:rsidRPr="00520549">
        <w:rPr>
          <w:rFonts w:ascii="Calibri" w:hAnsi="Calibri"/>
          <w:b/>
        </w:rPr>
        <w:t>] had reported on the consistency of the requirements of the Code</w:t>
      </w:r>
      <w:r>
        <w:rPr>
          <w:rFonts w:ascii="Calibri" w:hAnsi="Calibri"/>
          <w:b/>
        </w:rPr>
        <w:t>; and</w:t>
      </w:r>
    </w:p>
    <w:p w:rsidR="00EE67C0" w:rsidRPr="00520549" w:rsidRDefault="00EE67C0" w:rsidP="00ED68ED">
      <w:pPr>
        <w:jc w:val="both"/>
        <w:rPr>
          <w:rFonts w:ascii="Calibri" w:hAnsi="Calibri"/>
          <w:b/>
        </w:rPr>
      </w:pPr>
    </w:p>
    <w:p w:rsidR="00EE67C0" w:rsidRPr="00E90D02" w:rsidRDefault="00EE67C0" w:rsidP="00E90D02">
      <w:pPr>
        <w:ind w:left="720"/>
        <w:jc w:val="both"/>
        <w:rPr>
          <w:rFonts w:ascii="Calibri" w:hAnsi="Calibri"/>
          <w:b/>
        </w:rPr>
      </w:pPr>
      <w:r w:rsidRPr="00520549">
        <w:rPr>
          <w:rFonts w:ascii="Calibri" w:hAnsi="Calibri"/>
          <w:b/>
        </w:rPr>
        <w:t>6 PIEs [</w:t>
      </w:r>
      <w:r w:rsidRPr="00520549">
        <w:rPr>
          <w:rFonts w:ascii="Calibri" w:hAnsi="Calibri"/>
        </w:rPr>
        <w:t xml:space="preserve">1 PIE regulated by FSC and 5 </w:t>
      </w:r>
      <w:r>
        <w:rPr>
          <w:rFonts w:ascii="Calibri" w:hAnsi="Calibri"/>
        </w:rPr>
        <w:t>PIEsin Category 4</w:t>
      </w:r>
      <w:r w:rsidRPr="00520549">
        <w:rPr>
          <w:rFonts w:ascii="Calibri" w:hAnsi="Calibri"/>
        </w:rPr>
        <w:t>]</w:t>
      </w:r>
      <w:r w:rsidRPr="00520549">
        <w:rPr>
          <w:rFonts w:ascii="Calibri" w:hAnsi="Calibri"/>
          <w:b/>
        </w:rPr>
        <w:t xml:space="preserve"> had not reported on the consistency of the requirements of the Code. </w:t>
      </w:r>
    </w:p>
    <w:p w:rsidR="00EE67C0" w:rsidRPr="00520549" w:rsidRDefault="00EE67C0" w:rsidP="00ED68ED">
      <w:pPr>
        <w:tabs>
          <w:tab w:val="left" w:pos="709"/>
          <w:tab w:val="left" w:pos="810"/>
        </w:tabs>
        <w:ind w:left="709"/>
        <w:jc w:val="both"/>
        <w:rPr>
          <w:rFonts w:ascii="Calibri" w:hAnsi="Calibri"/>
        </w:rPr>
      </w:pPr>
      <w:r w:rsidRPr="00520549">
        <w:rPr>
          <w:rFonts w:ascii="Calibri" w:hAnsi="Calibri"/>
        </w:rPr>
        <w:t xml:space="preserve">The auditors who had not complied with Section 39 (3) of the Financial Reporting Act and the guidelines, were requested to provide explanations to the FRC.  </w:t>
      </w:r>
    </w:p>
    <w:p w:rsidR="00EE67C0" w:rsidRPr="00C35531" w:rsidRDefault="00EE67C0" w:rsidP="00BC15F9">
      <w:pPr>
        <w:autoSpaceDE w:val="0"/>
        <w:autoSpaceDN w:val="0"/>
        <w:adjustRightInd w:val="0"/>
        <w:jc w:val="both"/>
        <w:rPr>
          <w:rFonts w:ascii="Calibri" w:hAnsi="Calibri" w:cs="Arial"/>
          <w:b/>
          <w:color w:val="0000FF"/>
          <w:sz w:val="28"/>
          <w:szCs w:val="28"/>
          <w:highlight w:val="yellow"/>
        </w:rPr>
      </w:pPr>
    </w:p>
    <w:p w:rsidR="00EE67C0" w:rsidRPr="00D228BC" w:rsidRDefault="00EE67C0" w:rsidP="00BC15F9">
      <w:pPr>
        <w:autoSpaceDE w:val="0"/>
        <w:autoSpaceDN w:val="0"/>
        <w:adjustRightInd w:val="0"/>
        <w:jc w:val="both"/>
        <w:rPr>
          <w:rFonts w:ascii="Calibri" w:hAnsi="Calibri" w:cs="Arial"/>
          <w:b/>
          <w:color w:val="0000FF"/>
          <w:sz w:val="28"/>
          <w:szCs w:val="28"/>
        </w:rPr>
      </w:pPr>
      <w:r w:rsidRPr="00D228BC">
        <w:rPr>
          <w:rFonts w:ascii="Calibri" w:hAnsi="Calibri" w:cs="Arial"/>
          <w:b/>
          <w:color w:val="0000FF"/>
          <w:sz w:val="28"/>
          <w:szCs w:val="28"/>
        </w:rPr>
        <w:t>3.</w:t>
      </w:r>
      <w:r w:rsidRPr="00D228BC">
        <w:rPr>
          <w:rFonts w:ascii="Calibri" w:hAnsi="Calibri" w:cs="Arial"/>
          <w:b/>
          <w:color w:val="0000FF"/>
          <w:sz w:val="28"/>
          <w:szCs w:val="28"/>
        </w:rPr>
        <w:tab/>
      </w:r>
      <w:bookmarkStart w:id="12" w:name="_Hlk395611358"/>
      <w:r w:rsidRPr="00D228BC">
        <w:rPr>
          <w:rFonts w:ascii="Calibri" w:hAnsi="Calibri" w:cs="Arial"/>
          <w:b/>
          <w:color w:val="0000FF"/>
          <w:sz w:val="28"/>
          <w:szCs w:val="28"/>
        </w:rPr>
        <w:t>Working Capital (Net Current Liabilities)</w:t>
      </w:r>
      <w:bookmarkEnd w:id="10"/>
      <w:bookmarkEnd w:id="11"/>
      <w:bookmarkEnd w:id="12"/>
    </w:p>
    <w:p w:rsidR="00EE67C0" w:rsidRPr="00D228BC" w:rsidRDefault="00EE67C0" w:rsidP="00BC15F9">
      <w:pPr>
        <w:jc w:val="both"/>
        <w:rPr>
          <w:rFonts w:ascii="Calibri" w:hAnsi="Calibri" w:cs="Arial"/>
          <w:sz w:val="16"/>
          <w:szCs w:val="16"/>
          <w:lang w:val="en-GB"/>
        </w:rPr>
      </w:pPr>
    </w:p>
    <w:p w:rsidR="00EE67C0" w:rsidRPr="00D228BC" w:rsidRDefault="00EE67C0" w:rsidP="0047388E">
      <w:pPr>
        <w:ind w:left="748"/>
        <w:jc w:val="both"/>
        <w:rPr>
          <w:rFonts w:ascii="Calibri" w:hAnsi="Calibri" w:cs="Arial"/>
        </w:rPr>
      </w:pPr>
      <w:r w:rsidRPr="00D228BC">
        <w:rPr>
          <w:rFonts w:ascii="Calibri" w:hAnsi="Calibri" w:cs="Arial"/>
        </w:rPr>
        <w:t xml:space="preserve">Section 61(b) of the Companies Act 2001 provides that the board may authorise a distribution at such time and of such amounts it thinks fit, if it is that the company shall, upon the distribution being made, satisfy the solvency test. </w:t>
      </w:r>
    </w:p>
    <w:p w:rsidR="00EE67C0" w:rsidRPr="00D228BC" w:rsidRDefault="00EE67C0" w:rsidP="0047388E">
      <w:pPr>
        <w:ind w:left="748"/>
        <w:jc w:val="both"/>
        <w:rPr>
          <w:rFonts w:ascii="Calibri" w:hAnsi="Calibri" w:cs="Arial"/>
        </w:rPr>
      </w:pPr>
    </w:p>
    <w:p w:rsidR="00EE67C0" w:rsidRPr="00D228BC" w:rsidRDefault="00EE67C0" w:rsidP="0047388E">
      <w:pPr>
        <w:ind w:left="748"/>
        <w:jc w:val="both"/>
        <w:rPr>
          <w:rFonts w:ascii="Calibri" w:hAnsi="Calibri" w:cs="Arial"/>
        </w:rPr>
      </w:pPr>
      <w:r w:rsidRPr="00D228BC">
        <w:rPr>
          <w:rFonts w:ascii="Calibri" w:hAnsi="Calibri" w:cs="Arial"/>
        </w:rPr>
        <w:t xml:space="preserve">One of these indicators for assessing the solvency of an entity is working capital.  This is used to assess the liquidity position of the entity and its ability to pay its debts in the near future. </w:t>
      </w:r>
    </w:p>
    <w:p w:rsidR="00EE67C0" w:rsidRPr="00475BD5" w:rsidRDefault="00EE67C0" w:rsidP="00BC15F9">
      <w:pPr>
        <w:ind w:left="748"/>
        <w:jc w:val="both"/>
        <w:rPr>
          <w:rFonts w:ascii="Calibri" w:hAnsi="Calibri" w:cs="Arial"/>
          <w:highlight w:val="cyan"/>
        </w:rPr>
      </w:pPr>
    </w:p>
    <w:p w:rsidR="00EE67C0" w:rsidRPr="00C71BB1" w:rsidRDefault="00EE67C0" w:rsidP="00BC15F9">
      <w:pPr>
        <w:ind w:left="748"/>
        <w:jc w:val="both"/>
        <w:rPr>
          <w:rFonts w:ascii="Calibri" w:hAnsi="Calibri" w:cs="Arial"/>
          <w:b/>
          <w:lang w:val="en-GB"/>
        </w:rPr>
      </w:pPr>
      <w:r w:rsidRPr="00C71BB1">
        <w:rPr>
          <w:rFonts w:ascii="Calibri" w:hAnsi="Calibri" w:cs="Arial"/>
          <w:b/>
          <w:lang w:val="en-GB"/>
        </w:rPr>
        <w:t xml:space="preserve">During the course of the annual report review exercise, FRC observed that 8 PIEs </w:t>
      </w:r>
      <w:r w:rsidRPr="00C71BB1">
        <w:rPr>
          <w:rFonts w:ascii="Calibri" w:hAnsi="Calibri" w:cs="Arial"/>
          <w:lang w:val="en-GB"/>
        </w:rPr>
        <w:t xml:space="preserve">[1 entity listed in Leisure &amp; Hotels sector and 7 </w:t>
      </w:r>
      <w:r>
        <w:rPr>
          <w:rFonts w:ascii="Calibri" w:hAnsi="Calibri" w:cs="Arial"/>
          <w:lang w:val="en-GB"/>
        </w:rPr>
        <w:t>PIEs in Category 4</w:t>
      </w:r>
      <w:r w:rsidRPr="00C71BB1">
        <w:rPr>
          <w:rFonts w:ascii="Calibri" w:hAnsi="Calibri" w:cs="Arial"/>
          <w:lang w:val="en-GB"/>
        </w:rPr>
        <w:t>]</w:t>
      </w:r>
      <w:r w:rsidRPr="00C71BB1">
        <w:rPr>
          <w:rFonts w:ascii="Calibri" w:hAnsi="Calibri" w:cs="Arial"/>
          <w:b/>
          <w:lang w:val="en-GB"/>
        </w:rPr>
        <w:t xml:space="preserve"> had negative cash flows and net current liabilities.</w:t>
      </w:r>
    </w:p>
    <w:p w:rsidR="00EE67C0" w:rsidRPr="00C71BB1" w:rsidRDefault="00EE67C0" w:rsidP="00BC15F9">
      <w:pPr>
        <w:ind w:left="748"/>
        <w:jc w:val="both"/>
        <w:rPr>
          <w:rFonts w:ascii="Calibri" w:hAnsi="Calibri" w:cs="Arial"/>
          <w:b/>
          <w:i/>
          <w:lang w:val="en-GB"/>
        </w:rPr>
      </w:pPr>
    </w:p>
    <w:p w:rsidR="00EE67C0" w:rsidRPr="00C71BB1" w:rsidRDefault="00EE67C0" w:rsidP="00BC15F9">
      <w:pPr>
        <w:ind w:left="748"/>
        <w:jc w:val="both"/>
        <w:rPr>
          <w:rFonts w:ascii="Calibri" w:hAnsi="Calibri" w:cs="Arial"/>
          <w:b/>
        </w:rPr>
      </w:pPr>
      <w:r w:rsidRPr="00C72067">
        <w:rPr>
          <w:rFonts w:ascii="Calibri" w:hAnsi="Calibri" w:cs="Arial"/>
          <w:b/>
        </w:rPr>
        <w:t>Out of the 8 entities which had net current liabilities, 5 PIEs</w:t>
      </w:r>
      <w:r w:rsidRPr="00C72067">
        <w:rPr>
          <w:rFonts w:ascii="Calibri" w:hAnsi="Calibri" w:cs="Arial"/>
        </w:rPr>
        <w:t xml:space="preserve"> [1 listed </w:t>
      </w:r>
      <w:r w:rsidRPr="00C72067">
        <w:rPr>
          <w:rFonts w:ascii="Calibri" w:hAnsi="Calibri" w:cs="Arial"/>
          <w:lang w:val="en-GB"/>
        </w:rPr>
        <w:t>in Leisure &amp; Hotels sector</w:t>
      </w:r>
      <w:r w:rsidRPr="00C72067">
        <w:rPr>
          <w:rFonts w:ascii="Calibri" w:hAnsi="Calibri" w:cs="Arial"/>
        </w:rPr>
        <w:t>and 4</w:t>
      </w:r>
      <w:r>
        <w:rPr>
          <w:rFonts w:ascii="Calibri" w:hAnsi="Calibri" w:cs="Arial"/>
          <w:lang w:val="en-GB"/>
        </w:rPr>
        <w:t>PIEs in Category 4</w:t>
      </w:r>
      <w:r w:rsidRPr="00C72067">
        <w:rPr>
          <w:rFonts w:ascii="Calibri" w:hAnsi="Calibri" w:cs="Arial"/>
        </w:rPr>
        <w:t>]</w:t>
      </w:r>
      <w:r w:rsidRPr="00C72067">
        <w:rPr>
          <w:rFonts w:ascii="Calibri" w:hAnsi="Calibri" w:cs="Arial"/>
          <w:b/>
        </w:rPr>
        <w:t xml:space="preserve"> had distributed dividend out of retained earnings.</w:t>
      </w:r>
    </w:p>
    <w:p w:rsidR="00EE67C0" w:rsidRPr="00475BD5" w:rsidRDefault="00EE67C0" w:rsidP="00BC15F9">
      <w:pPr>
        <w:ind w:left="748"/>
        <w:jc w:val="both"/>
        <w:rPr>
          <w:rFonts w:ascii="Calibri" w:hAnsi="Calibri"/>
          <w:i/>
          <w:highlight w:val="cyan"/>
          <w:lang w:val="en-GB"/>
        </w:rPr>
      </w:pPr>
    </w:p>
    <w:p w:rsidR="00EE67C0" w:rsidRPr="00D228BC" w:rsidRDefault="00EE67C0" w:rsidP="00BC15F9">
      <w:pPr>
        <w:ind w:left="748"/>
        <w:jc w:val="both"/>
        <w:rPr>
          <w:rFonts w:ascii="Calibri" w:hAnsi="Calibri"/>
          <w:lang w:val="en-GB"/>
        </w:rPr>
      </w:pPr>
      <w:r w:rsidRPr="00D228BC">
        <w:rPr>
          <w:rFonts w:ascii="Calibri" w:hAnsi="Calibri"/>
          <w:lang w:val="en-GB"/>
        </w:rPr>
        <w:t xml:space="preserve">It should be emphasised that when an entity pays dividend in a net current liability situation, this might put pressure on the entity’s available cash flow resources and its ability to pay its debts as they become due in the normal course of business. </w:t>
      </w:r>
      <w:r w:rsidRPr="00D228BC">
        <w:rPr>
          <w:rFonts w:ascii="Calibri" w:hAnsi="Calibri"/>
          <w:b/>
          <w:lang w:val="en-GB"/>
        </w:rPr>
        <w:t>It may also lead to the inability to meet the solvency test as defined in Companies Act 2001.</w:t>
      </w:r>
    </w:p>
    <w:p w:rsidR="00EE67C0" w:rsidRPr="00475BD5" w:rsidRDefault="00EE67C0" w:rsidP="00BC15F9">
      <w:pPr>
        <w:ind w:left="748"/>
        <w:jc w:val="both"/>
        <w:rPr>
          <w:rFonts w:ascii="Calibri" w:hAnsi="Calibri"/>
          <w:highlight w:val="cyan"/>
          <w:lang w:val="en-GB"/>
        </w:rPr>
      </w:pPr>
    </w:p>
    <w:p w:rsidR="00EE67C0" w:rsidRPr="00C72067" w:rsidRDefault="00EE67C0" w:rsidP="00BC15F9">
      <w:pPr>
        <w:tabs>
          <w:tab w:val="left" w:pos="720"/>
        </w:tabs>
        <w:ind w:left="748" w:hanging="748"/>
        <w:jc w:val="both"/>
        <w:rPr>
          <w:rFonts w:ascii="Calibri" w:hAnsi="Calibri" w:cs="Arial"/>
          <w:b/>
          <w:color w:val="0000FF"/>
          <w:sz w:val="28"/>
          <w:szCs w:val="28"/>
        </w:rPr>
      </w:pPr>
      <w:r w:rsidRPr="00C72067">
        <w:rPr>
          <w:rFonts w:ascii="Calibri" w:hAnsi="Calibri" w:cs="Arial"/>
          <w:b/>
          <w:color w:val="0000FF"/>
          <w:sz w:val="28"/>
          <w:szCs w:val="28"/>
        </w:rPr>
        <w:t>4.</w:t>
      </w:r>
      <w:r w:rsidRPr="00C72067">
        <w:rPr>
          <w:rFonts w:ascii="Calibri" w:hAnsi="Calibri" w:cs="Arial"/>
          <w:b/>
          <w:color w:val="0000FF"/>
          <w:sz w:val="28"/>
          <w:szCs w:val="28"/>
        </w:rPr>
        <w:tab/>
      </w:r>
      <w:bookmarkStart w:id="13" w:name="AFees"/>
      <w:r w:rsidRPr="00C72067">
        <w:rPr>
          <w:rFonts w:ascii="Calibri" w:hAnsi="Calibri" w:cs="Arial"/>
          <w:b/>
          <w:color w:val="0000FF"/>
          <w:sz w:val="28"/>
          <w:szCs w:val="28"/>
        </w:rPr>
        <w:t>Audit and non-audit fees</w:t>
      </w:r>
    </w:p>
    <w:bookmarkEnd w:id="13"/>
    <w:p w:rsidR="00EE67C0" w:rsidRPr="00C72067" w:rsidRDefault="00EE67C0" w:rsidP="00BC15F9">
      <w:pPr>
        <w:jc w:val="both"/>
        <w:rPr>
          <w:rFonts w:ascii="Calibri" w:hAnsi="Calibri"/>
          <w:b/>
          <w:bCs/>
          <w:u w:val="single"/>
        </w:rPr>
      </w:pPr>
    </w:p>
    <w:p w:rsidR="00EE67C0" w:rsidRPr="00C72067" w:rsidRDefault="00EE67C0" w:rsidP="00CE51B2">
      <w:pPr>
        <w:ind w:left="720"/>
        <w:jc w:val="both"/>
        <w:rPr>
          <w:rFonts w:ascii="Calibri" w:hAnsi="Calibri"/>
        </w:rPr>
      </w:pPr>
      <w:r w:rsidRPr="00C72067">
        <w:rPr>
          <w:rFonts w:ascii="Calibri" w:hAnsi="Calibri"/>
        </w:rPr>
        <w:t>From the annual report review, FRC observed that some licensed auditors had provided non-audit services to PIEs such as tax services.</w:t>
      </w:r>
    </w:p>
    <w:p w:rsidR="00EE67C0" w:rsidRPr="00475BD5" w:rsidRDefault="00EE67C0" w:rsidP="00CE51B2">
      <w:pPr>
        <w:ind w:left="720"/>
        <w:jc w:val="both"/>
        <w:rPr>
          <w:rFonts w:ascii="Calibri" w:hAnsi="Calibri"/>
          <w:sz w:val="16"/>
          <w:szCs w:val="16"/>
          <w:highlight w:val="cyan"/>
        </w:rPr>
      </w:pPr>
    </w:p>
    <w:p w:rsidR="00EE67C0" w:rsidRPr="00C72067" w:rsidRDefault="00EE67C0" w:rsidP="008D126B">
      <w:pPr>
        <w:numPr>
          <w:ilvl w:val="0"/>
          <w:numId w:val="12"/>
        </w:numPr>
        <w:jc w:val="both"/>
        <w:rPr>
          <w:rFonts w:ascii="Calibri" w:hAnsi="Calibri"/>
          <w:b/>
        </w:rPr>
      </w:pPr>
      <w:r w:rsidRPr="00C72067">
        <w:rPr>
          <w:rFonts w:ascii="Calibri" w:hAnsi="Calibri"/>
          <w:b/>
        </w:rPr>
        <w:t>Legal requirements for PIEs</w:t>
      </w:r>
    </w:p>
    <w:p w:rsidR="00EE67C0" w:rsidRPr="00C72067" w:rsidRDefault="00EE67C0" w:rsidP="006E3E34">
      <w:pPr>
        <w:ind w:left="1080"/>
        <w:jc w:val="both"/>
        <w:rPr>
          <w:rFonts w:ascii="Calibri" w:hAnsi="Calibri"/>
          <w:sz w:val="16"/>
          <w:szCs w:val="16"/>
          <w:u w:val="single"/>
        </w:rPr>
      </w:pPr>
    </w:p>
    <w:p w:rsidR="00EE67C0" w:rsidRPr="00C72067" w:rsidRDefault="00EE67C0" w:rsidP="00CE51B2">
      <w:pPr>
        <w:ind w:left="1080"/>
        <w:jc w:val="both"/>
        <w:rPr>
          <w:rFonts w:ascii="Calibri" w:hAnsi="Calibri"/>
        </w:rPr>
      </w:pPr>
      <w:r w:rsidRPr="00C72067">
        <w:rPr>
          <w:rFonts w:ascii="Calibri" w:hAnsi="Calibri"/>
        </w:rPr>
        <w:t>In accordance with legal requirements and under the code of corporate governance, PIEs are required to disclose the following information for the non-audit services rendered by their external auditors in their annual reports:</w:t>
      </w:r>
    </w:p>
    <w:p w:rsidR="00EE67C0" w:rsidRPr="00C72067" w:rsidRDefault="00EE67C0" w:rsidP="00CE51B2">
      <w:pPr>
        <w:ind w:left="720"/>
        <w:jc w:val="both"/>
        <w:rPr>
          <w:rFonts w:ascii="Calibri" w:hAnsi="Calibri"/>
        </w:rPr>
      </w:pPr>
    </w:p>
    <w:p w:rsidR="00EE67C0" w:rsidRPr="00C72067" w:rsidRDefault="00EE67C0" w:rsidP="00E90D02">
      <w:pPr>
        <w:numPr>
          <w:ilvl w:val="0"/>
          <w:numId w:val="11"/>
        </w:numPr>
        <w:ind w:left="1440" w:hanging="360"/>
        <w:jc w:val="both"/>
        <w:rPr>
          <w:rFonts w:ascii="Calibri" w:hAnsi="Calibri"/>
        </w:rPr>
      </w:pPr>
      <w:r w:rsidRPr="00C72067">
        <w:rPr>
          <w:rFonts w:ascii="Calibri" w:hAnsi="Calibri"/>
        </w:rPr>
        <w:t xml:space="preserve">Separate disclosure of the amount paid for non-audit services as opposed to audit services (section 221 of the Companies Act 2001 </w:t>
      </w:r>
      <w:r w:rsidRPr="00C72067">
        <w:rPr>
          <w:rFonts w:ascii="Calibri" w:hAnsi="Calibri"/>
          <w:i/>
        </w:rPr>
        <w:t>Contents of annual report</w:t>
      </w:r>
      <w:r w:rsidRPr="00C72067">
        <w:rPr>
          <w:rFonts w:ascii="Calibri" w:hAnsi="Calibri"/>
        </w:rPr>
        <w:t xml:space="preserve"> also refers).</w:t>
      </w:r>
    </w:p>
    <w:p w:rsidR="00EE67C0" w:rsidRDefault="00EE67C0" w:rsidP="008D126B">
      <w:pPr>
        <w:numPr>
          <w:ilvl w:val="0"/>
          <w:numId w:val="11"/>
        </w:numPr>
        <w:ind w:left="1440" w:hanging="360"/>
        <w:jc w:val="both"/>
        <w:rPr>
          <w:rFonts w:ascii="Calibri" w:hAnsi="Calibri"/>
        </w:rPr>
      </w:pPr>
      <w:r w:rsidRPr="00C72067">
        <w:rPr>
          <w:rFonts w:ascii="Calibri" w:hAnsi="Calibri"/>
        </w:rPr>
        <w:t xml:space="preserve">Description of non-audit services rendered by the external auditor in their annual reports stating particulars of the nature of the services and amounts paid for each </w:t>
      </w:r>
      <w:r>
        <w:rPr>
          <w:rFonts w:ascii="Calibri" w:hAnsi="Calibri"/>
        </w:rPr>
        <w:t xml:space="preserve">nature </w:t>
      </w:r>
      <w:r w:rsidRPr="00C72067">
        <w:rPr>
          <w:rFonts w:ascii="Calibri" w:hAnsi="Calibri"/>
        </w:rPr>
        <w:t>of services</w:t>
      </w:r>
      <w:r>
        <w:rPr>
          <w:rFonts w:ascii="Calibri" w:hAnsi="Calibri"/>
        </w:rPr>
        <w:t>.</w:t>
      </w:r>
    </w:p>
    <w:p w:rsidR="00EE67C0" w:rsidRPr="0018387D" w:rsidRDefault="00EE67C0" w:rsidP="005326D6">
      <w:pPr>
        <w:jc w:val="both"/>
        <w:rPr>
          <w:rFonts w:ascii="Calibri" w:hAnsi="Calibri"/>
        </w:rPr>
      </w:pPr>
    </w:p>
    <w:p w:rsidR="00EE67C0" w:rsidRPr="00C72067" w:rsidRDefault="00EE67C0" w:rsidP="00CE51B2">
      <w:pPr>
        <w:ind w:left="1080"/>
        <w:jc w:val="both"/>
        <w:rPr>
          <w:rFonts w:ascii="Calibri" w:hAnsi="Calibri"/>
          <w:bCs/>
          <w:lang w:val="en-GB"/>
        </w:rPr>
      </w:pPr>
      <w:r w:rsidRPr="00C72067">
        <w:rPr>
          <w:rFonts w:ascii="Calibri" w:hAnsi="Calibri"/>
          <w:bCs/>
          <w:lang w:val="en-GB"/>
        </w:rPr>
        <w:t>With respect to audit and non-audit fees, the following observations were made following the reviews of the 56 PIEs:</w:t>
      </w:r>
    </w:p>
    <w:p w:rsidR="00EE67C0" w:rsidRPr="00C72067" w:rsidRDefault="00EE67C0" w:rsidP="00BC15F9">
      <w:pPr>
        <w:jc w:val="both"/>
        <w:rPr>
          <w:rFonts w:ascii="Calibri" w:hAnsi="Calibri"/>
          <w:b/>
          <w:bCs/>
          <w:u w:val="single"/>
          <w:lang w:val="en-GB"/>
        </w:rPr>
      </w:pPr>
    </w:p>
    <w:p w:rsidR="00EE67C0" w:rsidRPr="00034083" w:rsidRDefault="00EE67C0" w:rsidP="008D126B">
      <w:pPr>
        <w:numPr>
          <w:ilvl w:val="0"/>
          <w:numId w:val="6"/>
        </w:numPr>
        <w:tabs>
          <w:tab w:val="clear" w:pos="1080"/>
          <w:tab w:val="num" w:pos="1440"/>
        </w:tabs>
        <w:ind w:left="1440"/>
        <w:jc w:val="both"/>
        <w:rPr>
          <w:rFonts w:ascii="Calibri" w:hAnsi="Calibri"/>
          <w:b/>
          <w:lang w:val="en-GB"/>
        </w:rPr>
      </w:pPr>
      <w:r w:rsidRPr="00034083">
        <w:rPr>
          <w:rFonts w:ascii="Calibri" w:hAnsi="Calibri"/>
          <w:b/>
          <w:lang w:val="en-GB"/>
        </w:rPr>
        <w:t>27 PIEs</w:t>
      </w:r>
      <w:r w:rsidRPr="00034083">
        <w:rPr>
          <w:rFonts w:ascii="Calibri" w:hAnsi="Calibri"/>
          <w:lang w:val="en-GB"/>
        </w:rPr>
        <w:t xml:space="preserve"> [1 entity listed in Industry sector, 3 regulated by BOM, 4 regulated by FSC (including 1 public) and 19 </w:t>
      </w:r>
      <w:r>
        <w:rPr>
          <w:rFonts w:ascii="Calibri" w:hAnsi="Calibri"/>
          <w:lang w:val="en-GB"/>
        </w:rPr>
        <w:t>PIEs in Category 4</w:t>
      </w:r>
      <w:r w:rsidRPr="00034083">
        <w:rPr>
          <w:rFonts w:ascii="Calibri" w:hAnsi="Calibri"/>
          <w:lang w:val="en-GB"/>
        </w:rPr>
        <w:t xml:space="preserve"> (including 1 public)] </w:t>
      </w:r>
      <w:r w:rsidRPr="00034083">
        <w:rPr>
          <w:rFonts w:ascii="Calibri" w:hAnsi="Calibri"/>
          <w:b/>
          <w:lang w:val="en-GB"/>
        </w:rPr>
        <w:t>had paid fees for audit services only.</w:t>
      </w:r>
    </w:p>
    <w:p w:rsidR="00EE67C0" w:rsidRPr="008679C3" w:rsidRDefault="00EE67C0" w:rsidP="00CE51B2">
      <w:pPr>
        <w:tabs>
          <w:tab w:val="num" w:pos="561"/>
        </w:tabs>
        <w:ind w:left="360"/>
        <w:jc w:val="both"/>
        <w:rPr>
          <w:rFonts w:ascii="Calibri" w:hAnsi="Calibri"/>
          <w:highlight w:val="lightGray"/>
          <w:lang w:val="en-GB"/>
        </w:rPr>
      </w:pPr>
    </w:p>
    <w:p w:rsidR="00EE67C0" w:rsidRPr="00C8478E" w:rsidRDefault="00EE67C0" w:rsidP="008D126B">
      <w:pPr>
        <w:numPr>
          <w:ilvl w:val="0"/>
          <w:numId w:val="6"/>
        </w:numPr>
        <w:tabs>
          <w:tab w:val="clear" w:pos="1080"/>
          <w:tab w:val="num" w:pos="1440"/>
        </w:tabs>
        <w:ind w:left="1440"/>
        <w:jc w:val="both"/>
        <w:rPr>
          <w:rFonts w:ascii="Calibri" w:hAnsi="Calibri"/>
          <w:lang w:val="en-GB"/>
        </w:rPr>
      </w:pPr>
      <w:r w:rsidRPr="00C8478E">
        <w:rPr>
          <w:rFonts w:ascii="Calibri" w:hAnsi="Calibri"/>
          <w:b/>
          <w:lang w:val="en-GB"/>
        </w:rPr>
        <w:t>10 PIEs</w:t>
      </w:r>
      <w:r w:rsidRPr="00C8478E">
        <w:rPr>
          <w:rFonts w:ascii="Calibri" w:hAnsi="Calibri"/>
          <w:lang w:val="en-GB"/>
        </w:rPr>
        <w:t xml:space="preserve"> [3 listed (1 BIF, 1 Commerce and 1 Industry), 1 PIE regulated by FSC and 6 </w:t>
      </w:r>
      <w:r>
        <w:rPr>
          <w:rFonts w:ascii="Calibri" w:hAnsi="Calibri"/>
          <w:lang w:val="en-GB"/>
        </w:rPr>
        <w:t>PIEs in Category 4</w:t>
      </w:r>
      <w:r w:rsidRPr="00C8478E">
        <w:rPr>
          <w:rFonts w:ascii="Calibri" w:hAnsi="Calibri"/>
          <w:lang w:val="en-GB"/>
        </w:rPr>
        <w:t xml:space="preserve"> (including 1 public)] </w:t>
      </w:r>
      <w:r w:rsidRPr="00C8478E">
        <w:rPr>
          <w:rFonts w:ascii="Calibri" w:hAnsi="Calibri"/>
          <w:b/>
          <w:lang w:val="en-GB"/>
        </w:rPr>
        <w:t>had disclosed fees paid for audit services as well as ‘other services’ provided by the same firms of external auditors.  The ‘other services’ were mainly tax services.</w:t>
      </w:r>
    </w:p>
    <w:p w:rsidR="00EE67C0" w:rsidRPr="008679C3" w:rsidRDefault="00EE67C0" w:rsidP="00CE51B2">
      <w:pPr>
        <w:ind w:left="1080"/>
        <w:jc w:val="both"/>
        <w:rPr>
          <w:rFonts w:ascii="Calibri" w:hAnsi="Calibri"/>
          <w:highlight w:val="lightGray"/>
          <w:lang w:val="en-GB"/>
        </w:rPr>
      </w:pPr>
    </w:p>
    <w:p w:rsidR="00EE67C0" w:rsidRPr="00800B26" w:rsidRDefault="00EE67C0" w:rsidP="008D126B">
      <w:pPr>
        <w:numPr>
          <w:ilvl w:val="0"/>
          <w:numId w:val="6"/>
        </w:numPr>
        <w:tabs>
          <w:tab w:val="clear" w:pos="1080"/>
          <w:tab w:val="num" w:pos="1440"/>
        </w:tabs>
        <w:ind w:left="1440"/>
        <w:jc w:val="both"/>
        <w:rPr>
          <w:rFonts w:ascii="Calibri" w:hAnsi="Calibri"/>
          <w:b/>
          <w:lang w:val="en-GB"/>
        </w:rPr>
      </w:pPr>
      <w:r>
        <w:rPr>
          <w:rFonts w:ascii="Calibri" w:hAnsi="Calibri"/>
          <w:b/>
          <w:lang w:val="en-GB"/>
        </w:rPr>
        <w:t>7PIEs in Category 4</w:t>
      </w:r>
      <w:r w:rsidRPr="00800B26">
        <w:rPr>
          <w:rFonts w:ascii="Calibri" w:hAnsi="Calibri"/>
          <w:b/>
          <w:lang w:val="en-GB"/>
        </w:rPr>
        <w:t xml:space="preserve"> ha</w:t>
      </w:r>
      <w:r>
        <w:rPr>
          <w:rFonts w:ascii="Calibri" w:hAnsi="Calibri"/>
          <w:b/>
          <w:lang w:val="en-GB"/>
        </w:rPr>
        <w:t>d</w:t>
      </w:r>
      <w:r w:rsidRPr="00800B26">
        <w:rPr>
          <w:rFonts w:ascii="Calibri" w:hAnsi="Calibri"/>
          <w:b/>
          <w:lang w:val="en-GB"/>
        </w:rPr>
        <w:t xml:space="preserve"> not disclosed the audit and/or non-audit fees after having complied with section 218(2) of the Companies Act 2001.  </w:t>
      </w:r>
    </w:p>
    <w:p w:rsidR="00EE67C0" w:rsidRPr="008679C3" w:rsidRDefault="00EE67C0" w:rsidP="00CA7898">
      <w:pPr>
        <w:ind w:left="1440"/>
        <w:jc w:val="both"/>
        <w:rPr>
          <w:rFonts w:ascii="Calibri" w:hAnsi="Calibri"/>
          <w:b/>
          <w:highlight w:val="lightGray"/>
          <w:lang w:val="en-GB"/>
        </w:rPr>
      </w:pPr>
    </w:p>
    <w:p w:rsidR="00EE67C0" w:rsidRPr="00A471A3" w:rsidRDefault="00EE67C0" w:rsidP="008D126B">
      <w:pPr>
        <w:numPr>
          <w:ilvl w:val="0"/>
          <w:numId w:val="6"/>
        </w:numPr>
        <w:tabs>
          <w:tab w:val="clear" w:pos="1080"/>
          <w:tab w:val="num" w:pos="1440"/>
        </w:tabs>
        <w:ind w:left="1440"/>
        <w:jc w:val="both"/>
        <w:rPr>
          <w:rFonts w:ascii="Calibri" w:hAnsi="Calibri"/>
          <w:b/>
          <w:lang w:val="en-GB"/>
        </w:rPr>
      </w:pPr>
      <w:r w:rsidRPr="00A471A3">
        <w:rPr>
          <w:rFonts w:ascii="Calibri" w:hAnsi="Calibri"/>
          <w:b/>
          <w:lang w:val="en-GB"/>
        </w:rPr>
        <w:t>1</w:t>
      </w:r>
      <w:r>
        <w:rPr>
          <w:rFonts w:ascii="Calibri" w:hAnsi="Calibri"/>
          <w:b/>
          <w:lang w:val="en-GB"/>
        </w:rPr>
        <w:t>2</w:t>
      </w:r>
      <w:r w:rsidRPr="00A471A3">
        <w:rPr>
          <w:rFonts w:ascii="Calibri" w:hAnsi="Calibri"/>
          <w:b/>
          <w:lang w:val="en-GB"/>
        </w:rPr>
        <w:t xml:space="preserve"> PIEs </w:t>
      </w:r>
      <w:r w:rsidRPr="00A471A3">
        <w:rPr>
          <w:rFonts w:ascii="Calibri" w:hAnsi="Calibri"/>
          <w:lang w:val="en-GB"/>
        </w:rPr>
        <w:t>[3 listed (1 Commerce, 1 Industry and 1 Leisure &amp; Hotels)</w:t>
      </w:r>
      <w:r>
        <w:rPr>
          <w:rFonts w:ascii="Calibri" w:hAnsi="Calibri"/>
          <w:lang w:val="en-GB"/>
        </w:rPr>
        <w:t xml:space="preserve"> and 9 PIEs in Category 4</w:t>
      </w:r>
      <w:r w:rsidRPr="00A471A3">
        <w:rPr>
          <w:rFonts w:ascii="Calibri" w:hAnsi="Calibri"/>
          <w:lang w:val="en-GB"/>
        </w:rPr>
        <w:t xml:space="preserve">] </w:t>
      </w:r>
      <w:r w:rsidRPr="00A471A3">
        <w:rPr>
          <w:rFonts w:ascii="Calibri" w:hAnsi="Calibri"/>
          <w:b/>
          <w:lang w:val="en-GB"/>
        </w:rPr>
        <w:t>had not disclosed the nature of non audit services provided by the auditor.</w:t>
      </w:r>
    </w:p>
    <w:p w:rsidR="00EE67C0" w:rsidRPr="00800B26" w:rsidRDefault="00EE67C0" w:rsidP="008E164B">
      <w:pPr>
        <w:jc w:val="both"/>
        <w:rPr>
          <w:rFonts w:ascii="Calibri" w:hAnsi="Calibri" w:cs="Arial"/>
          <w:lang w:val="en-GB"/>
        </w:rPr>
      </w:pPr>
    </w:p>
    <w:p w:rsidR="00EE67C0" w:rsidRPr="00076B71" w:rsidRDefault="00EE67C0" w:rsidP="00CE51B2">
      <w:pPr>
        <w:ind w:left="1440"/>
        <w:jc w:val="both"/>
        <w:rPr>
          <w:rFonts w:ascii="Calibri" w:hAnsi="Calibri" w:cs="Arial"/>
          <w:lang w:val="en-GB"/>
        </w:rPr>
      </w:pPr>
      <w:r w:rsidRPr="00800B26">
        <w:rPr>
          <w:rFonts w:ascii="Calibri" w:hAnsi="Calibri" w:cs="Arial"/>
          <w:lang w:val="en-GB"/>
        </w:rPr>
        <w:t>FRC had requested these entities to report separately on fees paid for non-audit services. A description of the nature of non-audit services provided shall also be reported.</w:t>
      </w:r>
    </w:p>
    <w:p w:rsidR="00EE67C0" w:rsidRPr="00475BD5" w:rsidRDefault="00EE67C0" w:rsidP="00BC15F9">
      <w:pPr>
        <w:ind w:left="720"/>
        <w:jc w:val="both"/>
        <w:rPr>
          <w:rFonts w:ascii="Calibri" w:hAnsi="Calibri" w:cs="Arial"/>
          <w:highlight w:val="cyan"/>
          <w:lang w:val="en-GB"/>
        </w:rPr>
      </w:pPr>
    </w:p>
    <w:p w:rsidR="00EE67C0" w:rsidRPr="003216A6" w:rsidRDefault="00EE67C0" w:rsidP="008D126B">
      <w:pPr>
        <w:numPr>
          <w:ilvl w:val="0"/>
          <w:numId w:val="12"/>
        </w:numPr>
        <w:jc w:val="both"/>
        <w:rPr>
          <w:rFonts w:ascii="Calibri" w:hAnsi="Calibri"/>
          <w:b/>
        </w:rPr>
      </w:pPr>
      <w:smartTag w:uri="urn:schemas-microsoft-com:office:smarttags" w:element="place">
        <w:smartTag w:uri="urn:schemas-microsoft-com:office:smarttags" w:element="City">
          <w:r w:rsidRPr="003216A6">
            <w:rPr>
              <w:rFonts w:ascii="Calibri" w:hAnsi="Calibri"/>
              <w:b/>
            </w:rPr>
            <w:t>Independence</w:t>
          </w:r>
        </w:smartTag>
      </w:smartTag>
      <w:r w:rsidRPr="003216A6">
        <w:rPr>
          <w:rFonts w:ascii="Calibri" w:hAnsi="Calibri"/>
          <w:b/>
        </w:rPr>
        <w:t xml:space="preserve"> of auditors in respect of non-audit services</w:t>
      </w:r>
    </w:p>
    <w:p w:rsidR="00EE67C0" w:rsidRPr="003216A6" w:rsidRDefault="00EE67C0" w:rsidP="00CE51B2">
      <w:pPr>
        <w:ind w:left="1080"/>
        <w:jc w:val="both"/>
        <w:rPr>
          <w:rFonts w:ascii="Calibri" w:hAnsi="Calibri"/>
        </w:rPr>
      </w:pPr>
    </w:p>
    <w:p w:rsidR="00EE67C0" w:rsidRPr="003216A6" w:rsidRDefault="00EE67C0" w:rsidP="00CE51B2">
      <w:pPr>
        <w:ind w:left="1080"/>
        <w:jc w:val="both"/>
        <w:rPr>
          <w:rFonts w:ascii="Calibri" w:hAnsi="Calibri"/>
        </w:rPr>
      </w:pPr>
      <w:r w:rsidRPr="003216A6">
        <w:rPr>
          <w:rFonts w:ascii="Calibri" w:hAnsi="Calibri"/>
        </w:rPr>
        <w:t>The concern is that there are certain provision of other services which may impair auditor’s independence and objectivity.  The importance of external auditor independence is a vital pre-condition for the workings of efficient capital markets</w:t>
      </w:r>
      <w:r>
        <w:rPr>
          <w:rFonts w:ascii="Calibri" w:hAnsi="Calibri"/>
        </w:rPr>
        <w:t>, that would undoubtedly promote investor’s confidence.</w:t>
      </w:r>
    </w:p>
    <w:p w:rsidR="00EE67C0" w:rsidRPr="003216A6" w:rsidRDefault="00EE67C0" w:rsidP="00CE51B2">
      <w:pPr>
        <w:ind w:left="1080"/>
        <w:jc w:val="both"/>
        <w:rPr>
          <w:rFonts w:ascii="Calibri" w:hAnsi="Calibri"/>
        </w:rPr>
      </w:pPr>
    </w:p>
    <w:p w:rsidR="00EE67C0" w:rsidRPr="003216A6" w:rsidRDefault="00EE67C0" w:rsidP="00CE51B2">
      <w:pPr>
        <w:ind w:left="1080"/>
        <w:jc w:val="both"/>
        <w:rPr>
          <w:rFonts w:ascii="Calibri" w:hAnsi="Calibri"/>
        </w:rPr>
      </w:pPr>
      <w:r>
        <w:rPr>
          <w:rFonts w:ascii="Calibri" w:hAnsi="Calibri"/>
        </w:rPr>
        <w:t>Whenever non-audit services are provided by the engagement partner</w:t>
      </w:r>
      <w:r w:rsidRPr="003216A6">
        <w:rPr>
          <w:rFonts w:ascii="Calibri" w:hAnsi="Calibri"/>
        </w:rPr>
        <w:t xml:space="preserve">, </w:t>
      </w:r>
      <w:r>
        <w:rPr>
          <w:rFonts w:ascii="Calibri" w:hAnsi="Calibri"/>
        </w:rPr>
        <w:t>the</w:t>
      </w:r>
      <w:r w:rsidRPr="003216A6">
        <w:rPr>
          <w:rFonts w:ascii="Calibri" w:hAnsi="Calibri"/>
        </w:rPr>
        <w:t xml:space="preserve"> PIEs have to assess the significance of any threats to independence and apply safeguards when necessary to eliminate the threat or reduce it to an acceptable level in accordance with the IFAC code of Ethics. Also, the allowable non-audit services as per the IFAC Code of Ethics shall be adhered to by auditors.</w:t>
      </w:r>
    </w:p>
    <w:p w:rsidR="00EE67C0" w:rsidRPr="003216A6" w:rsidRDefault="00EE67C0" w:rsidP="00812F3C">
      <w:pPr>
        <w:ind w:left="1080"/>
        <w:jc w:val="both"/>
        <w:rPr>
          <w:rFonts w:ascii="Calibri" w:hAnsi="Calibri"/>
          <w:lang w:val="en-GB"/>
        </w:rPr>
      </w:pPr>
    </w:p>
    <w:p w:rsidR="00EE67C0" w:rsidRPr="003216A6" w:rsidRDefault="00EE67C0" w:rsidP="0018387D">
      <w:pPr>
        <w:ind w:left="1080"/>
        <w:jc w:val="both"/>
        <w:rPr>
          <w:rFonts w:ascii="Calibri" w:hAnsi="Calibri"/>
          <w:lang w:val="en-GB"/>
        </w:rPr>
      </w:pPr>
      <w:r w:rsidRPr="003216A6">
        <w:rPr>
          <w:rFonts w:ascii="Calibri" w:hAnsi="Calibri"/>
          <w:lang w:val="en-GB"/>
        </w:rPr>
        <w:t>FRC drew the attention of these auditors that these services may create a self-review threat and that this may affect matters to be reflected in the financial statements. The auditors were also advised not to prepare tax calculations for the purpose of preparing accounting entries except in emergency situations.</w:t>
      </w:r>
    </w:p>
    <w:p w:rsidR="00EE67C0" w:rsidRDefault="00EE67C0" w:rsidP="00812F3C">
      <w:pPr>
        <w:ind w:left="1080"/>
        <w:jc w:val="both"/>
        <w:rPr>
          <w:rFonts w:ascii="Calibri" w:hAnsi="Calibri"/>
          <w:lang w:val="en-GB"/>
        </w:rPr>
      </w:pPr>
    </w:p>
    <w:p w:rsidR="00EE67C0" w:rsidRPr="003216A6" w:rsidRDefault="00EE67C0" w:rsidP="00812F3C">
      <w:pPr>
        <w:ind w:left="1080"/>
        <w:jc w:val="both"/>
        <w:rPr>
          <w:rFonts w:ascii="Calibri" w:hAnsi="Calibri"/>
        </w:rPr>
      </w:pPr>
      <w:r w:rsidRPr="003216A6">
        <w:rPr>
          <w:rFonts w:ascii="Calibri" w:hAnsi="Calibri"/>
          <w:lang w:val="en-GB"/>
        </w:rPr>
        <w:t>Also, FRC informed the Board of Directors and/or the Audit Committees that they should make sure that the “other services” provided did not conflict with the audit work being provided. Where the auditors supply non-audit services to the company, the audit committee should review the nature and extent of such services, seeking to balance the maintenance of objectivity and independence of the auditor.</w:t>
      </w:r>
    </w:p>
    <w:p w:rsidR="00EE67C0" w:rsidRPr="003216A6" w:rsidRDefault="00EE67C0" w:rsidP="006A601F">
      <w:pPr>
        <w:ind w:left="720"/>
        <w:rPr>
          <w:rFonts w:ascii="Calibri" w:hAnsi="Calibri" w:cs="Arial"/>
          <w:bCs/>
          <w:color w:val="0000FF"/>
          <w:u w:val="single"/>
        </w:rPr>
      </w:pPr>
    </w:p>
    <w:p w:rsidR="00EE67C0" w:rsidRPr="00520549" w:rsidRDefault="00EE67C0" w:rsidP="00ED68ED">
      <w:pPr>
        <w:tabs>
          <w:tab w:val="left" w:pos="720"/>
        </w:tabs>
        <w:ind w:left="748" w:hanging="748"/>
        <w:jc w:val="both"/>
        <w:rPr>
          <w:rFonts w:ascii="Calibri" w:hAnsi="Calibri" w:cs="Arial"/>
          <w:b/>
          <w:color w:val="0000FF"/>
          <w:sz w:val="28"/>
          <w:szCs w:val="28"/>
        </w:rPr>
      </w:pPr>
      <w:r w:rsidRPr="00520549">
        <w:rPr>
          <w:rFonts w:ascii="Calibri" w:hAnsi="Calibri" w:cs="Arial"/>
          <w:b/>
          <w:color w:val="0000FF"/>
          <w:sz w:val="28"/>
          <w:szCs w:val="28"/>
        </w:rPr>
        <w:t>5.</w:t>
      </w:r>
      <w:r w:rsidRPr="00520549">
        <w:rPr>
          <w:rFonts w:ascii="Calibri" w:hAnsi="Calibri" w:cs="Arial"/>
          <w:b/>
          <w:color w:val="0000FF"/>
          <w:sz w:val="28"/>
          <w:szCs w:val="28"/>
        </w:rPr>
        <w:tab/>
        <w:t xml:space="preserve">Non-financial information </w:t>
      </w:r>
    </w:p>
    <w:p w:rsidR="00EE67C0" w:rsidRPr="00520549" w:rsidRDefault="00EE67C0" w:rsidP="00ED68ED">
      <w:pPr>
        <w:ind w:left="720"/>
        <w:jc w:val="both"/>
        <w:rPr>
          <w:rFonts w:ascii="Calibri" w:hAnsi="Calibri"/>
        </w:rPr>
      </w:pPr>
    </w:p>
    <w:p w:rsidR="00EE67C0" w:rsidRPr="00520549" w:rsidRDefault="00EE67C0" w:rsidP="00ED68ED">
      <w:pPr>
        <w:ind w:left="720"/>
        <w:jc w:val="both"/>
        <w:rPr>
          <w:rFonts w:ascii="Calibri" w:hAnsi="Calibri"/>
        </w:rPr>
      </w:pPr>
      <w:r w:rsidRPr="00520549">
        <w:rPr>
          <w:rFonts w:ascii="Calibri" w:hAnsi="Calibri"/>
        </w:rPr>
        <w:t>A good annual report always addresses all the required relevant information in respect of the entities’ activities, objectives and strategic plan</w:t>
      </w:r>
      <w:r>
        <w:rPr>
          <w:rFonts w:ascii="Calibri" w:hAnsi="Calibri"/>
        </w:rPr>
        <w:t>s, firms’ values and principles,</w:t>
      </w:r>
      <w:r w:rsidRPr="00520549">
        <w:rPr>
          <w:rFonts w:ascii="Calibri" w:hAnsi="Calibri"/>
        </w:rPr>
        <w:t xml:space="preserve"> factors affecting its environment</w:t>
      </w:r>
      <w:r>
        <w:rPr>
          <w:rFonts w:ascii="Calibri" w:hAnsi="Calibri"/>
        </w:rPr>
        <w:t xml:space="preserve"> and its performance.</w:t>
      </w:r>
    </w:p>
    <w:p w:rsidR="00EE67C0" w:rsidRPr="00520549" w:rsidRDefault="00EE67C0" w:rsidP="00ED68ED">
      <w:pPr>
        <w:ind w:left="720"/>
        <w:jc w:val="both"/>
        <w:rPr>
          <w:rFonts w:ascii="Calibri" w:hAnsi="Calibri"/>
        </w:rPr>
      </w:pPr>
    </w:p>
    <w:p w:rsidR="00EE67C0" w:rsidRPr="00520549" w:rsidRDefault="00EE67C0" w:rsidP="00ED68ED">
      <w:pPr>
        <w:ind w:left="720"/>
        <w:jc w:val="both"/>
        <w:rPr>
          <w:rFonts w:ascii="Calibri" w:hAnsi="Calibri" w:cs="Arial"/>
          <w:bCs/>
        </w:rPr>
      </w:pPr>
      <w:r w:rsidRPr="00520549">
        <w:rPr>
          <w:rFonts w:ascii="Calibri" w:hAnsi="Calibri" w:cs="Arial"/>
          <w:bCs/>
        </w:rPr>
        <w:t>From the 56 annual reports reviewed, FRC made the following observations:</w:t>
      </w:r>
    </w:p>
    <w:p w:rsidR="00EE67C0" w:rsidRPr="00520549" w:rsidRDefault="00EE67C0" w:rsidP="008D126B">
      <w:pPr>
        <w:pStyle w:val="ListParagraph"/>
        <w:numPr>
          <w:ilvl w:val="0"/>
          <w:numId w:val="20"/>
        </w:numPr>
        <w:ind w:left="1080"/>
        <w:contextualSpacing/>
        <w:jc w:val="both"/>
        <w:rPr>
          <w:rFonts w:ascii="Calibri" w:hAnsi="Calibri" w:cs="Arial"/>
          <w:bCs/>
        </w:rPr>
      </w:pPr>
      <w:r w:rsidRPr="00520549">
        <w:rPr>
          <w:rFonts w:ascii="Calibri" w:hAnsi="Calibri" w:cs="Arial"/>
          <w:bCs/>
        </w:rPr>
        <w:t>14% of companies discussed their corporate strategies and business objectives;</w:t>
      </w:r>
    </w:p>
    <w:p w:rsidR="00EE67C0" w:rsidRPr="00520549" w:rsidRDefault="00EE67C0" w:rsidP="008D126B">
      <w:pPr>
        <w:pStyle w:val="ListParagraph"/>
        <w:numPr>
          <w:ilvl w:val="0"/>
          <w:numId w:val="20"/>
        </w:numPr>
        <w:ind w:left="1080"/>
        <w:contextualSpacing/>
        <w:jc w:val="both"/>
        <w:rPr>
          <w:rFonts w:ascii="Calibri" w:hAnsi="Calibri" w:cs="Arial"/>
          <w:bCs/>
        </w:rPr>
      </w:pPr>
      <w:r w:rsidRPr="00520549">
        <w:rPr>
          <w:rFonts w:ascii="Calibri" w:hAnsi="Calibri" w:cs="Arial"/>
          <w:bCs/>
        </w:rPr>
        <w:t xml:space="preserve">25% of firms discussed values and principles; </w:t>
      </w:r>
    </w:p>
    <w:p w:rsidR="00EE67C0" w:rsidRPr="00520549" w:rsidRDefault="00EE67C0" w:rsidP="008D126B">
      <w:pPr>
        <w:pStyle w:val="ListParagraph"/>
        <w:numPr>
          <w:ilvl w:val="0"/>
          <w:numId w:val="20"/>
        </w:numPr>
        <w:ind w:left="1080"/>
        <w:contextualSpacing/>
        <w:jc w:val="both"/>
        <w:rPr>
          <w:rFonts w:ascii="Calibri" w:hAnsi="Calibri" w:cs="Arial"/>
          <w:bCs/>
        </w:rPr>
      </w:pPr>
      <w:r w:rsidRPr="00520549">
        <w:rPr>
          <w:rFonts w:ascii="Calibri" w:hAnsi="Calibri" w:cs="Arial"/>
          <w:bCs/>
        </w:rPr>
        <w:t>64% of the PIEs provided a description of their businesses and scope; and</w:t>
      </w:r>
    </w:p>
    <w:p w:rsidR="00EE67C0" w:rsidRPr="00520549" w:rsidRDefault="00EE67C0" w:rsidP="008D126B">
      <w:pPr>
        <w:pStyle w:val="ListParagraph"/>
        <w:numPr>
          <w:ilvl w:val="0"/>
          <w:numId w:val="20"/>
        </w:numPr>
        <w:ind w:left="1080"/>
        <w:contextualSpacing/>
        <w:jc w:val="both"/>
        <w:rPr>
          <w:rFonts w:ascii="Calibri" w:hAnsi="Calibri" w:cs="Arial"/>
          <w:bCs/>
        </w:rPr>
      </w:pPr>
      <w:r w:rsidRPr="00520549">
        <w:rPr>
          <w:rFonts w:ascii="Calibri" w:hAnsi="Calibri" w:cs="Arial"/>
          <w:bCs/>
        </w:rPr>
        <w:t>9% mentioned the external forces affecting the entities such as customer, suppliers and competitors.</w:t>
      </w:r>
    </w:p>
    <w:p w:rsidR="00EE67C0" w:rsidRPr="00520549" w:rsidRDefault="00EE67C0" w:rsidP="00ED68ED">
      <w:pPr>
        <w:jc w:val="both"/>
        <w:rPr>
          <w:rFonts w:ascii="Calibri" w:hAnsi="Calibri" w:cs="Arial"/>
          <w:bCs/>
        </w:rPr>
      </w:pPr>
    </w:p>
    <w:p w:rsidR="00EE67C0" w:rsidRPr="00520549" w:rsidRDefault="00EE67C0" w:rsidP="00ED68ED">
      <w:pPr>
        <w:tabs>
          <w:tab w:val="left" w:pos="720"/>
        </w:tabs>
        <w:ind w:left="748" w:hanging="748"/>
        <w:jc w:val="both"/>
        <w:rPr>
          <w:rFonts w:ascii="Calibri" w:hAnsi="Calibri" w:cs="Arial"/>
          <w:b/>
          <w:color w:val="0000FF"/>
          <w:sz w:val="28"/>
          <w:szCs w:val="28"/>
        </w:rPr>
      </w:pPr>
      <w:r w:rsidRPr="00520549">
        <w:rPr>
          <w:rFonts w:ascii="Calibri" w:hAnsi="Calibri" w:cs="Arial"/>
          <w:b/>
          <w:color w:val="0000FF"/>
          <w:sz w:val="28"/>
          <w:szCs w:val="28"/>
        </w:rPr>
        <w:t>6.</w:t>
      </w:r>
      <w:r w:rsidRPr="00520549">
        <w:rPr>
          <w:rFonts w:ascii="Calibri" w:hAnsi="Calibri" w:cs="Arial"/>
          <w:b/>
          <w:color w:val="0000FF"/>
          <w:sz w:val="28"/>
          <w:szCs w:val="28"/>
        </w:rPr>
        <w:tab/>
        <w:t>Market Capitalisation</w:t>
      </w:r>
    </w:p>
    <w:p w:rsidR="00EE67C0" w:rsidRPr="00520549" w:rsidRDefault="00EE67C0" w:rsidP="00ED68ED">
      <w:pPr>
        <w:ind w:left="720"/>
        <w:jc w:val="both"/>
        <w:rPr>
          <w:rFonts w:ascii="Calibri" w:hAnsi="Calibri" w:cs="Arial"/>
          <w:lang w:val="en-GB"/>
        </w:rPr>
      </w:pPr>
    </w:p>
    <w:p w:rsidR="00EE67C0" w:rsidRPr="00520549" w:rsidRDefault="00EE67C0" w:rsidP="00ED68ED">
      <w:pPr>
        <w:ind w:left="720"/>
        <w:jc w:val="both"/>
        <w:rPr>
          <w:rFonts w:ascii="Calibri" w:hAnsi="Calibri" w:cs="Arial"/>
          <w:lang w:val="en-GB"/>
        </w:rPr>
      </w:pPr>
      <w:r w:rsidRPr="00520549">
        <w:rPr>
          <w:rFonts w:ascii="Calibri" w:hAnsi="Calibri" w:cs="Arial"/>
          <w:lang w:val="en-GB"/>
        </w:rPr>
        <w:t>Market capitalisation is calculated by multiplying a company's shares outstanding by the current market price of one share. This figure is used to determine a company's size, provides an indication of its value and its net worth.</w:t>
      </w:r>
    </w:p>
    <w:p w:rsidR="00EE67C0" w:rsidRPr="00520549" w:rsidRDefault="00EE67C0" w:rsidP="00ED68ED">
      <w:pPr>
        <w:ind w:left="720"/>
        <w:jc w:val="both"/>
        <w:rPr>
          <w:rFonts w:ascii="Calibri" w:hAnsi="Calibri" w:cs="Arial"/>
          <w:lang w:val="en-GB"/>
        </w:rPr>
      </w:pPr>
    </w:p>
    <w:p w:rsidR="00EE67C0" w:rsidRPr="00520549" w:rsidRDefault="00EE67C0" w:rsidP="00ED68ED">
      <w:pPr>
        <w:ind w:left="720"/>
        <w:jc w:val="both"/>
        <w:rPr>
          <w:rFonts w:ascii="Calibri" w:hAnsi="Calibri" w:cs="Arial"/>
          <w:lang w:val="en-GB"/>
        </w:rPr>
      </w:pPr>
      <w:r w:rsidRPr="00520549">
        <w:rPr>
          <w:rFonts w:ascii="Calibri" w:hAnsi="Calibri" w:cs="Arial"/>
          <w:lang w:val="en-GB"/>
        </w:rPr>
        <w:t xml:space="preserve">For the six months ended 31 December 2014, FRC reviewed the annual reports of 7 listed companies and noted that their market capitalisation approximately totalled Rs 4.5 billion. </w:t>
      </w:r>
    </w:p>
    <w:p w:rsidR="00EE67C0" w:rsidRPr="00520549" w:rsidRDefault="00EE67C0" w:rsidP="00ED68ED">
      <w:pPr>
        <w:ind w:left="720"/>
        <w:jc w:val="both"/>
        <w:rPr>
          <w:rFonts w:ascii="Calibri" w:hAnsi="Calibri" w:cs="Arial"/>
          <w:lang w:val="en-GB"/>
        </w:rPr>
      </w:pPr>
    </w:p>
    <w:p w:rsidR="00EE67C0" w:rsidRPr="00520549" w:rsidRDefault="00EE67C0" w:rsidP="00ED68ED">
      <w:pPr>
        <w:ind w:left="720"/>
        <w:jc w:val="both"/>
        <w:rPr>
          <w:rFonts w:ascii="Calibri" w:hAnsi="Calibri" w:cs="Arial"/>
          <w:lang w:val="en-GB"/>
        </w:rPr>
      </w:pPr>
      <w:r w:rsidRPr="00520549">
        <w:rPr>
          <w:rFonts w:ascii="Calibri" w:hAnsi="Calibri" w:cs="Arial"/>
          <w:lang w:val="en-GB"/>
        </w:rPr>
        <w:t>3 PIEs that were the most capitalised were involved in commerce and insurance. The entities that were least capitalised were engaged in leisure and industry.</w:t>
      </w:r>
    </w:p>
    <w:p w:rsidR="00EE67C0" w:rsidRPr="00520549" w:rsidRDefault="00EE67C0" w:rsidP="0018387D">
      <w:pPr>
        <w:jc w:val="both"/>
        <w:rPr>
          <w:rFonts w:ascii="Calibri" w:hAnsi="Calibri" w:cs="Arial"/>
          <w:lang w:val="en-GB"/>
        </w:rPr>
      </w:pPr>
    </w:p>
    <w:p w:rsidR="00EE67C0" w:rsidRPr="00520549" w:rsidRDefault="00EE67C0" w:rsidP="00ED68ED">
      <w:pPr>
        <w:tabs>
          <w:tab w:val="left" w:pos="720"/>
        </w:tabs>
        <w:ind w:left="748" w:hanging="748"/>
        <w:jc w:val="both"/>
        <w:rPr>
          <w:rFonts w:ascii="Calibri" w:hAnsi="Calibri" w:cs="Arial"/>
          <w:b/>
          <w:color w:val="0000FF"/>
          <w:sz w:val="28"/>
          <w:szCs w:val="28"/>
        </w:rPr>
      </w:pPr>
      <w:r w:rsidRPr="00520549">
        <w:rPr>
          <w:rFonts w:ascii="Calibri" w:hAnsi="Calibri" w:cs="Arial"/>
          <w:b/>
          <w:color w:val="0000FF"/>
          <w:sz w:val="28"/>
          <w:szCs w:val="28"/>
        </w:rPr>
        <w:t>7.</w:t>
      </w:r>
      <w:r w:rsidRPr="00520549">
        <w:rPr>
          <w:rFonts w:ascii="Calibri" w:hAnsi="Calibri" w:cs="Arial"/>
          <w:b/>
          <w:color w:val="0000FF"/>
          <w:sz w:val="28"/>
          <w:szCs w:val="28"/>
        </w:rPr>
        <w:tab/>
        <w:t>FSC regulated CIS</w:t>
      </w:r>
    </w:p>
    <w:p w:rsidR="00EE67C0" w:rsidRPr="00520549" w:rsidRDefault="00EE67C0" w:rsidP="00ED68ED">
      <w:pPr>
        <w:ind w:left="720"/>
        <w:jc w:val="both"/>
        <w:rPr>
          <w:rFonts w:ascii="Calibri" w:hAnsi="Calibri" w:cs="Arial"/>
          <w:bCs/>
        </w:rPr>
      </w:pPr>
    </w:p>
    <w:p w:rsidR="00EE67C0" w:rsidRPr="00520549" w:rsidRDefault="00EE67C0" w:rsidP="00ED68ED">
      <w:pPr>
        <w:ind w:left="720"/>
        <w:jc w:val="both"/>
        <w:rPr>
          <w:rFonts w:ascii="Calibri" w:hAnsi="Calibri" w:cs="Arial"/>
          <w:bCs/>
        </w:rPr>
      </w:pPr>
      <w:r w:rsidRPr="00520549">
        <w:rPr>
          <w:rFonts w:ascii="Calibri" w:hAnsi="Calibri" w:cs="Arial"/>
          <w:bCs/>
        </w:rPr>
        <w:t>Collective Investment Schemes are FSC regulated investment companies that collect funds from various investors to collectively invest in a portfolio of diversified investments.The funds aim to provide growth in the value of investment over time. The investment value of these investment funds provides an idea of the total amount of funds generated by the Collective Investment Schemes.</w:t>
      </w:r>
    </w:p>
    <w:p w:rsidR="00EE67C0" w:rsidRPr="00520549" w:rsidRDefault="00EE67C0" w:rsidP="00ED68ED">
      <w:pPr>
        <w:ind w:left="720"/>
        <w:jc w:val="both"/>
        <w:rPr>
          <w:rFonts w:ascii="Calibri" w:hAnsi="Calibri" w:cs="Arial"/>
          <w:bCs/>
        </w:rPr>
      </w:pPr>
    </w:p>
    <w:p w:rsidR="00EE67C0" w:rsidRPr="00520549" w:rsidRDefault="00EE67C0" w:rsidP="00ED68ED">
      <w:pPr>
        <w:ind w:left="720"/>
        <w:jc w:val="both"/>
        <w:rPr>
          <w:rFonts w:ascii="Calibri" w:hAnsi="Calibri" w:cs="Arial"/>
          <w:bCs/>
        </w:rPr>
      </w:pPr>
      <w:r w:rsidRPr="00520549">
        <w:rPr>
          <w:rFonts w:ascii="Calibri" w:hAnsi="Calibri" w:cs="Arial"/>
          <w:bCs/>
        </w:rPr>
        <w:t>Out of the 56 PIEs reviewed for the six months ended 31 December 2014, 5 of them were FSC regulated. From these 5 PIEs, 2 were collective investment schemes.  FRC observed that the investment value for these 2 Collective Investment Scheme reviewed amounted to Rs 2,657,486,999.</w:t>
      </w:r>
    </w:p>
    <w:p w:rsidR="00EE67C0" w:rsidRPr="00520549" w:rsidRDefault="00EE67C0" w:rsidP="00ED68ED">
      <w:pPr>
        <w:ind w:left="720"/>
        <w:jc w:val="both"/>
        <w:rPr>
          <w:rFonts w:ascii="Calibri" w:hAnsi="Calibri" w:cs="Arial"/>
          <w:bCs/>
        </w:rPr>
      </w:pPr>
    </w:p>
    <w:p w:rsidR="00EE67C0" w:rsidRPr="00C22306" w:rsidRDefault="00EE67C0" w:rsidP="00C64391">
      <w:pPr>
        <w:tabs>
          <w:tab w:val="left" w:pos="720"/>
        </w:tabs>
        <w:ind w:left="748" w:hanging="748"/>
        <w:jc w:val="both"/>
        <w:rPr>
          <w:rFonts w:ascii="Calibri" w:hAnsi="Calibri" w:cs="Arial"/>
          <w:b/>
          <w:color w:val="0000FF"/>
          <w:sz w:val="28"/>
          <w:szCs w:val="28"/>
        </w:rPr>
      </w:pPr>
      <w:r w:rsidRPr="00C22306">
        <w:rPr>
          <w:rFonts w:ascii="Calibri" w:hAnsi="Calibri" w:cs="Arial"/>
          <w:b/>
          <w:color w:val="0000FF"/>
          <w:sz w:val="28"/>
          <w:szCs w:val="28"/>
        </w:rPr>
        <w:t>8.</w:t>
      </w:r>
      <w:r w:rsidRPr="00C22306">
        <w:rPr>
          <w:rFonts w:ascii="Calibri" w:hAnsi="Calibri" w:cs="Arial"/>
          <w:b/>
          <w:color w:val="0000FF"/>
          <w:sz w:val="28"/>
          <w:szCs w:val="28"/>
        </w:rPr>
        <w:tab/>
      </w:r>
      <w:bookmarkStart w:id="14" w:name="_Hlk395611800"/>
      <w:r w:rsidRPr="00C22306">
        <w:rPr>
          <w:rFonts w:ascii="Calibri" w:hAnsi="Calibri" w:cs="Arial"/>
          <w:b/>
          <w:color w:val="0000FF"/>
          <w:sz w:val="28"/>
          <w:szCs w:val="28"/>
        </w:rPr>
        <w:t>Categories of Auditors</w:t>
      </w:r>
      <w:bookmarkEnd w:id="14"/>
    </w:p>
    <w:p w:rsidR="00EE67C0" w:rsidRPr="00C22306" w:rsidRDefault="00EE67C0" w:rsidP="00C64391">
      <w:pPr>
        <w:tabs>
          <w:tab w:val="left" w:pos="720"/>
        </w:tabs>
        <w:ind w:left="748" w:hanging="748"/>
        <w:jc w:val="both"/>
        <w:rPr>
          <w:rFonts w:ascii="Calibri" w:hAnsi="Calibri" w:cs="Arial"/>
          <w:bCs/>
        </w:rPr>
      </w:pPr>
    </w:p>
    <w:p w:rsidR="00EE67C0" w:rsidRPr="00C22306" w:rsidRDefault="00EE67C0" w:rsidP="006A601F">
      <w:pPr>
        <w:ind w:left="720"/>
        <w:jc w:val="both"/>
        <w:rPr>
          <w:rFonts w:ascii="Calibri" w:hAnsi="Calibri" w:cs="Arial"/>
          <w:bCs/>
        </w:rPr>
      </w:pPr>
      <w:r w:rsidRPr="00C22306">
        <w:rPr>
          <w:rFonts w:ascii="Calibri" w:hAnsi="Calibri" w:cs="Arial"/>
          <w:bCs/>
        </w:rPr>
        <w:t>As per section 33 of the Financial Reporting Act, any person who holds any appointment or offers any services for remuneration, as an auditor, has to hold a licence under the Financial Reporting Act. This licence issued under section 33 is valid for a calendar year of for such period as the FRC may determine. The table below provides a description of the type of PIEs reviewed and their categories of auditors.</w:t>
      </w:r>
    </w:p>
    <w:p w:rsidR="00EE67C0" w:rsidRPr="00C35531" w:rsidRDefault="00EE67C0" w:rsidP="006A601F">
      <w:pPr>
        <w:ind w:left="720"/>
        <w:jc w:val="both"/>
        <w:rPr>
          <w:rFonts w:ascii="Calibri" w:hAnsi="Calibri" w:cs="Arial"/>
          <w:bCs/>
          <w:highlight w:val="yellow"/>
        </w:rPr>
      </w:pPr>
    </w:p>
    <w:tbl>
      <w:tblPr>
        <w:tblW w:w="7110" w:type="dxa"/>
        <w:tblInd w:w="800" w:type="dxa"/>
        <w:tblLook w:val="00A0"/>
      </w:tblPr>
      <w:tblGrid>
        <w:gridCol w:w="1132"/>
        <w:gridCol w:w="938"/>
        <w:gridCol w:w="1080"/>
        <w:gridCol w:w="990"/>
        <w:gridCol w:w="1080"/>
        <w:gridCol w:w="1200"/>
        <w:gridCol w:w="690"/>
      </w:tblGrid>
      <w:tr w:rsidR="00EE67C0" w:rsidTr="00C22306">
        <w:trPr>
          <w:trHeight w:val="315"/>
        </w:trPr>
        <w:tc>
          <w:tcPr>
            <w:tcW w:w="11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EE67C0" w:rsidRPr="00C131D2" w:rsidRDefault="00EE67C0">
            <w:pPr>
              <w:rPr>
                <w:rFonts w:ascii="Calibri" w:hAnsi="Calibri"/>
                <w:b/>
                <w:bCs/>
                <w:color w:val="000000"/>
                <w:sz w:val="18"/>
                <w:szCs w:val="20"/>
              </w:rPr>
            </w:pPr>
            <w:r w:rsidRPr="00C131D2">
              <w:rPr>
                <w:rFonts w:ascii="Calibri" w:hAnsi="Calibri"/>
                <w:b/>
                <w:bCs/>
                <w:color w:val="000000"/>
                <w:sz w:val="18"/>
                <w:szCs w:val="20"/>
              </w:rPr>
              <w:t>Types of reviews</w:t>
            </w:r>
          </w:p>
        </w:tc>
        <w:tc>
          <w:tcPr>
            <w:tcW w:w="5978" w:type="dxa"/>
            <w:gridSpan w:val="6"/>
            <w:tcBorders>
              <w:top w:val="single" w:sz="8" w:space="0" w:color="auto"/>
              <w:left w:val="nil"/>
              <w:bottom w:val="single" w:sz="8" w:space="0" w:color="auto"/>
              <w:right w:val="single" w:sz="8" w:space="0" w:color="000000"/>
            </w:tcBorders>
            <w:shd w:val="clear" w:color="000000" w:fill="D9D9D9"/>
            <w:noWrap/>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Type of audit firm</w:t>
            </w:r>
          </w:p>
        </w:tc>
      </w:tr>
      <w:tr w:rsidR="00EE67C0" w:rsidTr="00C22306">
        <w:trPr>
          <w:trHeight w:val="1035"/>
        </w:trPr>
        <w:tc>
          <w:tcPr>
            <w:tcW w:w="1132" w:type="dxa"/>
            <w:vMerge/>
            <w:tcBorders>
              <w:top w:val="single" w:sz="8" w:space="0" w:color="auto"/>
              <w:left w:val="single" w:sz="8" w:space="0" w:color="auto"/>
              <w:bottom w:val="single" w:sz="8" w:space="0" w:color="000000"/>
              <w:right w:val="single" w:sz="8" w:space="0" w:color="auto"/>
            </w:tcBorders>
            <w:vAlign w:val="center"/>
          </w:tcPr>
          <w:p w:rsidR="00EE67C0" w:rsidRPr="00C131D2" w:rsidRDefault="00EE67C0">
            <w:pPr>
              <w:rPr>
                <w:rFonts w:ascii="Calibri" w:hAnsi="Calibri"/>
                <w:b/>
                <w:bCs/>
                <w:color w:val="000000"/>
                <w:sz w:val="18"/>
                <w:szCs w:val="20"/>
              </w:rPr>
            </w:pPr>
          </w:p>
        </w:tc>
        <w:tc>
          <w:tcPr>
            <w:tcW w:w="938" w:type="dxa"/>
            <w:tcBorders>
              <w:top w:val="nil"/>
              <w:left w:val="nil"/>
              <w:bottom w:val="single" w:sz="8" w:space="0" w:color="auto"/>
              <w:right w:val="single" w:sz="8" w:space="0" w:color="auto"/>
            </w:tcBorders>
            <w:shd w:val="clear" w:color="000000" w:fill="D9D9D9"/>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Big 5</w:t>
            </w:r>
          </w:p>
        </w:tc>
        <w:tc>
          <w:tcPr>
            <w:tcW w:w="1080" w:type="dxa"/>
            <w:tcBorders>
              <w:top w:val="nil"/>
              <w:left w:val="nil"/>
              <w:bottom w:val="single" w:sz="8" w:space="0" w:color="auto"/>
              <w:right w:val="single" w:sz="8" w:space="0" w:color="auto"/>
            </w:tcBorders>
            <w:shd w:val="clear" w:color="000000" w:fill="D9D9D9"/>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More than two partners audit firm</w:t>
            </w:r>
          </w:p>
        </w:tc>
        <w:tc>
          <w:tcPr>
            <w:tcW w:w="990" w:type="dxa"/>
            <w:tcBorders>
              <w:top w:val="nil"/>
              <w:left w:val="nil"/>
              <w:bottom w:val="single" w:sz="8" w:space="0" w:color="auto"/>
              <w:right w:val="single" w:sz="8" w:space="0" w:color="auto"/>
            </w:tcBorders>
            <w:shd w:val="clear" w:color="000000" w:fill="D9D9D9"/>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Two Partners Audit Firm</w:t>
            </w:r>
          </w:p>
        </w:tc>
        <w:tc>
          <w:tcPr>
            <w:tcW w:w="1080" w:type="dxa"/>
            <w:tcBorders>
              <w:top w:val="nil"/>
              <w:left w:val="nil"/>
              <w:bottom w:val="single" w:sz="8" w:space="0" w:color="auto"/>
              <w:right w:val="single" w:sz="8" w:space="0" w:color="auto"/>
            </w:tcBorders>
            <w:shd w:val="clear" w:color="000000" w:fill="D9D9D9"/>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One Partner Audit Firm</w:t>
            </w:r>
          </w:p>
        </w:tc>
        <w:tc>
          <w:tcPr>
            <w:tcW w:w="1200" w:type="dxa"/>
            <w:tcBorders>
              <w:top w:val="nil"/>
              <w:left w:val="nil"/>
              <w:bottom w:val="single" w:sz="8" w:space="0" w:color="auto"/>
              <w:right w:val="single" w:sz="8" w:space="0" w:color="auto"/>
            </w:tcBorders>
            <w:shd w:val="clear" w:color="000000" w:fill="D9D9D9"/>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Sole Practitioner</w:t>
            </w:r>
          </w:p>
        </w:tc>
        <w:tc>
          <w:tcPr>
            <w:tcW w:w="690" w:type="dxa"/>
            <w:tcBorders>
              <w:top w:val="nil"/>
              <w:left w:val="nil"/>
              <w:bottom w:val="single" w:sz="8" w:space="0" w:color="auto"/>
              <w:right w:val="single" w:sz="8" w:space="0" w:color="auto"/>
            </w:tcBorders>
            <w:shd w:val="clear" w:color="000000" w:fill="D9D9D9"/>
            <w:vAlign w:val="center"/>
          </w:tcPr>
          <w:p w:rsidR="00EE67C0" w:rsidRPr="00C131D2" w:rsidRDefault="00EE67C0">
            <w:pPr>
              <w:jc w:val="center"/>
              <w:rPr>
                <w:rFonts w:ascii="Calibri" w:hAnsi="Calibri"/>
                <w:b/>
                <w:bCs/>
                <w:color w:val="000000"/>
                <w:sz w:val="18"/>
                <w:szCs w:val="20"/>
              </w:rPr>
            </w:pPr>
            <w:r w:rsidRPr="00C131D2">
              <w:rPr>
                <w:rFonts w:ascii="Calibri" w:hAnsi="Calibri"/>
                <w:b/>
                <w:bCs/>
                <w:color w:val="000000"/>
                <w:sz w:val="18"/>
                <w:szCs w:val="20"/>
              </w:rPr>
              <w:t>Total</w:t>
            </w:r>
          </w:p>
        </w:tc>
      </w:tr>
      <w:tr w:rsidR="00EE67C0" w:rsidTr="00C22306">
        <w:trPr>
          <w:trHeight w:val="315"/>
        </w:trPr>
        <w:tc>
          <w:tcPr>
            <w:tcW w:w="1132" w:type="dxa"/>
            <w:tcBorders>
              <w:top w:val="nil"/>
              <w:left w:val="single" w:sz="8" w:space="0" w:color="auto"/>
              <w:bottom w:val="single" w:sz="8" w:space="0" w:color="auto"/>
              <w:right w:val="single" w:sz="8" w:space="0" w:color="auto"/>
            </w:tcBorders>
            <w:vAlign w:val="center"/>
          </w:tcPr>
          <w:p w:rsidR="00EE67C0" w:rsidRDefault="00EE67C0">
            <w:pPr>
              <w:rPr>
                <w:rFonts w:ascii="Calibri" w:hAnsi="Calibri"/>
                <w:color w:val="000000"/>
                <w:sz w:val="20"/>
                <w:szCs w:val="20"/>
              </w:rPr>
            </w:pPr>
            <w:r>
              <w:rPr>
                <w:rFonts w:ascii="Calibri" w:hAnsi="Calibri"/>
                <w:color w:val="000000"/>
                <w:sz w:val="20"/>
                <w:szCs w:val="20"/>
              </w:rPr>
              <w:t>Listed on SEM</w:t>
            </w:r>
          </w:p>
        </w:tc>
        <w:tc>
          <w:tcPr>
            <w:tcW w:w="938"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7</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120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6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7</w:t>
            </w:r>
          </w:p>
        </w:tc>
      </w:tr>
      <w:tr w:rsidR="00EE67C0" w:rsidTr="00C22306">
        <w:trPr>
          <w:trHeight w:val="1770"/>
        </w:trPr>
        <w:tc>
          <w:tcPr>
            <w:tcW w:w="1132" w:type="dxa"/>
            <w:tcBorders>
              <w:top w:val="nil"/>
              <w:left w:val="single" w:sz="8" w:space="0" w:color="auto"/>
              <w:bottom w:val="single" w:sz="8" w:space="0" w:color="auto"/>
              <w:right w:val="single" w:sz="8" w:space="0" w:color="auto"/>
            </w:tcBorders>
            <w:vAlign w:val="center"/>
          </w:tcPr>
          <w:p w:rsidR="00EE67C0" w:rsidRDefault="00EE67C0">
            <w:pPr>
              <w:rPr>
                <w:rFonts w:ascii="Calibri" w:hAnsi="Calibri"/>
                <w:color w:val="000000"/>
                <w:sz w:val="20"/>
                <w:szCs w:val="20"/>
              </w:rPr>
            </w:pPr>
            <w:r>
              <w:rPr>
                <w:rFonts w:ascii="Calibri" w:hAnsi="Calibri"/>
                <w:color w:val="000000"/>
                <w:sz w:val="20"/>
                <w:szCs w:val="20"/>
              </w:rPr>
              <w:t>Financial institutions regulated by BOM (excluding cash dealers)</w:t>
            </w:r>
          </w:p>
        </w:tc>
        <w:tc>
          <w:tcPr>
            <w:tcW w:w="938"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120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6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w:t>
            </w:r>
          </w:p>
        </w:tc>
      </w:tr>
      <w:tr w:rsidR="00EE67C0" w:rsidTr="00C22306">
        <w:trPr>
          <w:trHeight w:val="1155"/>
        </w:trPr>
        <w:tc>
          <w:tcPr>
            <w:tcW w:w="1132" w:type="dxa"/>
            <w:tcBorders>
              <w:top w:val="nil"/>
              <w:left w:val="single" w:sz="8" w:space="0" w:color="auto"/>
              <w:bottom w:val="single" w:sz="8" w:space="0" w:color="auto"/>
              <w:right w:val="single" w:sz="8" w:space="0" w:color="auto"/>
            </w:tcBorders>
            <w:vAlign w:val="center"/>
          </w:tcPr>
          <w:p w:rsidR="00EE67C0" w:rsidRDefault="00EE67C0">
            <w:pPr>
              <w:rPr>
                <w:rFonts w:ascii="Calibri" w:hAnsi="Calibri"/>
                <w:color w:val="000000"/>
                <w:sz w:val="20"/>
                <w:szCs w:val="20"/>
              </w:rPr>
            </w:pPr>
            <w:r>
              <w:rPr>
                <w:rFonts w:ascii="Calibri" w:hAnsi="Calibri"/>
                <w:color w:val="000000"/>
                <w:sz w:val="20"/>
                <w:szCs w:val="20"/>
              </w:rPr>
              <w:t>Financial institutions regulated by FSC</w:t>
            </w:r>
          </w:p>
        </w:tc>
        <w:tc>
          <w:tcPr>
            <w:tcW w:w="938"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5</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120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color w:val="000000"/>
                <w:sz w:val="20"/>
                <w:szCs w:val="20"/>
              </w:rPr>
            </w:pPr>
            <w:r>
              <w:rPr>
                <w:rFonts w:ascii="Calibri" w:hAnsi="Calibri"/>
                <w:color w:val="000000"/>
                <w:sz w:val="20"/>
                <w:szCs w:val="20"/>
              </w:rPr>
              <w:t>-</w:t>
            </w:r>
          </w:p>
        </w:tc>
        <w:tc>
          <w:tcPr>
            <w:tcW w:w="6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5</w:t>
            </w:r>
          </w:p>
        </w:tc>
      </w:tr>
      <w:tr w:rsidR="00EE67C0" w:rsidTr="00C22306">
        <w:trPr>
          <w:trHeight w:val="315"/>
        </w:trPr>
        <w:tc>
          <w:tcPr>
            <w:tcW w:w="1132" w:type="dxa"/>
            <w:tcBorders>
              <w:top w:val="nil"/>
              <w:left w:val="single" w:sz="8" w:space="0" w:color="auto"/>
              <w:bottom w:val="single" w:sz="8" w:space="0" w:color="auto"/>
              <w:right w:val="single" w:sz="8" w:space="0" w:color="auto"/>
            </w:tcBorders>
            <w:vAlign w:val="center"/>
          </w:tcPr>
          <w:p w:rsidR="00EE67C0" w:rsidRDefault="00EE67C0">
            <w:pPr>
              <w:rPr>
                <w:rFonts w:ascii="Calibri" w:hAnsi="Calibri"/>
                <w:color w:val="000000"/>
                <w:sz w:val="20"/>
                <w:szCs w:val="20"/>
              </w:rPr>
            </w:pPr>
            <w:r w:rsidRPr="004F6F5A">
              <w:rPr>
                <w:rFonts w:ascii="Calibri" w:hAnsi="Calibri"/>
                <w:color w:val="000000"/>
                <w:sz w:val="20"/>
                <w:szCs w:val="20"/>
              </w:rPr>
              <w:t>Category 4 PIEs as per the FRA</w:t>
            </w:r>
          </w:p>
        </w:tc>
        <w:tc>
          <w:tcPr>
            <w:tcW w:w="938"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30</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w:t>
            </w:r>
          </w:p>
        </w:tc>
        <w:tc>
          <w:tcPr>
            <w:tcW w:w="9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4</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w:t>
            </w:r>
          </w:p>
        </w:tc>
        <w:tc>
          <w:tcPr>
            <w:tcW w:w="120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1</w:t>
            </w:r>
          </w:p>
        </w:tc>
        <w:tc>
          <w:tcPr>
            <w:tcW w:w="6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41</w:t>
            </w:r>
          </w:p>
        </w:tc>
      </w:tr>
      <w:tr w:rsidR="00EE67C0" w:rsidTr="00C22306">
        <w:trPr>
          <w:trHeight w:val="315"/>
        </w:trPr>
        <w:tc>
          <w:tcPr>
            <w:tcW w:w="1132" w:type="dxa"/>
            <w:tcBorders>
              <w:top w:val="nil"/>
              <w:left w:val="single" w:sz="8" w:space="0" w:color="auto"/>
              <w:bottom w:val="single" w:sz="8" w:space="0" w:color="auto"/>
              <w:right w:val="single" w:sz="8" w:space="0" w:color="auto"/>
            </w:tcBorders>
            <w:vAlign w:val="center"/>
          </w:tcPr>
          <w:p w:rsidR="00EE67C0" w:rsidRDefault="00EE67C0">
            <w:pPr>
              <w:rPr>
                <w:rFonts w:ascii="Calibri" w:hAnsi="Calibri"/>
                <w:b/>
                <w:bCs/>
                <w:color w:val="000000"/>
                <w:sz w:val="20"/>
                <w:szCs w:val="20"/>
              </w:rPr>
            </w:pPr>
            <w:r>
              <w:rPr>
                <w:rFonts w:ascii="Calibri" w:hAnsi="Calibri"/>
                <w:b/>
                <w:bCs/>
                <w:color w:val="000000"/>
                <w:sz w:val="20"/>
                <w:szCs w:val="20"/>
              </w:rPr>
              <w:t>Total</w:t>
            </w:r>
          </w:p>
        </w:tc>
        <w:tc>
          <w:tcPr>
            <w:tcW w:w="938"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45</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w:t>
            </w:r>
          </w:p>
        </w:tc>
        <w:tc>
          <w:tcPr>
            <w:tcW w:w="9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4</w:t>
            </w:r>
          </w:p>
        </w:tc>
        <w:tc>
          <w:tcPr>
            <w:tcW w:w="108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3</w:t>
            </w:r>
          </w:p>
        </w:tc>
        <w:tc>
          <w:tcPr>
            <w:tcW w:w="120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1</w:t>
            </w:r>
          </w:p>
        </w:tc>
        <w:tc>
          <w:tcPr>
            <w:tcW w:w="690" w:type="dxa"/>
            <w:tcBorders>
              <w:top w:val="nil"/>
              <w:left w:val="nil"/>
              <w:bottom w:val="single" w:sz="8" w:space="0" w:color="auto"/>
              <w:right w:val="single" w:sz="8" w:space="0" w:color="auto"/>
            </w:tcBorders>
            <w:noWrap/>
            <w:vAlign w:val="center"/>
          </w:tcPr>
          <w:p w:rsidR="00EE67C0" w:rsidRDefault="00EE67C0" w:rsidP="00C22306">
            <w:pPr>
              <w:jc w:val="center"/>
              <w:rPr>
                <w:rFonts w:ascii="Calibri" w:hAnsi="Calibri"/>
                <w:b/>
                <w:bCs/>
                <w:color w:val="000000"/>
                <w:sz w:val="20"/>
                <w:szCs w:val="20"/>
              </w:rPr>
            </w:pPr>
            <w:r>
              <w:rPr>
                <w:rFonts w:ascii="Calibri" w:hAnsi="Calibri"/>
                <w:b/>
                <w:bCs/>
                <w:color w:val="000000"/>
                <w:sz w:val="20"/>
                <w:szCs w:val="20"/>
              </w:rPr>
              <w:t>56</w:t>
            </w:r>
          </w:p>
        </w:tc>
      </w:tr>
    </w:tbl>
    <w:p w:rsidR="00EE67C0" w:rsidRPr="00C35531" w:rsidRDefault="00EE67C0" w:rsidP="006A601F">
      <w:pPr>
        <w:ind w:left="720"/>
        <w:jc w:val="both"/>
        <w:rPr>
          <w:rFonts w:ascii="Calibri" w:hAnsi="Calibri" w:cs="Arial"/>
          <w:bCs/>
          <w:highlight w:val="yellow"/>
        </w:rPr>
      </w:pPr>
    </w:p>
    <w:p w:rsidR="00EE67C0" w:rsidRPr="00C22306" w:rsidRDefault="00EE67C0" w:rsidP="00C64391">
      <w:pPr>
        <w:ind w:left="720"/>
        <w:jc w:val="both"/>
        <w:rPr>
          <w:rFonts w:ascii="Calibri" w:hAnsi="Calibri"/>
        </w:rPr>
      </w:pPr>
      <w:r w:rsidRPr="00C22306">
        <w:rPr>
          <w:rFonts w:ascii="Calibri" w:hAnsi="Calibri"/>
        </w:rPr>
        <w:t>From the above table, FRC noted the following from the 56 PIEs reviewed:</w:t>
      </w:r>
    </w:p>
    <w:p w:rsidR="00EE67C0" w:rsidRPr="00C22306" w:rsidRDefault="00EE67C0" w:rsidP="00C64391">
      <w:pPr>
        <w:ind w:left="720"/>
        <w:jc w:val="both"/>
        <w:rPr>
          <w:rFonts w:ascii="Calibri" w:hAnsi="Calibri"/>
        </w:rPr>
      </w:pPr>
    </w:p>
    <w:p w:rsidR="00EE67C0" w:rsidRPr="00C22306" w:rsidRDefault="00EE67C0" w:rsidP="008D126B">
      <w:pPr>
        <w:pStyle w:val="ListParagraph"/>
        <w:numPr>
          <w:ilvl w:val="0"/>
          <w:numId w:val="21"/>
        </w:numPr>
        <w:ind w:left="1080"/>
        <w:contextualSpacing/>
        <w:jc w:val="both"/>
        <w:rPr>
          <w:rFonts w:ascii="Calibri" w:hAnsi="Calibri"/>
        </w:rPr>
      </w:pPr>
      <w:r w:rsidRPr="00C22306">
        <w:rPr>
          <w:rFonts w:ascii="Calibri" w:hAnsi="Calibri"/>
        </w:rPr>
        <w:t>45</w:t>
      </w:r>
      <w:r>
        <w:rPr>
          <w:rFonts w:ascii="Calibri" w:hAnsi="Calibri"/>
        </w:rPr>
        <w:t xml:space="preserve"> representing 80% of the PIEs</w:t>
      </w:r>
      <w:r w:rsidRPr="00C22306">
        <w:rPr>
          <w:rFonts w:ascii="Calibri" w:hAnsi="Calibri"/>
        </w:rPr>
        <w:t xml:space="preserve"> (7 listed, 3 BOM, 5 FSC and 30 PIEs</w:t>
      </w:r>
      <w:r>
        <w:rPr>
          <w:rFonts w:ascii="Calibri" w:hAnsi="Calibri"/>
        </w:rPr>
        <w:t xml:space="preserve"> in Category 4</w:t>
      </w:r>
      <w:r w:rsidRPr="00C22306">
        <w:rPr>
          <w:rFonts w:ascii="Calibri" w:hAnsi="Calibri"/>
        </w:rPr>
        <w:t xml:space="preserve">) are audited by Big 5 companies (namely PWC, Deloitte, BDO, Ernst and Young and KPMG); </w:t>
      </w:r>
    </w:p>
    <w:p w:rsidR="00EE67C0" w:rsidRPr="00C22306" w:rsidRDefault="00EE67C0" w:rsidP="008D126B">
      <w:pPr>
        <w:pStyle w:val="ListParagraph"/>
        <w:numPr>
          <w:ilvl w:val="0"/>
          <w:numId w:val="21"/>
        </w:numPr>
        <w:ind w:left="1080"/>
        <w:contextualSpacing/>
        <w:jc w:val="both"/>
        <w:rPr>
          <w:rFonts w:ascii="Calibri" w:hAnsi="Calibri"/>
        </w:rPr>
      </w:pPr>
      <w:r w:rsidRPr="00C22306">
        <w:rPr>
          <w:rFonts w:ascii="Calibri" w:hAnsi="Calibri"/>
        </w:rPr>
        <w:t xml:space="preserve">3 PIEs are audited by more than two partners audit firm; </w:t>
      </w:r>
    </w:p>
    <w:p w:rsidR="00EE67C0" w:rsidRPr="00C22306" w:rsidRDefault="00EE67C0" w:rsidP="008D126B">
      <w:pPr>
        <w:pStyle w:val="ListParagraph"/>
        <w:numPr>
          <w:ilvl w:val="0"/>
          <w:numId w:val="21"/>
        </w:numPr>
        <w:ind w:left="1080"/>
        <w:contextualSpacing/>
        <w:jc w:val="both"/>
        <w:rPr>
          <w:rFonts w:ascii="Calibri" w:hAnsi="Calibri"/>
        </w:rPr>
      </w:pPr>
      <w:r w:rsidRPr="00C22306">
        <w:rPr>
          <w:rFonts w:ascii="Calibri" w:hAnsi="Calibri"/>
        </w:rPr>
        <w:t xml:space="preserve">4 PIEs had a two-partners firm as auditor; </w:t>
      </w:r>
    </w:p>
    <w:p w:rsidR="00EE67C0" w:rsidRPr="00C22306" w:rsidRDefault="00EE67C0" w:rsidP="008D126B">
      <w:pPr>
        <w:pStyle w:val="ListParagraph"/>
        <w:numPr>
          <w:ilvl w:val="0"/>
          <w:numId w:val="21"/>
        </w:numPr>
        <w:ind w:left="1080"/>
        <w:contextualSpacing/>
        <w:jc w:val="both"/>
        <w:rPr>
          <w:rFonts w:ascii="Calibri" w:hAnsi="Calibri"/>
        </w:rPr>
      </w:pPr>
      <w:r w:rsidRPr="00C22306">
        <w:rPr>
          <w:rFonts w:ascii="Calibri" w:hAnsi="Calibri"/>
        </w:rPr>
        <w:t>3 PIEs had as auditors a one partner firm; and</w:t>
      </w:r>
    </w:p>
    <w:p w:rsidR="00EE67C0" w:rsidRPr="00C22306" w:rsidRDefault="00EE67C0" w:rsidP="008D126B">
      <w:pPr>
        <w:pStyle w:val="ListParagraph"/>
        <w:numPr>
          <w:ilvl w:val="0"/>
          <w:numId w:val="21"/>
        </w:numPr>
        <w:ind w:left="1080"/>
        <w:contextualSpacing/>
        <w:jc w:val="both"/>
        <w:rPr>
          <w:rFonts w:ascii="Calibri" w:hAnsi="Calibri"/>
        </w:rPr>
      </w:pPr>
      <w:r w:rsidRPr="00C22306">
        <w:rPr>
          <w:rFonts w:ascii="Calibri" w:hAnsi="Calibri"/>
        </w:rPr>
        <w:t>1 PIE had a sole practitioner as its auditor.</w:t>
      </w:r>
    </w:p>
    <w:p w:rsidR="00EE67C0" w:rsidRPr="00C22306" w:rsidRDefault="00EE67C0" w:rsidP="00C64391">
      <w:pPr>
        <w:ind w:left="720"/>
        <w:rPr>
          <w:rFonts w:ascii="Calibri" w:hAnsi="Calibri"/>
        </w:rPr>
      </w:pPr>
    </w:p>
    <w:p w:rsidR="00EE67C0" w:rsidRPr="00C22306" w:rsidRDefault="00EE67C0" w:rsidP="00C22306">
      <w:pPr>
        <w:ind w:left="720"/>
        <w:jc w:val="both"/>
        <w:rPr>
          <w:rFonts w:ascii="Calibri" w:hAnsi="Calibri"/>
        </w:rPr>
      </w:pPr>
      <w:r w:rsidRPr="00C22306">
        <w:rPr>
          <w:rFonts w:ascii="Calibri" w:hAnsi="Calibri"/>
        </w:rPr>
        <w:t xml:space="preserve">It can be seen that other types of auditors besides the big firms are </w:t>
      </w:r>
      <w:r>
        <w:rPr>
          <w:rFonts w:ascii="Calibri" w:hAnsi="Calibri"/>
        </w:rPr>
        <w:t xml:space="preserve">able to </w:t>
      </w:r>
      <w:r w:rsidRPr="00C22306">
        <w:rPr>
          <w:rFonts w:ascii="Calibri" w:hAnsi="Calibri"/>
        </w:rPr>
        <w:t>enter the market of PIEs</w:t>
      </w:r>
      <w:r>
        <w:rPr>
          <w:rFonts w:ascii="Calibri" w:hAnsi="Calibri"/>
        </w:rPr>
        <w:t>, albeit timidly</w:t>
      </w:r>
      <w:r w:rsidRPr="00C22306">
        <w:rPr>
          <w:rFonts w:ascii="Calibri" w:hAnsi="Calibri"/>
        </w:rPr>
        <w:t>.</w:t>
      </w:r>
    </w:p>
    <w:p w:rsidR="00EE67C0" w:rsidRPr="00C22306" w:rsidRDefault="00EE67C0" w:rsidP="00C64391">
      <w:pPr>
        <w:ind w:left="720"/>
        <w:rPr>
          <w:rFonts w:ascii="Calibri" w:hAnsi="Calibri"/>
        </w:rPr>
      </w:pPr>
    </w:p>
    <w:p w:rsidR="00EE67C0" w:rsidRPr="00C35531" w:rsidRDefault="00EE67C0" w:rsidP="00C64391">
      <w:pPr>
        <w:ind w:left="720"/>
        <w:rPr>
          <w:rFonts w:ascii="Calibri" w:hAnsi="Calibri"/>
          <w:highlight w:val="yellow"/>
        </w:rPr>
      </w:pPr>
    </w:p>
    <w:p w:rsidR="00EE67C0" w:rsidRPr="000C7A13" w:rsidRDefault="00EE67C0" w:rsidP="0059593A">
      <w:pPr>
        <w:rPr>
          <w:rFonts w:ascii="Calibri" w:hAnsi="Calibri" w:cs="Arial"/>
          <w:b/>
          <w:color w:val="0000FF"/>
          <w:sz w:val="28"/>
          <w:szCs w:val="28"/>
          <w:lang w:val="en-GB"/>
        </w:rPr>
      </w:pPr>
      <w:bookmarkStart w:id="15" w:name="_Hlk395610500"/>
      <w:r w:rsidRPr="000C7A13">
        <w:rPr>
          <w:rFonts w:ascii="Calibri" w:hAnsi="Calibri" w:cs="Arial"/>
          <w:b/>
          <w:color w:val="0000FF"/>
          <w:sz w:val="28"/>
          <w:szCs w:val="28"/>
          <w:lang w:val="en-GB"/>
        </w:rPr>
        <w:t xml:space="preserve">PART </w:t>
      </w:r>
      <w:bookmarkStart w:id="16" w:name="FUp"/>
      <w:r w:rsidRPr="000C7A13">
        <w:rPr>
          <w:rFonts w:ascii="Calibri" w:hAnsi="Calibri" w:cs="Arial"/>
          <w:b/>
          <w:color w:val="0000FF"/>
          <w:sz w:val="28"/>
          <w:szCs w:val="28"/>
          <w:lang w:val="en-GB"/>
        </w:rPr>
        <w:t xml:space="preserve">B - Follow up reviews </w:t>
      </w:r>
      <w:bookmarkEnd w:id="16"/>
      <w:r w:rsidRPr="000C7A13">
        <w:rPr>
          <w:rFonts w:ascii="Calibri" w:hAnsi="Calibri" w:cs="Arial"/>
          <w:b/>
          <w:color w:val="0000FF"/>
          <w:sz w:val="28"/>
          <w:szCs w:val="28"/>
          <w:lang w:val="en-GB"/>
        </w:rPr>
        <w:t>of annual reports</w:t>
      </w:r>
    </w:p>
    <w:bookmarkEnd w:id="15"/>
    <w:p w:rsidR="00EE67C0" w:rsidRPr="000C7A13" w:rsidRDefault="00EE67C0" w:rsidP="00BC15F9">
      <w:pPr>
        <w:jc w:val="both"/>
        <w:rPr>
          <w:rFonts w:ascii="Calibri" w:hAnsi="Calibri" w:cs="Arial"/>
          <w:b/>
          <w:lang w:val="en-GB"/>
        </w:rPr>
      </w:pPr>
    </w:p>
    <w:p w:rsidR="00EE67C0" w:rsidRPr="000C7A13" w:rsidRDefault="00EE67C0" w:rsidP="0059593A">
      <w:pPr>
        <w:jc w:val="both"/>
        <w:rPr>
          <w:rFonts w:ascii="Calibri" w:hAnsi="Calibri" w:cs="Arial"/>
          <w:lang w:val="en-GB"/>
        </w:rPr>
      </w:pPr>
      <w:r w:rsidRPr="000C7A13">
        <w:rPr>
          <w:rFonts w:ascii="Calibri" w:hAnsi="Calibri" w:cs="Arial"/>
          <w:lang w:val="en-GB"/>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EE67C0" w:rsidRPr="000C7A13" w:rsidRDefault="00EE67C0" w:rsidP="00BC15F9">
      <w:pPr>
        <w:ind w:left="720"/>
        <w:jc w:val="both"/>
        <w:rPr>
          <w:rFonts w:ascii="Calibri" w:hAnsi="Calibri" w:cs="Arial"/>
          <w:lang w:val="en-GB"/>
        </w:rPr>
      </w:pPr>
    </w:p>
    <w:p w:rsidR="00EE67C0" w:rsidRPr="000C7A13" w:rsidRDefault="00EE67C0" w:rsidP="0059593A">
      <w:pPr>
        <w:tabs>
          <w:tab w:val="left" w:pos="748"/>
        </w:tabs>
        <w:jc w:val="both"/>
        <w:rPr>
          <w:rFonts w:ascii="Calibri" w:hAnsi="Calibri" w:cs="Arial"/>
          <w:lang w:val="en-GB"/>
        </w:rPr>
      </w:pPr>
      <w:r w:rsidRPr="000C7A13">
        <w:rPr>
          <w:rFonts w:ascii="Calibri" w:hAnsi="Calibri" w:cs="Arial"/>
          <w:lang w:val="en-GB"/>
        </w:rPr>
        <w:t>During the period under review, 43 follow up reviews were undertaken.  The selected PIEs reviewed were those who obtained Grade 2B during the previous reviews.</w:t>
      </w: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Default="00EE67C0" w:rsidP="006E3E34">
      <w:pPr>
        <w:ind w:left="720"/>
        <w:jc w:val="both"/>
        <w:rPr>
          <w:rFonts w:ascii="Calibri" w:hAnsi="Calibri" w:cs="Arial"/>
          <w:lang w:val="en-GB"/>
        </w:rPr>
      </w:pPr>
    </w:p>
    <w:p w:rsidR="00EE67C0" w:rsidRPr="000C7A13" w:rsidRDefault="00EE67C0" w:rsidP="006E3E34">
      <w:pPr>
        <w:ind w:left="720"/>
        <w:jc w:val="both"/>
        <w:rPr>
          <w:rFonts w:ascii="Calibri" w:hAnsi="Calibri" w:cs="Arial"/>
          <w:lang w:val="en-GB"/>
        </w:rPr>
      </w:pPr>
    </w:p>
    <w:p w:rsidR="00EE67C0" w:rsidRPr="000C7A13" w:rsidRDefault="00EE67C0" w:rsidP="0059593A">
      <w:pPr>
        <w:jc w:val="both"/>
        <w:rPr>
          <w:rFonts w:ascii="Calibri" w:hAnsi="Calibri" w:cs="Arial"/>
          <w:lang w:val="en-GB"/>
        </w:rPr>
      </w:pPr>
      <w:r w:rsidRPr="000C7A13">
        <w:rPr>
          <w:rFonts w:ascii="Calibri" w:hAnsi="Calibri" w:cs="Arial"/>
          <w:lang w:val="en-GB"/>
        </w:rPr>
        <w:t xml:space="preserve">The following table analyses the follow up reviews of PIEs by sectors: </w:t>
      </w:r>
    </w:p>
    <w:p w:rsidR="00EE67C0" w:rsidRPr="00C35531" w:rsidRDefault="00EE67C0" w:rsidP="00E07CF2">
      <w:pPr>
        <w:tabs>
          <w:tab w:val="left" w:pos="2353"/>
          <w:tab w:val="left" w:pos="2924"/>
          <w:tab w:val="left" w:pos="3923"/>
          <w:tab w:val="left" w:pos="4883"/>
          <w:tab w:val="left" w:pos="5926"/>
          <w:tab w:val="left" w:pos="7366"/>
          <w:tab w:val="left" w:pos="8326"/>
          <w:tab w:val="left" w:pos="9286"/>
        </w:tabs>
        <w:jc w:val="both"/>
        <w:rPr>
          <w:rFonts w:ascii="Calibri" w:hAnsi="Calibri"/>
          <w:b/>
          <w:bCs/>
          <w:sz w:val="16"/>
          <w:szCs w:val="16"/>
          <w:highlight w:val="yellow"/>
          <w:u w:val="single"/>
        </w:rPr>
      </w:pPr>
    </w:p>
    <w:tbl>
      <w:tblPr>
        <w:tblW w:w="9630" w:type="dxa"/>
        <w:tblInd w:w="-10" w:type="dxa"/>
        <w:tblLayout w:type="fixed"/>
        <w:tblLook w:val="00A0"/>
      </w:tblPr>
      <w:tblGrid>
        <w:gridCol w:w="1288"/>
        <w:gridCol w:w="512"/>
        <w:gridCol w:w="1108"/>
        <w:gridCol w:w="900"/>
        <w:gridCol w:w="1142"/>
        <w:gridCol w:w="748"/>
        <w:gridCol w:w="810"/>
        <w:gridCol w:w="692"/>
        <w:gridCol w:w="990"/>
        <w:gridCol w:w="810"/>
        <w:gridCol w:w="630"/>
      </w:tblGrid>
      <w:tr w:rsidR="00EE67C0" w:rsidRPr="00C35531" w:rsidTr="002B7519">
        <w:trPr>
          <w:trHeight w:val="270"/>
        </w:trPr>
        <w:tc>
          <w:tcPr>
            <w:tcW w:w="1288" w:type="dxa"/>
            <w:vMerge w:val="restart"/>
            <w:tcBorders>
              <w:top w:val="single" w:sz="8" w:space="0" w:color="auto"/>
              <w:left w:val="single" w:sz="8" w:space="0" w:color="auto"/>
              <w:bottom w:val="single" w:sz="8" w:space="0" w:color="000000"/>
              <w:right w:val="single" w:sz="8" w:space="0" w:color="000000"/>
            </w:tcBorders>
            <w:shd w:val="clear" w:color="auto" w:fill="D9D9D9"/>
            <w:vAlign w:val="bottom"/>
          </w:tcPr>
          <w:p w:rsidR="00EE67C0" w:rsidRPr="00740D6E" w:rsidRDefault="00EE67C0" w:rsidP="0059593A">
            <w:pPr>
              <w:jc w:val="both"/>
              <w:rPr>
                <w:rFonts w:ascii="Calibri" w:hAnsi="Calibri" w:cs="Arial"/>
                <w:b/>
                <w:bCs/>
                <w:sz w:val="18"/>
                <w:szCs w:val="18"/>
              </w:rPr>
            </w:pPr>
            <w:r w:rsidRPr="00740D6E">
              <w:rPr>
                <w:rFonts w:ascii="Calibri" w:hAnsi="Calibri" w:cs="Arial"/>
                <w:b/>
                <w:bCs/>
                <w:sz w:val="18"/>
                <w:szCs w:val="18"/>
              </w:rPr>
              <w:t>Types of reviews</w:t>
            </w:r>
          </w:p>
        </w:tc>
        <w:tc>
          <w:tcPr>
            <w:tcW w:w="8342" w:type="dxa"/>
            <w:gridSpan w:val="10"/>
            <w:tcBorders>
              <w:top w:val="single" w:sz="8" w:space="0" w:color="auto"/>
              <w:left w:val="nil"/>
              <w:bottom w:val="single" w:sz="8" w:space="0" w:color="auto"/>
              <w:right w:val="single" w:sz="8" w:space="0" w:color="000000"/>
            </w:tcBorders>
            <w:shd w:val="clear" w:color="auto" w:fill="D9D9D9"/>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Sectors</w:t>
            </w:r>
          </w:p>
        </w:tc>
      </w:tr>
      <w:tr w:rsidR="00EE67C0" w:rsidRPr="00C35531" w:rsidTr="002B7519">
        <w:trPr>
          <w:trHeight w:val="735"/>
        </w:trPr>
        <w:tc>
          <w:tcPr>
            <w:tcW w:w="1288" w:type="dxa"/>
            <w:vMerge/>
            <w:tcBorders>
              <w:top w:val="single" w:sz="8" w:space="0" w:color="auto"/>
              <w:left w:val="single" w:sz="8" w:space="0" w:color="auto"/>
              <w:bottom w:val="single" w:sz="8" w:space="0" w:color="000000"/>
              <w:right w:val="single" w:sz="8" w:space="0" w:color="000000"/>
            </w:tcBorders>
            <w:shd w:val="clear" w:color="auto" w:fill="D9D9D9"/>
            <w:vAlign w:val="center"/>
          </w:tcPr>
          <w:p w:rsidR="00EE67C0" w:rsidRPr="00740D6E" w:rsidRDefault="00EE67C0" w:rsidP="00BC15F9">
            <w:pPr>
              <w:jc w:val="both"/>
              <w:rPr>
                <w:rFonts w:ascii="Calibri" w:hAnsi="Calibri" w:cs="Arial"/>
                <w:b/>
                <w:bCs/>
                <w:sz w:val="18"/>
                <w:szCs w:val="18"/>
              </w:rPr>
            </w:pPr>
          </w:p>
        </w:tc>
        <w:tc>
          <w:tcPr>
            <w:tcW w:w="512" w:type="dxa"/>
            <w:tcBorders>
              <w:top w:val="nil"/>
              <w:left w:val="nil"/>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BIF</w:t>
            </w:r>
          </w:p>
        </w:tc>
        <w:tc>
          <w:tcPr>
            <w:tcW w:w="1108" w:type="dxa"/>
            <w:tcBorders>
              <w:top w:val="nil"/>
              <w:left w:val="nil"/>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Commerce</w:t>
            </w:r>
          </w:p>
        </w:tc>
        <w:tc>
          <w:tcPr>
            <w:tcW w:w="900" w:type="dxa"/>
            <w:tcBorders>
              <w:top w:val="nil"/>
              <w:left w:val="nil"/>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Industry</w:t>
            </w:r>
          </w:p>
        </w:tc>
        <w:tc>
          <w:tcPr>
            <w:tcW w:w="1142" w:type="dxa"/>
            <w:tcBorders>
              <w:top w:val="nil"/>
              <w:left w:val="nil"/>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Information technology</w:t>
            </w:r>
          </w:p>
        </w:tc>
        <w:tc>
          <w:tcPr>
            <w:tcW w:w="748" w:type="dxa"/>
            <w:tcBorders>
              <w:top w:val="nil"/>
              <w:left w:val="nil"/>
              <w:bottom w:val="single" w:sz="8" w:space="0" w:color="auto"/>
              <w:right w:val="single" w:sz="8" w:space="0" w:color="auto"/>
            </w:tcBorders>
            <w:shd w:val="clear" w:color="auto" w:fill="D9D9D9"/>
            <w:vAlign w:val="bottom"/>
          </w:tcPr>
          <w:p w:rsidR="00EE67C0" w:rsidRPr="00740D6E" w:rsidRDefault="00EE67C0" w:rsidP="00456D68">
            <w:pPr>
              <w:jc w:val="center"/>
              <w:rPr>
                <w:rFonts w:ascii="Calibri" w:hAnsi="Calibri" w:cs="Arial"/>
                <w:b/>
                <w:bCs/>
                <w:sz w:val="18"/>
                <w:szCs w:val="18"/>
              </w:rPr>
            </w:pPr>
            <w:r w:rsidRPr="00740D6E">
              <w:rPr>
                <w:rFonts w:ascii="Calibri" w:hAnsi="Calibri" w:cs="Arial"/>
                <w:b/>
                <w:bCs/>
                <w:sz w:val="18"/>
                <w:szCs w:val="18"/>
              </w:rPr>
              <w:t>Investment</w:t>
            </w:r>
          </w:p>
        </w:tc>
        <w:tc>
          <w:tcPr>
            <w:tcW w:w="810" w:type="dxa"/>
            <w:tcBorders>
              <w:top w:val="nil"/>
              <w:left w:val="nil"/>
              <w:bottom w:val="single" w:sz="8" w:space="0" w:color="auto"/>
              <w:right w:val="single" w:sz="4" w:space="0" w:color="auto"/>
            </w:tcBorders>
            <w:shd w:val="clear" w:color="auto" w:fill="D9D9D9"/>
            <w:vAlign w:val="bottom"/>
          </w:tcPr>
          <w:p w:rsidR="00EE67C0" w:rsidRPr="00740D6E" w:rsidRDefault="00EE67C0" w:rsidP="00740D6E">
            <w:pPr>
              <w:jc w:val="center"/>
              <w:rPr>
                <w:rFonts w:ascii="Calibri" w:hAnsi="Calibri" w:cs="Arial"/>
                <w:b/>
                <w:bCs/>
                <w:sz w:val="18"/>
                <w:szCs w:val="18"/>
              </w:rPr>
            </w:pPr>
            <w:r w:rsidRPr="00740D6E">
              <w:rPr>
                <w:rFonts w:ascii="Calibri" w:hAnsi="Calibri" w:cs="Arial"/>
                <w:b/>
                <w:bCs/>
                <w:sz w:val="18"/>
                <w:szCs w:val="18"/>
              </w:rPr>
              <w:t>Leisure &amp; Hotels</w:t>
            </w:r>
          </w:p>
        </w:tc>
        <w:tc>
          <w:tcPr>
            <w:tcW w:w="692" w:type="dxa"/>
            <w:tcBorders>
              <w:top w:val="nil"/>
              <w:left w:val="single" w:sz="4" w:space="0" w:color="auto"/>
              <w:bottom w:val="single" w:sz="8" w:space="0" w:color="auto"/>
              <w:right w:val="single" w:sz="4" w:space="0" w:color="auto"/>
            </w:tcBorders>
            <w:shd w:val="clear" w:color="auto" w:fill="D9D9D9"/>
            <w:vAlign w:val="bottom"/>
          </w:tcPr>
          <w:p w:rsidR="00EE67C0" w:rsidRPr="00740D6E" w:rsidRDefault="00EE67C0" w:rsidP="00456D68">
            <w:pPr>
              <w:jc w:val="center"/>
              <w:rPr>
                <w:rFonts w:ascii="Calibri" w:hAnsi="Calibri" w:cs="Arial"/>
                <w:b/>
                <w:bCs/>
                <w:sz w:val="18"/>
                <w:szCs w:val="18"/>
              </w:rPr>
            </w:pPr>
            <w:r w:rsidRPr="00740D6E">
              <w:rPr>
                <w:rFonts w:ascii="Calibri" w:hAnsi="Calibri" w:cs="Arial"/>
                <w:b/>
                <w:bCs/>
                <w:sz w:val="18"/>
                <w:szCs w:val="18"/>
              </w:rPr>
              <w:t>Sugar</w:t>
            </w:r>
          </w:p>
        </w:tc>
        <w:tc>
          <w:tcPr>
            <w:tcW w:w="990" w:type="dxa"/>
            <w:tcBorders>
              <w:top w:val="nil"/>
              <w:left w:val="single" w:sz="4" w:space="0" w:color="auto"/>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Transport</w:t>
            </w:r>
          </w:p>
        </w:tc>
        <w:tc>
          <w:tcPr>
            <w:tcW w:w="810" w:type="dxa"/>
            <w:tcBorders>
              <w:top w:val="nil"/>
              <w:left w:val="nil"/>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Others</w:t>
            </w:r>
          </w:p>
        </w:tc>
        <w:tc>
          <w:tcPr>
            <w:tcW w:w="630" w:type="dxa"/>
            <w:tcBorders>
              <w:top w:val="nil"/>
              <w:left w:val="nil"/>
              <w:bottom w:val="single" w:sz="8" w:space="0" w:color="auto"/>
              <w:right w:val="single" w:sz="8" w:space="0" w:color="auto"/>
            </w:tcBorders>
            <w:shd w:val="clear" w:color="auto" w:fill="D9D9D9"/>
            <w:vAlign w:val="bottom"/>
          </w:tcPr>
          <w:p w:rsidR="00EE67C0" w:rsidRPr="00740D6E" w:rsidRDefault="00EE67C0" w:rsidP="00E07CF2">
            <w:pPr>
              <w:jc w:val="center"/>
              <w:rPr>
                <w:rFonts w:ascii="Calibri" w:hAnsi="Calibri" w:cs="Arial"/>
                <w:b/>
                <w:bCs/>
                <w:sz w:val="18"/>
                <w:szCs w:val="18"/>
              </w:rPr>
            </w:pPr>
            <w:r w:rsidRPr="00740D6E">
              <w:rPr>
                <w:rFonts w:ascii="Calibri" w:hAnsi="Calibri" w:cs="Arial"/>
                <w:b/>
                <w:bCs/>
                <w:sz w:val="18"/>
                <w:szCs w:val="18"/>
              </w:rPr>
              <w:t>Total</w:t>
            </w:r>
          </w:p>
        </w:tc>
      </w:tr>
      <w:tr w:rsidR="00EE67C0" w:rsidRPr="00C35531" w:rsidTr="002B7519">
        <w:trPr>
          <w:trHeight w:val="270"/>
        </w:trPr>
        <w:tc>
          <w:tcPr>
            <w:tcW w:w="1288" w:type="dxa"/>
            <w:tcBorders>
              <w:top w:val="nil"/>
              <w:left w:val="single" w:sz="8" w:space="0" w:color="auto"/>
              <w:bottom w:val="single" w:sz="8" w:space="0" w:color="auto"/>
              <w:right w:val="single" w:sz="8" w:space="0" w:color="auto"/>
            </w:tcBorders>
          </w:tcPr>
          <w:p w:rsidR="00EE67C0" w:rsidRPr="00740D6E" w:rsidRDefault="00EE67C0" w:rsidP="00BC15F9">
            <w:pPr>
              <w:jc w:val="both"/>
              <w:rPr>
                <w:rFonts w:ascii="Calibri" w:hAnsi="Calibri" w:cs="Arial"/>
                <w:sz w:val="18"/>
                <w:szCs w:val="18"/>
              </w:rPr>
            </w:pPr>
            <w:r w:rsidRPr="00740D6E">
              <w:rPr>
                <w:rFonts w:ascii="Calibri" w:hAnsi="Calibri" w:cs="Arial"/>
                <w:sz w:val="18"/>
                <w:szCs w:val="18"/>
              </w:rPr>
              <w:t>Listed on SEM</w:t>
            </w:r>
          </w:p>
        </w:tc>
        <w:tc>
          <w:tcPr>
            <w:tcW w:w="512"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1108"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900"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2</w:t>
            </w:r>
          </w:p>
        </w:tc>
        <w:tc>
          <w:tcPr>
            <w:tcW w:w="1142"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748" w:type="dxa"/>
            <w:tcBorders>
              <w:top w:val="nil"/>
              <w:left w:val="nil"/>
              <w:bottom w:val="single" w:sz="8" w:space="0" w:color="auto"/>
              <w:right w:val="single" w:sz="8" w:space="0" w:color="auto"/>
            </w:tcBorders>
            <w:noWrap/>
            <w:vAlign w:val="bottom"/>
          </w:tcPr>
          <w:p w:rsidR="00EE67C0" w:rsidRPr="00740D6E" w:rsidRDefault="00EE67C0" w:rsidP="00456D68">
            <w:pPr>
              <w:jc w:val="center"/>
              <w:rPr>
                <w:rFonts w:ascii="Calibri" w:hAnsi="Calibri" w:cs="Arial"/>
                <w:sz w:val="18"/>
                <w:szCs w:val="18"/>
              </w:rPr>
            </w:pPr>
            <w:r w:rsidRPr="00740D6E">
              <w:rPr>
                <w:rFonts w:ascii="Calibri" w:hAnsi="Calibri" w:cs="Arial"/>
                <w:sz w:val="18"/>
                <w:szCs w:val="18"/>
              </w:rPr>
              <w:t>4</w:t>
            </w:r>
          </w:p>
        </w:tc>
        <w:tc>
          <w:tcPr>
            <w:tcW w:w="810" w:type="dxa"/>
            <w:tcBorders>
              <w:top w:val="nil"/>
              <w:left w:val="nil"/>
              <w:bottom w:val="single" w:sz="8" w:space="0" w:color="auto"/>
              <w:right w:val="single" w:sz="4" w:space="0" w:color="auto"/>
            </w:tcBorders>
            <w:vAlign w:val="bottom"/>
          </w:tcPr>
          <w:p w:rsidR="00EE67C0" w:rsidRPr="00740D6E" w:rsidRDefault="00EE67C0" w:rsidP="00740D6E">
            <w:pPr>
              <w:jc w:val="center"/>
              <w:rPr>
                <w:rFonts w:ascii="Calibri" w:hAnsi="Calibri" w:cs="Arial"/>
                <w:sz w:val="18"/>
                <w:szCs w:val="18"/>
              </w:rPr>
            </w:pPr>
            <w:r w:rsidRPr="00740D6E">
              <w:rPr>
                <w:rFonts w:ascii="Calibri" w:hAnsi="Calibri" w:cs="Arial"/>
                <w:sz w:val="18"/>
                <w:szCs w:val="18"/>
              </w:rPr>
              <w:t>-</w:t>
            </w:r>
          </w:p>
        </w:tc>
        <w:tc>
          <w:tcPr>
            <w:tcW w:w="692" w:type="dxa"/>
            <w:tcBorders>
              <w:top w:val="nil"/>
              <w:left w:val="single" w:sz="4" w:space="0" w:color="auto"/>
              <w:bottom w:val="single" w:sz="8" w:space="0" w:color="auto"/>
              <w:right w:val="single" w:sz="4" w:space="0" w:color="auto"/>
            </w:tcBorders>
            <w:vAlign w:val="bottom"/>
          </w:tcPr>
          <w:p w:rsidR="00EE67C0" w:rsidRPr="00740D6E" w:rsidRDefault="00EE67C0" w:rsidP="00456D68">
            <w:pPr>
              <w:jc w:val="center"/>
              <w:rPr>
                <w:rFonts w:ascii="Calibri" w:hAnsi="Calibri" w:cs="Arial"/>
                <w:sz w:val="18"/>
                <w:szCs w:val="18"/>
              </w:rPr>
            </w:pPr>
            <w:r w:rsidRPr="00740D6E">
              <w:rPr>
                <w:rFonts w:ascii="Calibri" w:hAnsi="Calibri" w:cs="Arial"/>
                <w:sz w:val="18"/>
                <w:szCs w:val="18"/>
              </w:rPr>
              <w:t>1</w:t>
            </w:r>
          </w:p>
        </w:tc>
        <w:tc>
          <w:tcPr>
            <w:tcW w:w="990" w:type="dxa"/>
            <w:tcBorders>
              <w:top w:val="nil"/>
              <w:left w:val="single" w:sz="4" w:space="0" w:color="auto"/>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810"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630"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b/>
                <w:sz w:val="18"/>
                <w:szCs w:val="18"/>
              </w:rPr>
            </w:pPr>
            <w:r w:rsidRPr="00740D6E">
              <w:rPr>
                <w:rFonts w:ascii="Calibri" w:hAnsi="Calibri" w:cs="Arial"/>
                <w:b/>
                <w:sz w:val="18"/>
                <w:szCs w:val="18"/>
              </w:rPr>
              <w:t>11</w:t>
            </w:r>
          </w:p>
        </w:tc>
      </w:tr>
      <w:tr w:rsidR="00EE67C0" w:rsidRPr="00456D68" w:rsidTr="002B7519">
        <w:trPr>
          <w:trHeight w:val="943"/>
        </w:trPr>
        <w:tc>
          <w:tcPr>
            <w:tcW w:w="1288" w:type="dxa"/>
            <w:tcBorders>
              <w:top w:val="nil"/>
              <w:left w:val="single" w:sz="8" w:space="0" w:color="auto"/>
              <w:bottom w:val="single" w:sz="8" w:space="0" w:color="auto"/>
              <w:right w:val="single" w:sz="8" w:space="0" w:color="auto"/>
            </w:tcBorders>
          </w:tcPr>
          <w:p w:rsidR="00EE67C0" w:rsidRPr="00740D6E" w:rsidRDefault="00EE67C0" w:rsidP="006E3E34">
            <w:pPr>
              <w:jc w:val="both"/>
              <w:rPr>
                <w:rFonts w:ascii="Calibri" w:hAnsi="Calibri" w:cs="Arial"/>
                <w:sz w:val="18"/>
                <w:szCs w:val="18"/>
              </w:rPr>
            </w:pPr>
            <w:r w:rsidRPr="00740D6E">
              <w:rPr>
                <w:rFonts w:ascii="Calibri" w:hAnsi="Calibri" w:cs="Arial"/>
                <w:sz w:val="18"/>
                <w:szCs w:val="18"/>
              </w:rPr>
              <w:t>Financial institutions regulated by BOM</w:t>
            </w:r>
          </w:p>
        </w:tc>
        <w:tc>
          <w:tcPr>
            <w:tcW w:w="512"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1108"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900"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1142"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748"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810" w:type="dxa"/>
            <w:tcBorders>
              <w:top w:val="nil"/>
              <w:left w:val="nil"/>
              <w:bottom w:val="single" w:sz="8" w:space="0" w:color="auto"/>
              <w:right w:val="single" w:sz="4" w:space="0" w:color="auto"/>
            </w:tcBorders>
            <w:vAlign w:val="bottom"/>
          </w:tcPr>
          <w:p w:rsidR="00EE67C0" w:rsidRPr="00740D6E" w:rsidRDefault="00EE67C0" w:rsidP="00740D6E">
            <w:pPr>
              <w:jc w:val="center"/>
              <w:rPr>
                <w:rFonts w:ascii="Calibri" w:hAnsi="Calibri" w:cs="Arial"/>
                <w:sz w:val="18"/>
                <w:szCs w:val="18"/>
              </w:rPr>
            </w:pPr>
            <w:r w:rsidRPr="00740D6E">
              <w:rPr>
                <w:rFonts w:ascii="Calibri" w:hAnsi="Calibri" w:cs="Arial"/>
                <w:sz w:val="18"/>
                <w:szCs w:val="18"/>
              </w:rPr>
              <w:t>-</w:t>
            </w:r>
          </w:p>
        </w:tc>
        <w:tc>
          <w:tcPr>
            <w:tcW w:w="692" w:type="dxa"/>
            <w:tcBorders>
              <w:top w:val="nil"/>
              <w:left w:val="single" w:sz="4" w:space="0" w:color="auto"/>
              <w:bottom w:val="single" w:sz="8" w:space="0" w:color="auto"/>
              <w:right w:val="single" w:sz="4" w:space="0" w:color="auto"/>
            </w:tcBorders>
            <w:vAlign w:val="bottom"/>
          </w:tcPr>
          <w:p w:rsidR="00EE67C0" w:rsidRPr="00740D6E" w:rsidRDefault="00EE67C0" w:rsidP="00456D68">
            <w:pPr>
              <w:jc w:val="center"/>
              <w:rPr>
                <w:rFonts w:ascii="Calibri" w:hAnsi="Calibri" w:cs="Arial"/>
                <w:sz w:val="18"/>
                <w:szCs w:val="18"/>
              </w:rPr>
            </w:pPr>
            <w:r w:rsidRPr="00740D6E">
              <w:rPr>
                <w:rFonts w:ascii="Calibri" w:hAnsi="Calibri" w:cs="Arial"/>
                <w:sz w:val="18"/>
                <w:szCs w:val="18"/>
              </w:rPr>
              <w:t>-</w:t>
            </w:r>
          </w:p>
        </w:tc>
        <w:tc>
          <w:tcPr>
            <w:tcW w:w="990" w:type="dxa"/>
            <w:tcBorders>
              <w:top w:val="nil"/>
              <w:left w:val="single" w:sz="4" w:space="0" w:color="auto"/>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810"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630" w:type="dxa"/>
            <w:tcBorders>
              <w:top w:val="nil"/>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b/>
                <w:sz w:val="18"/>
                <w:szCs w:val="18"/>
              </w:rPr>
            </w:pPr>
            <w:r w:rsidRPr="00740D6E">
              <w:rPr>
                <w:rFonts w:ascii="Calibri" w:hAnsi="Calibri" w:cs="Arial"/>
                <w:b/>
                <w:sz w:val="18"/>
                <w:szCs w:val="18"/>
              </w:rPr>
              <w:t>1</w:t>
            </w:r>
          </w:p>
        </w:tc>
      </w:tr>
      <w:tr w:rsidR="00EE67C0" w:rsidRPr="00C35531" w:rsidTr="002B7519">
        <w:trPr>
          <w:trHeight w:val="960"/>
        </w:trPr>
        <w:tc>
          <w:tcPr>
            <w:tcW w:w="1288" w:type="dxa"/>
            <w:tcBorders>
              <w:top w:val="nil"/>
              <w:left w:val="single" w:sz="8" w:space="0" w:color="auto"/>
              <w:bottom w:val="single" w:sz="4" w:space="0" w:color="auto"/>
              <w:right w:val="single" w:sz="8" w:space="0" w:color="auto"/>
            </w:tcBorders>
          </w:tcPr>
          <w:p w:rsidR="00EE67C0" w:rsidRPr="00740D6E" w:rsidRDefault="00EE67C0" w:rsidP="00BC15F9">
            <w:pPr>
              <w:jc w:val="both"/>
              <w:rPr>
                <w:rFonts w:ascii="Calibri" w:hAnsi="Calibri" w:cs="Arial"/>
                <w:sz w:val="18"/>
                <w:szCs w:val="18"/>
              </w:rPr>
            </w:pPr>
            <w:r w:rsidRPr="00740D6E">
              <w:rPr>
                <w:rFonts w:ascii="Calibri" w:hAnsi="Calibri" w:cs="Arial"/>
                <w:sz w:val="18"/>
                <w:szCs w:val="18"/>
              </w:rPr>
              <w:t>Financial institutions regulated by FSC</w:t>
            </w:r>
          </w:p>
        </w:tc>
        <w:tc>
          <w:tcPr>
            <w:tcW w:w="512"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12</w:t>
            </w:r>
          </w:p>
        </w:tc>
        <w:tc>
          <w:tcPr>
            <w:tcW w:w="1108"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900"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1142"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748"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810" w:type="dxa"/>
            <w:tcBorders>
              <w:top w:val="nil"/>
              <w:left w:val="nil"/>
              <w:bottom w:val="single" w:sz="4" w:space="0" w:color="auto"/>
              <w:right w:val="single" w:sz="4" w:space="0" w:color="auto"/>
            </w:tcBorders>
            <w:vAlign w:val="bottom"/>
          </w:tcPr>
          <w:p w:rsidR="00EE67C0" w:rsidRPr="00740D6E" w:rsidRDefault="00EE67C0" w:rsidP="00740D6E">
            <w:pPr>
              <w:jc w:val="center"/>
              <w:rPr>
                <w:rFonts w:ascii="Calibri" w:hAnsi="Calibri" w:cs="Arial"/>
                <w:sz w:val="18"/>
                <w:szCs w:val="18"/>
              </w:rPr>
            </w:pPr>
            <w:r w:rsidRPr="00740D6E">
              <w:rPr>
                <w:rFonts w:ascii="Calibri" w:hAnsi="Calibri" w:cs="Arial"/>
                <w:sz w:val="18"/>
                <w:szCs w:val="18"/>
              </w:rPr>
              <w:t>-</w:t>
            </w:r>
          </w:p>
        </w:tc>
        <w:tc>
          <w:tcPr>
            <w:tcW w:w="692" w:type="dxa"/>
            <w:tcBorders>
              <w:top w:val="nil"/>
              <w:left w:val="single" w:sz="4" w:space="0" w:color="auto"/>
              <w:bottom w:val="single" w:sz="4" w:space="0" w:color="auto"/>
              <w:right w:val="single" w:sz="4" w:space="0" w:color="auto"/>
            </w:tcBorders>
            <w:vAlign w:val="bottom"/>
          </w:tcPr>
          <w:p w:rsidR="00EE67C0" w:rsidRPr="00740D6E" w:rsidRDefault="00EE67C0" w:rsidP="00456D68">
            <w:pPr>
              <w:jc w:val="center"/>
              <w:rPr>
                <w:rFonts w:ascii="Calibri" w:hAnsi="Calibri" w:cs="Arial"/>
                <w:sz w:val="18"/>
                <w:szCs w:val="18"/>
              </w:rPr>
            </w:pPr>
            <w:r w:rsidRPr="00740D6E">
              <w:rPr>
                <w:rFonts w:ascii="Calibri" w:hAnsi="Calibri" w:cs="Arial"/>
                <w:sz w:val="18"/>
                <w:szCs w:val="18"/>
              </w:rPr>
              <w:t>-</w:t>
            </w:r>
          </w:p>
        </w:tc>
        <w:tc>
          <w:tcPr>
            <w:tcW w:w="990" w:type="dxa"/>
            <w:tcBorders>
              <w:top w:val="nil"/>
              <w:left w:val="single" w:sz="4" w:space="0" w:color="auto"/>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810"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630" w:type="dxa"/>
            <w:tcBorders>
              <w:top w:val="nil"/>
              <w:left w:val="nil"/>
              <w:bottom w:val="single" w:sz="4" w:space="0" w:color="auto"/>
              <w:right w:val="single" w:sz="8" w:space="0" w:color="auto"/>
            </w:tcBorders>
            <w:noWrap/>
            <w:vAlign w:val="bottom"/>
          </w:tcPr>
          <w:p w:rsidR="00EE67C0" w:rsidRPr="00740D6E" w:rsidRDefault="00EE67C0" w:rsidP="00E07CF2">
            <w:pPr>
              <w:jc w:val="center"/>
              <w:rPr>
                <w:rFonts w:ascii="Calibri" w:hAnsi="Calibri" w:cs="Arial"/>
                <w:b/>
                <w:sz w:val="18"/>
                <w:szCs w:val="18"/>
              </w:rPr>
            </w:pPr>
            <w:r w:rsidRPr="00740D6E">
              <w:rPr>
                <w:rFonts w:ascii="Calibri" w:hAnsi="Calibri" w:cs="Arial"/>
                <w:b/>
                <w:sz w:val="18"/>
                <w:szCs w:val="18"/>
              </w:rPr>
              <w:t>12</w:t>
            </w:r>
          </w:p>
        </w:tc>
      </w:tr>
      <w:tr w:rsidR="00EE67C0" w:rsidRPr="00C35531" w:rsidTr="002B7519">
        <w:trPr>
          <w:trHeight w:val="270"/>
        </w:trPr>
        <w:tc>
          <w:tcPr>
            <w:tcW w:w="1288" w:type="dxa"/>
            <w:tcBorders>
              <w:top w:val="single" w:sz="4" w:space="0" w:color="auto"/>
              <w:left w:val="single" w:sz="8" w:space="0" w:color="auto"/>
              <w:bottom w:val="single" w:sz="8" w:space="0" w:color="auto"/>
              <w:right w:val="single" w:sz="8" w:space="0" w:color="auto"/>
            </w:tcBorders>
          </w:tcPr>
          <w:p w:rsidR="00EE67C0" w:rsidRPr="00740D6E" w:rsidRDefault="00EE67C0" w:rsidP="00BC15F9">
            <w:pPr>
              <w:jc w:val="both"/>
              <w:rPr>
                <w:rFonts w:ascii="Calibri" w:hAnsi="Calibri" w:cs="Arial"/>
                <w:sz w:val="18"/>
                <w:szCs w:val="18"/>
              </w:rPr>
            </w:pPr>
            <w:r w:rsidRPr="004F6F5A">
              <w:rPr>
                <w:rFonts w:ascii="Calibri" w:hAnsi="Calibri" w:cs="Arial"/>
                <w:sz w:val="18"/>
                <w:szCs w:val="18"/>
              </w:rPr>
              <w:t>Category 4 PIEs as per the FRA</w:t>
            </w:r>
          </w:p>
        </w:tc>
        <w:tc>
          <w:tcPr>
            <w:tcW w:w="512"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1108"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3</w:t>
            </w:r>
          </w:p>
        </w:tc>
        <w:tc>
          <w:tcPr>
            <w:tcW w:w="900"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4</w:t>
            </w:r>
          </w:p>
        </w:tc>
        <w:tc>
          <w:tcPr>
            <w:tcW w:w="1142"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w:t>
            </w:r>
          </w:p>
        </w:tc>
        <w:tc>
          <w:tcPr>
            <w:tcW w:w="748"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2</w:t>
            </w:r>
          </w:p>
        </w:tc>
        <w:tc>
          <w:tcPr>
            <w:tcW w:w="810" w:type="dxa"/>
            <w:tcBorders>
              <w:top w:val="single" w:sz="4" w:space="0" w:color="auto"/>
              <w:left w:val="nil"/>
              <w:bottom w:val="single" w:sz="8" w:space="0" w:color="auto"/>
              <w:right w:val="single" w:sz="4" w:space="0" w:color="auto"/>
            </w:tcBorders>
            <w:vAlign w:val="bottom"/>
          </w:tcPr>
          <w:p w:rsidR="00EE67C0" w:rsidRPr="00740D6E" w:rsidRDefault="00EE67C0" w:rsidP="00740D6E">
            <w:pPr>
              <w:jc w:val="center"/>
              <w:rPr>
                <w:rFonts w:ascii="Calibri" w:hAnsi="Calibri" w:cs="Arial"/>
                <w:sz w:val="18"/>
                <w:szCs w:val="18"/>
              </w:rPr>
            </w:pPr>
            <w:r w:rsidRPr="00740D6E">
              <w:rPr>
                <w:rFonts w:ascii="Calibri" w:hAnsi="Calibri" w:cs="Arial"/>
                <w:sz w:val="18"/>
                <w:szCs w:val="18"/>
              </w:rPr>
              <w:t>7</w:t>
            </w:r>
          </w:p>
        </w:tc>
        <w:tc>
          <w:tcPr>
            <w:tcW w:w="692" w:type="dxa"/>
            <w:tcBorders>
              <w:top w:val="single" w:sz="4" w:space="0" w:color="auto"/>
              <w:left w:val="single" w:sz="4" w:space="0" w:color="auto"/>
              <w:bottom w:val="single" w:sz="8" w:space="0" w:color="auto"/>
              <w:right w:val="single" w:sz="4" w:space="0" w:color="auto"/>
            </w:tcBorders>
            <w:vAlign w:val="bottom"/>
          </w:tcPr>
          <w:p w:rsidR="00EE67C0" w:rsidRPr="00740D6E" w:rsidRDefault="00EE67C0" w:rsidP="00456D68">
            <w:pPr>
              <w:jc w:val="center"/>
              <w:rPr>
                <w:rFonts w:ascii="Calibri" w:hAnsi="Calibri" w:cs="Arial"/>
                <w:sz w:val="18"/>
                <w:szCs w:val="18"/>
              </w:rPr>
            </w:pPr>
            <w:r w:rsidRPr="00740D6E">
              <w:rPr>
                <w:rFonts w:ascii="Calibri" w:hAnsi="Calibri" w:cs="Arial"/>
                <w:sz w:val="18"/>
                <w:szCs w:val="18"/>
              </w:rPr>
              <w:t>1</w:t>
            </w:r>
          </w:p>
        </w:tc>
        <w:tc>
          <w:tcPr>
            <w:tcW w:w="990" w:type="dxa"/>
            <w:tcBorders>
              <w:top w:val="single" w:sz="4" w:space="0" w:color="auto"/>
              <w:left w:val="single" w:sz="4" w:space="0" w:color="auto"/>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810"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sz w:val="18"/>
                <w:szCs w:val="18"/>
              </w:rPr>
            </w:pPr>
            <w:r w:rsidRPr="00740D6E">
              <w:rPr>
                <w:rFonts w:ascii="Calibri" w:hAnsi="Calibri" w:cs="Arial"/>
                <w:sz w:val="18"/>
                <w:szCs w:val="18"/>
              </w:rPr>
              <w:t>1</w:t>
            </w:r>
          </w:p>
        </w:tc>
        <w:tc>
          <w:tcPr>
            <w:tcW w:w="630" w:type="dxa"/>
            <w:tcBorders>
              <w:top w:val="single" w:sz="4" w:space="0" w:color="auto"/>
              <w:left w:val="nil"/>
              <w:bottom w:val="single" w:sz="8" w:space="0" w:color="auto"/>
              <w:right w:val="single" w:sz="8" w:space="0" w:color="auto"/>
            </w:tcBorders>
            <w:noWrap/>
            <w:vAlign w:val="bottom"/>
          </w:tcPr>
          <w:p w:rsidR="00EE67C0" w:rsidRPr="00740D6E" w:rsidRDefault="00EE67C0" w:rsidP="00E07CF2">
            <w:pPr>
              <w:jc w:val="center"/>
              <w:rPr>
                <w:rFonts w:ascii="Calibri" w:hAnsi="Calibri" w:cs="Arial"/>
                <w:b/>
                <w:sz w:val="18"/>
                <w:szCs w:val="18"/>
                <w:highlight w:val="yellow"/>
              </w:rPr>
            </w:pPr>
            <w:r w:rsidRPr="001C19B2">
              <w:rPr>
                <w:rFonts w:ascii="Calibri" w:hAnsi="Calibri" w:cs="Arial"/>
                <w:b/>
                <w:sz w:val="18"/>
                <w:szCs w:val="18"/>
              </w:rPr>
              <w:t>19</w:t>
            </w:r>
          </w:p>
        </w:tc>
      </w:tr>
      <w:tr w:rsidR="00EE67C0" w:rsidRPr="00C35531" w:rsidTr="002B7519">
        <w:trPr>
          <w:trHeight w:val="270"/>
        </w:trPr>
        <w:tc>
          <w:tcPr>
            <w:tcW w:w="1288" w:type="dxa"/>
            <w:tcBorders>
              <w:top w:val="nil"/>
              <w:left w:val="single" w:sz="8" w:space="0" w:color="auto"/>
              <w:bottom w:val="single" w:sz="8" w:space="0" w:color="auto"/>
              <w:right w:val="single" w:sz="8" w:space="0" w:color="auto"/>
            </w:tcBorders>
            <w:vAlign w:val="bottom"/>
          </w:tcPr>
          <w:p w:rsidR="00EE67C0" w:rsidRPr="00740D6E" w:rsidRDefault="00EE67C0" w:rsidP="00BC15F9">
            <w:pPr>
              <w:jc w:val="both"/>
              <w:rPr>
                <w:rFonts w:ascii="Calibri" w:hAnsi="Calibri" w:cs="Arial"/>
                <w:b/>
                <w:bCs/>
                <w:sz w:val="18"/>
                <w:szCs w:val="18"/>
              </w:rPr>
            </w:pPr>
            <w:r w:rsidRPr="00740D6E">
              <w:rPr>
                <w:rFonts w:ascii="Calibri" w:hAnsi="Calibri" w:cs="Arial"/>
                <w:b/>
                <w:bCs/>
                <w:sz w:val="18"/>
                <w:szCs w:val="18"/>
              </w:rPr>
              <w:t>Total</w:t>
            </w:r>
          </w:p>
        </w:tc>
        <w:tc>
          <w:tcPr>
            <w:tcW w:w="512"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14</w:t>
            </w:r>
          </w:p>
        </w:tc>
        <w:tc>
          <w:tcPr>
            <w:tcW w:w="1108"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4</w:t>
            </w:r>
          </w:p>
        </w:tc>
        <w:tc>
          <w:tcPr>
            <w:tcW w:w="900"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6</w:t>
            </w:r>
          </w:p>
        </w:tc>
        <w:tc>
          <w:tcPr>
            <w:tcW w:w="1142"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1</w:t>
            </w:r>
          </w:p>
        </w:tc>
        <w:tc>
          <w:tcPr>
            <w:tcW w:w="748"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6</w:t>
            </w:r>
          </w:p>
        </w:tc>
        <w:tc>
          <w:tcPr>
            <w:tcW w:w="810" w:type="dxa"/>
            <w:tcBorders>
              <w:top w:val="nil"/>
              <w:left w:val="nil"/>
              <w:bottom w:val="single" w:sz="8" w:space="0" w:color="auto"/>
              <w:right w:val="single" w:sz="4" w:space="0" w:color="auto"/>
            </w:tcBorders>
            <w:vAlign w:val="bottom"/>
          </w:tcPr>
          <w:p w:rsidR="00EE67C0" w:rsidRPr="001C19B2" w:rsidRDefault="00EE67C0" w:rsidP="00740D6E">
            <w:pPr>
              <w:jc w:val="center"/>
              <w:rPr>
                <w:rFonts w:ascii="Calibri" w:hAnsi="Calibri" w:cs="Arial"/>
                <w:b/>
                <w:bCs/>
                <w:sz w:val="18"/>
                <w:szCs w:val="18"/>
              </w:rPr>
            </w:pPr>
            <w:r w:rsidRPr="001C19B2">
              <w:rPr>
                <w:rFonts w:ascii="Calibri" w:hAnsi="Calibri" w:cs="Arial"/>
                <w:b/>
                <w:bCs/>
                <w:sz w:val="18"/>
                <w:szCs w:val="18"/>
              </w:rPr>
              <w:t>7</w:t>
            </w:r>
          </w:p>
        </w:tc>
        <w:tc>
          <w:tcPr>
            <w:tcW w:w="692" w:type="dxa"/>
            <w:tcBorders>
              <w:top w:val="nil"/>
              <w:left w:val="single" w:sz="4" w:space="0" w:color="auto"/>
              <w:bottom w:val="single" w:sz="8" w:space="0" w:color="auto"/>
              <w:right w:val="single" w:sz="4" w:space="0" w:color="auto"/>
            </w:tcBorders>
            <w:vAlign w:val="bottom"/>
          </w:tcPr>
          <w:p w:rsidR="00EE67C0" w:rsidRPr="001C19B2" w:rsidRDefault="00EE67C0" w:rsidP="00456D68">
            <w:pPr>
              <w:jc w:val="center"/>
              <w:rPr>
                <w:rFonts w:ascii="Calibri" w:hAnsi="Calibri" w:cs="Arial"/>
                <w:b/>
                <w:bCs/>
                <w:sz w:val="18"/>
                <w:szCs w:val="18"/>
              </w:rPr>
            </w:pPr>
            <w:r w:rsidRPr="001C19B2">
              <w:rPr>
                <w:rFonts w:ascii="Calibri" w:hAnsi="Calibri" w:cs="Arial"/>
                <w:b/>
                <w:bCs/>
                <w:sz w:val="18"/>
                <w:szCs w:val="18"/>
              </w:rPr>
              <w:t>2</w:t>
            </w:r>
          </w:p>
        </w:tc>
        <w:tc>
          <w:tcPr>
            <w:tcW w:w="990" w:type="dxa"/>
            <w:tcBorders>
              <w:top w:val="nil"/>
              <w:left w:val="single" w:sz="4" w:space="0" w:color="auto"/>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1</w:t>
            </w:r>
          </w:p>
        </w:tc>
        <w:tc>
          <w:tcPr>
            <w:tcW w:w="810"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2</w:t>
            </w:r>
          </w:p>
        </w:tc>
        <w:tc>
          <w:tcPr>
            <w:tcW w:w="630" w:type="dxa"/>
            <w:tcBorders>
              <w:top w:val="nil"/>
              <w:left w:val="nil"/>
              <w:bottom w:val="single" w:sz="8" w:space="0" w:color="auto"/>
              <w:right w:val="single" w:sz="8" w:space="0" w:color="auto"/>
            </w:tcBorders>
            <w:noWrap/>
            <w:vAlign w:val="bottom"/>
          </w:tcPr>
          <w:p w:rsidR="00EE67C0" w:rsidRPr="001C19B2" w:rsidRDefault="00EE67C0" w:rsidP="00E07CF2">
            <w:pPr>
              <w:jc w:val="center"/>
              <w:rPr>
                <w:rFonts w:ascii="Calibri" w:hAnsi="Calibri" w:cs="Arial"/>
                <w:b/>
                <w:bCs/>
                <w:sz w:val="18"/>
                <w:szCs w:val="18"/>
              </w:rPr>
            </w:pPr>
            <w:r w:rsidRPr="001C19B2">
              <w:rPr>
                <w:rFonts w:ascii="Calibri" w:hAnsi="Calibri" w:cs="Arial"/>
                <w:b/>
                <w:bCs/>
                <w:sz w:val="18"/>
                <w:szCs w:val="18"/>
              </w:rPr>
              <w:t>43</w:t>
            </w:r>
          </w:p>
        </w:tc>
      </w:tr>
    </w:tbl>
    <w:p w:rsidR="00EE67C0" w:rsidRDefault="00EE67C0" w:rsidP="00BC15F9">
      <w:pPr>
        <w:tabs>
          <w:tab w:val="left" w:pos="980"/>
        </w:tabs>
        <w:jc w:val="both"/>
        <w:rPr>
          <w:rFonts w:ascii="Calibri" w:hAnsi="Calibri" w:cs="Arial"/>
          <w:bCs/>
          <w:highlight w:val="yellow"/>
          <w:lang w:val="en-GB"/>
        </w:rPr>
      </w:pPr>
    </w:p>
    <w:p w:rsidR="00EE67C0" w:rsidRDefault="00EE67C0" w:rsidP="00BC15F9">
      <w:pPr>
        <w:tabs>
          <w:tab w:val="left" w:pos="980"/>
        </w:tabs>
        <w:jc w:val="both"/>
        <w:rPr>
          <w:rFonts w:ascii="Calibri" w:hAnsi="Calibri" w:cs="Arial"/>
          <w:bCs/>
          <w:highlight w:val="yellow"/>
          <w:lang w:val="en-GB"/>
        </w:rPr>
      </w:pPr>
    </w:p>
    <w:p w:rsidR="00EE67C0" w:rsidRDefault="00EE67C0" w:rsidP="005326D6">
      <w:pPr>
        <w:pStyle w:val="ListParagraph"/>
        <w:numPr>
          <w:ilvl w:val="0"/>
          <w:numId w:val="30"/>
        </w:numPr>
        <w:tabs>
          <w:tab w:val="left" w:pos="720"/>
        </w:tabs>
        <w:ind w:hanging="360"/>
        <w:jc w:val="both"/>
        <w:rPr>
          <w:rFonts w:ascii="Calibri" w:hAnsi="Calibri" w:cs="Arial"/>
          <w:b/>
          <w:color w:val="0000FF"/>
          <w:sz w:val="28"/>
          <w:szCs w:val="28"/>
          <w:lang w:val="en-GB"/>
        </w:rPr>
      </w:pPr>
      <w:r w:rsidRPr="0019776B">
        <w:rPr>
          <w:rFonts w:ascii="Calibri" w:hAnsi="Calibri" w:cs="Arial"/>
          <w:b/>
          <w:color w:val="0000FF"/>
          <w:sz w:val="28"/>
          <w:szCs w:val="28"/>
          <w:lang w:val="en-GB"/>
        </w:rPr>
        <w:t>Findings</w:t>
      </w:r>
      <w:r>
        <w:rPr>
          <w:rFonts w:ascii="Calibri" w:hAnsi="Calibri" w:cs="Arial"/>
          <w:b/>
          <w:color w:val="0000FF"/>
          <w:sz w:val="28"/>
          <w:szCs w:val="28"/>
          <w:lang w:val="en-GB"/>
        </w:rPr>
        <w:t xml:space="preserve"> of Follow-up Review</w:t>
      </w:r>
    </w:p>
    <w:p w:rsidR="00EE67C0" w:rsidRPr="005326D6" w:rsidRDefault="00EE67C0" w:rsidP="005326D6">
      <w:pPr>
        <w:pStyle w:val="ListParagraph"/>
        <w:tabs>
          <w:tab w:val="left" w:pos="720"/>
        </w:tabs>
        <w:ind w:left="900" w:hanging="180"/>
        <w:jc w:val="both"/>
        <w:rPr>
          <w:rFonts w:ascii="Calibri" w:hAnsi="Calibri" w:cs="Arial"/>
          <w:b/>
          <w:color w:val="0000FF"/>
          <w:sz w:val="28"/>
          <w:szCs w:val="28"/>
          <w:u w:val="single"/>
          <w:lang w:val="en-GB"/>
        </w:rPr>
      </w:pPr>
      <w:r w:rsidRPr="005326D6">
        <w:rPr>
          <w:rFonts w:ascii="Calibri" w:hAnsi="Calibri" w:cs="Arial"/>
          <w:b/>
          <w:color w:val="0000FF"/>
          <w:sz w:val="28"/>
          <w:szCs w:val="28"/>
          <w:u w:val="single"/>
          <w:lang w:val="en-GB"/>
        </w:rPr>
        <w:t>IFRS compliance</w:t>
      </w:r>
    </w:p>
    <w:p w:rsidR="00EE67C0" w:rsidRDefault="00EE67C0" w:rsidP="00DD609A">
      <w:pPr>
        <w:pStyle w:val="ListParagraph"/>
        <w:ind w:left="1800"/>
        <w:jc w:val="both"/>
        <w:rPr>
          <w:rFonts w:ascii="Calibri" w:hAnsi="Calibri" w:cs="Arial"/>
          <w:lang w:val="en-GB"/>
        </w:rPr>
      </w:pPr>
    </w:p>
    <w:p w:rsidR="00EE67C0" w:rsidRPr="00DD609A" w:rsidRDefault="00EE67C0" w:rsidP="0019776B">
      <w:pPr>
        <w:pStyle w:val="ListParagraph"/>
        <w:jc w:val="both"/>
        <w:rPr>
          <w:rFonts w:ascii="Calibri" w:hAnsi="Calibri" w:cs="Arial"/>
          <w:lang w:val="en-GB"/>
        </w:rPr>
      </w:pPr>
      <w:r w:rsidRPr="00DD609A">
        <w:rPr>
          <w:rFonts w:ascii="Calibri" w:hAnsi="Calibri" w:cs="Arial"/>
          <w:lang w:val="en-GB"/>
        </w:rPr>
        <w:t>During the follow-up reviews carried out for the six months ended 31 December 2014, FRC considered whether the issues previously raised in previous full annual report reviews had been properly addressed in the PIEs’ latest annual reports and whether there are still recurrent issues from previous reviews. This would ensure that PIEs had taken corrective actions subsequent to FRC’s previous letters of observations.</w:t>
      </w:r>
    </w:p>
    <w:p w:rsidR="00EE67C0" w:rsidRPr="000C7A13" w:rsidRDefault="00EE67C0" w:rsidP="0059593A">
      <w:pPr>
        <w:ind w:left="90"/>
        <w:jc w:val="both"/>
        <w:rPr>
          <w:rFonts w:ascii="Calibri" w:hAnsi="Calibri" w:cs="Arial"/>
          <w:lang w:val="en-GB"/>
        </w:rPr>
      </w:pPr>
    </w:p>
    <w:p w:rsidR="00EE67C0" w:rsidRPr="00C910E6" w:rsidRDefault="00EE67C0" w:rsidP="0019776B">
      <w:pPr>
        <w:ind w:left="720"/>
        <w:jc w:val="both"/>
        <w:rPr>
          <w:rFonts w:ascii="Calibri" w:hAnsi="Calibri" w:cs="Arial"/>
          <w:b/>
          <w:lang w:val="en-GB"/>
        </w:rPr>
      </w:pPr>
      <w:r w:rsidRPr="00C910E6">
        <w:rPr>
          <w:rFonts w:ascii="Calibri" w:hAnsi="Calibri" w:cs="Arial"/>
          <w:lang w:val="en-GB"/>
        </w:rPr>
        <w:t xml:space="preserve">FRC noted an overall improvement in the reporting of most entities. </w:t>
      </w:r>
      <w:r w:rsidRPr="00C910E6">
        <w:rPr>
          <w:rFonts w:ascii="Calibri" w:hAnsi="Calibri" w:cs="Arial"/>
          <w:b/>
          <w:lang w:val="en-GB"/>
        </w:rPr>
        <w:t>There were certain non-compliances which were reiterated as they were not properly addressed in the current annual reports:</w:t>
      </w:r>
    </w:p>
    <w:p w:rsidR="00EE67C0" w:rsidRPr="00475BD5" w:rsidRDefault="00EE67C0" w:rsidP="0091128C">
      <w:pPr>
        <w:jc w:val="both"/>
        <w:rPr>
          <w:rFonts w:ascii="Calibri" w:hAnsi="Calibri" w:cs="Arial"/>
          <w:b/>
          <w:highlight w:val="cyan"/>
          <w:lang w:val="en-GB"/>
        </w:rPr>
      </w:pPr>
    </w:p>
    <w:p w:rsidR="00EE67C0" w:rsidRPr="00EB2E33" w:rsidRDefault="00EE67C0" w:rsidP="0091128C">
      <w:pPr>
        <w:ind w:left="720"/>
        <w:jc w:val="both"/>
        <w:rPr>
          <w:rFonts w:ascii="Calibri" w:hAnsi="Calibri" w:cs="Arial"/>
          <w:b/>
          <w:lang w:val="en-GB"/>
        </w:rPr>
      </w:pPr>
      <w:r w:rsidRPr="006570C6">
        <w:rPr>
          <w:rFonts w:ascii="Calibri" w:hAnsi="Calibri" w:cs="Arial"/>
          <w:b/>
          <w:lang w:val="en-GB"/>
        </w:rPr>
        <w:t>13 PIEs</w:t>
      </w:r>
      <w:r w:rsidRPr="006570C6">
        <w:rPr>
          <w:rFonts w:ascii="Calibri" w:hAnsi="Calibri" w:cs="Arial"/>
          <w:lang w:val="en-GB"/>
        </w:rPr>
        <w:t xml:space="preserve">[4 listed (1 Industry, 1 Information Technology, 1 Investment and </w:t>
      </w:r>
      <w:r>
        <w:rPr>
          <w:rFonts w:ascii="Calibri" w:hAnsi="Calibri" w:cs="Arial"/>
          <w:lang w:val="en-GB"/>
        </w:rPr>
        <w:t xml:space="preserve">1 </w:t>
      </w:r>
      <w:r w:rsidRPr="006570C6">
        <w:rPr>
          <w:rFonts w:ascii="Calibri" w:hAnsi="Calibri" w:cs="Arial"/>
          <w:lang w:val="en-GB"/>
        </w:rPr>
        <w:t xml:space="preserve">Others), 4 regulated by FSC (including 1 public) and 5 </w:t>
      </w:r>
      <w:r>
        <w:rPr>
          <w:rFonts w:ascii="Calibri" w:hAnsi="Calibri" w:cs="Arial"/>
          <w:lang w:val="en-GB"/>
        </w:rPr>
        <w:t>PIEs in Category 4</w:t>
      </w:r>
      <w:r w:rsidRPr="006570C6">
        <w:rPr>
          <w:rFonts w:ascii="Calibri" w:hAnsi="Calibri" w:cs="Arial"/>
          <w:lang w:val="en-GB"/>
        </w:rPr>
        <w:t xml:space="preserve">] </w:t>
      </w:r>
      <w:r w:rsidRPr="00EB2E33">
        <w:rPr>
          <w:rFonts w:ascii="Calibri" w:hAnsi="Calibri" w:cs="Arial"/>
          <w:b/>
          <w:lang w:val="en-GB"/>
        </w:rPr>
        <w:t>had again not complied with the following IFRSs:</w:t>
      </w:r>
    </w:p>
    <w:p w:rsidR="00EE67C0" w:rsidRPr="00475BD5" w:rsidRDefault="00EE67C0" w:rsidP="00EF10F6">
      <w:pPr>
        <w:ind w:left="720"/>
        <w:jc w:val="both"/>
        <w:rPr>
          <w:rFonts w:ascii="Calibri" w:hAnsi="Calibri" w:cs="Arial"/>
          <w:color w:val="FF0000"/>
          <w:highlight w:val="cyan"/>
          <w:lang w:val="en-GB"/>
        </w:rPr>
      </w:pPr>
    </w:p>
    <w:p w:rsidR="00EE67C0" w:rsidRPr="00C910E6" w:rsidRDefault="00EE67C0" w:rsidP="008D126B">
      <w:pPr>
        <w:numPr>
          <w:ilvl w:val="0"/>
          <w:numId w:val="6"/>
        </w:numPr>
        <w:tabs>
          <w:tab w:val="clear" w:pos="1080"/>
          <w:tab w:val="num" w:pos="1260"/>
        </w:tabs>
        <w:ind w:left="1260"/>
        <w:jc w:val="both"/>
        <w:rPr>
          <w:rFonts w:ascii="Calibri" w:hAnsi="Calibri"/>
          <w:b/>
          <w:bCs/>
          <w:lang w:val="en-GB"/>
        </w:rPr>
      </w:pPr>
      <w:r w:rsidRPr="00C910E6">
        <w:rPr>
          <w:rFonts w:ascii="Calibri" w:hAnsi="Calibri"/>
          <w:b/>
          <w:bCs/>
          <w:lang w:val="en-GB"/>
        </w:rPr>
        <w:t xml:space="preserve">IAS 1, Presentation of Financial Statements (paragraphs </w:t>
      </w:r>
      <w:r>
        <w:rPr>
          <w:rFonts w:ascii="Calibri" w:hAnsi="Calibri"/>
          <w:b/>
          <w:bCs/>
          <w:lang w:val="en-GB"/>
        </w:rPr>
        <w:t xml:space="preserve">79(a)(v), </w:t>
      </w:r>
      <w:r w:rsidRPr="00C910E6">
        <w:rPr>
          <w:rFonts w:ascii="Calibri" w:hAnsi="Calibri"/>
          <w:b/>
          <w:bCs/>
          <w:lang w:val="en-GB"/>
        </w:rPr>
        <w:t>112</w:t>
      </w:r>
      <w:r>
        <w:rPr>
          <w:rFonts w:ascii="Calibri" w:hAnsi="Calibri"/>
          <w:b/>
          <w:bCs/>
          <w:lang w:val="en-GB"/>
        </w:rPr>
        <w:t>, 117, 134</w:t>
      </w:r>
      <w:r w:rsidRPr="00C910E6">
        <w:rPr>
          <w:rFonts w:ascii="Calibri" w:hAnsi="Calibri"/>
          <w:b/>
          <w:bCs/>
          <w:lang w:val="en-GB"/>
        </w:rPr>
        <w:t xml:space="preserve"> and </w:t>
      </w:r>
      <w:r>
        <w:rPr>
          <w:rFonts w:ascii="Calibri" w:hAnsi="Calibri"/>
          <w:b/>
          <w:bCs/>
          <w:lang w:val="en-GB"/>
        </w:rPr>
        <w:t>135</w:t>
      </w:r>
      <w:r w:rsidRPr="00C910E6">
        <w:rPr>
          <w:rFonts w:ascii="Calibri" w:hAnsi="Calibri"/>
          <w:b/>
          <w:bCs/>
          <w:lang w:val="en-GB"/>
        </w:rPr>
        <w:t>)</w:t>
      </w:r>
    </w:p>
    <w:p w:rsidR="00EE67C0" w:rsidRPr="00C910E6" w:rsidRDefault="00EE67C0" w:rsidP="00EF10F6">
      <w:pPr>
        <w:ind w:left="748" w:hanging="28"/>
        <w:jc w:val="both"/>
        <w:rPr>
          <w:rFonts w:ascii="Calibri" w:hAnsi="Calibri"/>
        </w:rPr>
      </w:pPr>
    </w:p>
    <w:p w:rsidR="00EE67C0" w:rsidRPr="001B4D2C" w:rsidRDefault="00EE67C0" w:rsidP="008D126B">
      <w:pPr>
        <w:numPr>
          <w:ilvl w:val="1"/>
          <w:numId w:val="27"/>
        </w:numPr>
        <w:tabs>
          <w:tab w:val="clear" w:pos="2160"/>
          <w:tab w:val="num" w:pos="1440"/>
        </w:tabs>
        <w:ind w:left="1440"/>
        <w:jc w:val="both"/>
        <w:rPr>
          <w:rFonts w:ascii="Calibri" w:hAnsi="Calibri" w:cs="Arial"/>
          <w:bCs/>
          <w:lang w:val="en-GB"/>
        </w:rPr>
      </w:pPr>
      <w:r>
        <w:rPr>
          <w:rFonts w:ascii="Calibri" w:hAnsi="Calibri" w:cs="Arial"/>
          <w:bCs/>
          <w:lang w:val="en-GB"/>
        </w:rPr>
        <w:t>R</w:t>
      </w:r>
      <w:r w:rsidRPr="001B4D2C">
        <w:rPr>
          <w:rFonts w:ascii="Calibri" w:hAnsi="Calibri" w:cs="Arial"/>
          <w:bCs/>
          <w:lang w:val="en-GB"/>
        </w:rPr>
        <w:t>ights, preferences and restrictions attaching to that class including restrictions on the distribution of dividen</w:t>
      </w:r>
      <w:r>
        <w:rPr>
          <w:rFonts w:ascii="Calibri" w:hAnsi="Calibri" w:cs="Arial"/>
          <w:bCs/>
          <w:lang w:val="en-GB"/>
        </w:rPr>
        <w:t>ds and the repayment of capital</w:t>
      </w:r>
    </w:p>
    <w:p w:rsidR="00EE67C0" w:rsidRDefault="00EE67C0" w:rsidP="0019776B">
      <w:pPr>
        <w:tabs>
          <w:tab w:val="num" w:pos="1530"/>
        </w:tabs>
        <w:ind w:left="1530" w:hanging="270"/>
        <w:jc w:val="both"/>
        <w:rPr>
          <w:rFonts w:ascii="Calibri" w:hAnsi="Calibri" w:cs="Arial"/>
          <w:bCs/>
          <w:lang w:val="en-GB"/>
        </w:rPr>
      </w:pPr>
    </w:p>
    <w:p w:rsidR="00EE67C0" w:rsidRPr="00C910E6" w:rsidRDefault="00EE67C0" w:rsidP="008D126B">
      <w:pPr>
        <w:numPr>
          <w:ilvl w:val="1"/>
          <w:numId w:val="27"/>
        </w:numPr>
        <w:tabs>
          <w:tab w:val="clear" w:pos="2160"/>
          <w:tab w:val="num" w:pos="1440"/>
        </w:tabs>
        <w:ind w:left="1440"/>
        <w:jc w:val="both"/>
        <w:rPr>
          <w:rFonts w:ascii="Calibri" w:hAnsi="Calibri" w:cs="Arial"/>
          <w:bCs/>
          <w:lang w:val="en-GB"/>
        </w:rPr>
      </w:pPr>
      <w:r w:rsidRPr="00C910E6">
        <w:rPr>
          <w:rFonts w:ascii="Calibri" w:hAnsi="Calibri" w:cs="Arial"/>
          <w:bCs/>
          <w:lang w:val="en-GB"/>
        </w:rPr>
        <w:t>Additional information on the nature of expenses and other information that is of relevance to an understanding of the financial statements.</w:t>
      </w:r>
    </w:p>
    <w:p w:rsidR="00EE67C0" w:rsidRPr="00C910E6" w:rsidRDefault="00EE67C0" w:rsidP="00E03007">
      <w:pPr>
        <w:ind w:left="1080"/>
        <w:jc w:val="both"/>
        <w:rPr>
          <w:rFonts w:ascii="Calibri" w:hAnsi="Calibri" w:cs="Arial"/>
          <w:bCs/>
          <w:lang w:val="en-GB"/>
        </w:rPr>
      </w:pPr>
    </w:p>
    <w:p w:rsidR="00EE67C0" w:rsidRDefault="00EE67C0" w:rsidP="008D126B">
      <w:pPr>
        <w:numPr>
          <w:ilvl w:val="1"/>
          <w:numId w:val="27"/>
        </w:numPr>
        <w:tabs>
          <w:tab w:val="clear" w:pos="2160"/>
          <w:tab w:val="num" w:pos="1440"/>
        </w:tabs>
        <w:ind w:left="1440"/>
        <w:jc w:val="both"/>
        <w:rPr>
          <w:rFonts w:ascii="Calibri" w:hAnsi="Calibri" w:cs="Arial"/>
          <w:bCs/>
          <w:lang w:val="en-GB"/>
        </w:rPr>
      </w:pPr>
      <w:r w:rsidRPr="00C910E6">
        <w:rPr>
          <w:rFonts w:ascii="Calibri" w:hAnsi="Calibri" w:cs="Arial"/>
          <w:bCs/>
          <w:lang w:val="en-GB"/>
        </w:rPr>
        <w:t xml:space="preserve">Accounting policies used that are relevant to an understanding of the financial statements. </w:t>
      </w:r>
    </w:p>
    <w:p w:rsidR="00EE67C0" w:rsidRDefault="00EE67C0" w:rsidP="00E03007">
      <w:pPr>
        <w:ind w:left="1080"/>
        <w:jc w:val="both"/>
        <w:rPr>
          <w:rFonts w:ascii="Calibri" w:hAnsi="Calibri" w:cs="Arial"/>
          <w:bCs/>
          <w:lang w:val="en-GB"/>
        </w:rPr>
      </w:pPr>
    </w:p>
    <w:p w:rsidR="00EE67C0" w:rsidRPr="00C910E6" w:rsidRDefault="00EE67C0" w:rsidP="008D126B">
      <w:pPr>
        <w:numPr>
          <w:ilvl w:val="1"/>
          <w:numId w:val="27"/>
        </w:numPr>
        <w:tabs>
          <w:tab w:val="clear" w:pos="2160"/>
          <w:tab w:val="num" w:pos="1440"/>
        </w:tabs>
        <w:ind w:left="1440"/>
        <w:jc w:val="both"/>
        <w:rPr>
          <w:rFonts w:ascii="Calibri" w:hAnsi="Calibri" w:cs="Arial"/>
          <w:bCs/>
          <w:lang w:val="en-GB"/>
        </w:rPr>
      </w:pPr>
      <w:r w:rsidRPr="00C910E6">
        <w:rPr>
          <w:rFonts w:ascii="Calibri" w:hAnsi="Calibri" w:cs="Arial"/>
          <w:bCs/>
          <w:lang w:val="en-GB"/>
        </w:rPr>
        <w:t>Information on objectives, policies and processes for managing capital.</w:t>
      </w:r>
    </w:p>
    <w:p w:rsidR="00EE67C0" w:rsidRPr="00475BD5" w:rsidRDefault="00EE67C0" w:rsidP="00EF10F6">
      <w:pPr>
        <w:ind w:left="748" w:hanging="28"/>
        <w:jc w:val="both"/>
        <w:rPr>
          <w:rFonts w:ascii="Calibri" w:hAnsi="Calibri" w:cs="Arial"/>
          <w:bCs/>
          <w:highlight w:val="cyan"/>
          <w:lang w:val="en-GB"/>
        </w:rPr>
      </w:pPr>
    </w:p>
    <w:p w:rsidR="00EE67C0" w:rsidRDefault="00EE67C0" w:rsidP="008D126B">
      <w:pPr>
        <w:numPr>
          <w:ilvl w:val="0"/>
          <w:numId w:val="6"/>
        </w:numPr>
        <w:tabs>
          <w:tab w:val="clear" w:pos="1080"/>
          <w:tab w:val="num" w:pos="1260"/>
        </w:tabs>
        <w:ind w:left="1260"/>
        <w:jc w:val="both"/>
        <w:rPr>
          <w:rFonts w:ascii="Calibri" w:hAnsi="Calibri"/>
          <w:b/>
          <w:bCs/>
          <w:lang w:val="en-GB"/>
        </w:rPr>
      </w:pPr>
      <w:r>
        <w:rPr>
          <w:rFonts w:ascii="Calibri" w:hAnsi="Calibri"/>
          <w:b/>
          <w:bCs/>
          <w:lang w:val="en-GB"/>
        </w:rPr>
        <w:t>IAS 16, Property, Plant and Equipment (paragraph 34)</w:t>
      </w:r>
    </w:p>
    <w:p w:rsidR="00EE67C0" w:rsidRDefault="00EE67C0" w:rsidP="000915C2">
      <w:pPr>
        <w:tabs>
          <w:tab w:val="left" w:pos="1440"/>
        </w:tabs>
        <w:ind w:left="720"/>
        <w:jc w:val="both"/>
        <w:rPr>
          <w:rFonts w:ascii="Calibri" w:hAnsi="Calibri"/>
          <w:b/>
          <w:bCs/>
          <w:lang w:val="en-GB"/>
        </w:rPr>
      </w:pPr>
    </w:p>
    <w:p w:rsidR="00EE67C0" w:rsidRPr="000915C2" w:rsidRDefault="00EE67C0" w:rsidP="008D126B">
      <w:pPr>
        <w:numPr>
          <w:ilvl w:val="1"/>
          <w:numId w:val="27"/>
        </w:numPr>
        <w:tabs>
          <w:tab w:val="clear" w:pos="2160"/>
          <w:tab w:val="num" w:pos="1440"/>
        </w:tabs>
        <w:ind w:left="1440"/>
        <w:jc w:val="both"/>
        <w:rPr>
          <w:rFonts w:ascii="Calibri" w:hAnsi="Calibri" w:cs="Arial"/>
          <w:bCs/>
          <w:lang w:val="en-GB"/>
        </w:rPr>
      </w:pPr>
      <w:r w:rsidRPr="000915C2">
        <w:rPr>
          <w:rFonts w:ascii="Calibri" w:hAnsi="Calibri" w:cs="Arial"/>
          <w:bCs/>
          <w:lang w:val="en-GB"/>
        </w:rPr>
        <w:t>Frequency of revaluations</w:t>
      </w:r>
      <w:r>
        <w:rPr>
          <w:rFonts w:ascii="Calibri" w:hAnsi="Calibri" w:cs="Arial"/>
          <w:bCs/>
          <w:lang w:val="en-GB"/>
        </w:rPr>
        <w:t xml:space="preserve"> of </w:t>
      </w:r>
      <w:r w:rsidRPr="000915C2">
        <w:rPr>
          <w:rFonts w:ascii="Calibri" w:hAnsi="Calibri" w:cs="Arial"/>
          <w:bCs/>
          <w:lang w:val="en-GB"/>
        </w:rPr>
        <w:t>property, plant and equipment.</w:t>
      </w:r>
    </w:p>
    <w:p w:rsidR="00EE67C0" w:rsidRPr="000915C2" w:rsidRDefault="00EE67C0" w:rsidP="000915C2">
      <w:pPr>
        <w:tabs>
          <w:tab w:val="left" w:pos="1440"/>
        </w:tabs>
        <w:ind w:left="1440"/>
        <w:jc w:val="both"/>
        <w:rPr>
          <w:rFonts w:ascii="Calibri" w:hAnsi="Calibri" w:cs="Arial"/>
          <w:bCs/>
          <w:lang w:val="en-GB"/>
        </w:rPr>
      </w:pPr>
    </w:p>
    <w:p w:rsidR="00EE67C0" w:rsidRPr="00ED5BA5" w:rsidRDefault="00EE67C0" w:rsidP="008D126B">
      <w:pPr>
        <w:numPr>
          <w:ilvl w:val="0"/>
          <w:numId w:val="6"/>
        </w:numPr>
        <w:tabs>
          <w:tab w:val="clear" w:pos="1080"/>
          <w:tab w:val="num" w:pos="1260"/>
        </w:tabs>
        <w:ind w:left="1260"/>
        <w:jc w:val="both"/>
        <w:rPr>
          <w:rFonts w:ascii="Calibri" w:hAnsi="Calibri"/>
          <w:b/>
          <w:bCs/>
          <w:lang w:val="en-GB"/>
        </w:rPr>
      </w:pPr>
      <w:r w:rsidRPr="00ED5BA5">
        <w:rPr>
          <w:rFonts w:ascii="Calibri" w:hAnsi="Calibri"/>
          <w:b/>
          <w:bCs/>
          <w:lang w:val="en-GB"/>
        </w:rPr>
        <w:t>IAS 17, Leases (paragraph 35(d))</w:t>
      </w:r>
    </w:p>
    <w:p w:rsidR="00EE67C0" w:rsidRDefault="00EE67C0" w:rsidP="00ED5BA5">
      <w:pPr>
        <w:tabs>
          <w:tab w:val="left" w:pos="1440"/>
        </w:tabs>
        <w:ind w:left="720"/>
        <w:jc w:val="both"/>
        <w:rPr>
          <w:rFonts w:ascii="Calibri" w:hAnsi="Calibri"/>
          <w:b/>
          <w:bCs/>
          <w:highlight w:val="cyan"/>
          <w:lang w:val="en-GB"/>
        </w:rPr>
      </w:pPr>
    </w:p>
    <w:p w:rsidR="00EE67C0" w:rsidRPr="00ED5BA5" w:rsidRDefault="00EE67C0" w:rsidP="008D126B">
      <w:pPr>
        <w:numPr>
          <w:ilvl w:val="1"/>
          <w:numId w:val="27"/>
        </w:numPr>
        <w:tabs>
          <w:tab w:val="clear" w:pos="2160"/>
          <w:tab w:val="num" w:pos="1440"/>
        </w:tabs>
        <w:ind w:left="1440"/>
        <w:jc w:val="both"/>
        <w:rPr>
          <w:rFonts w:ascii="Calibri" w:hAnsi="Calibri" w:cs="Arial"/>
          <w:bCs/>
          <w:lang w:val="en-GB"/>
        </w:rPr>
      </w:pPr>
      <w:r w:rsidRPr="00ED5BA5">
        <w:rPr>
          <w:rFonts w:ascii="Calibri" w:hAnsi="Calibri" w:cs="Arial"/>
          <w:bCs/>
          <w:lang w:val="en-GB"/>
        </w:rPr>
        <w:t>A general description of the lessee’s significant leasing arrangements.</w:t>
      </w:r>
    </w:p>
    <w:p w:rsidR="00EE67C0" w:rsidRPr="00475BD5" w:rsidRDefault="00EE67C0" w:rsidP="00C91A2F">
      <w:pPr>
        <w:jc w:val="both"/>
        <w:rPr>
          <w:rFonts w:ascii="Calibri" w:hAnsi="Calibri" w:cs="Arial"/>
          <w:b/>
          <w:highlight w:val="cyan"/>
        </w:rPr>
      </w:pPr>
    </w:p>
    <w:p w:rsidR="00EE67C0" w:rsidRPr="00C910E6" w:rsidRDefault="00EE67C0" w:rsidP="008D126B">
      <w:pPr>
        <w:numPr>
          <w:ilvl w:val="0"/>
          <w:numId w:val="6"/>
        </w:numPr>
        <w:tabs>
          <w:tab w:val="clear" w:pos="1080"/>
          <w:tab w:val="num" w:pos="1260"/>
        </w:tabs>
        <w:ind w:left="1260"/>
        <w:jc w:val="both"/>
        <w:rPr>
          <w:rFonts w:ascii="Calibri" w:hAnsi="Calibri"/>
          <w:b/>
          <w:bCs/>
          <w:lang w:val="en-GB"/>
        </w:rPr>
      </w:pPr>
      <w:r w:rsidRPr="00C910E6">
        <w:rPr>
          <w:rFonts w:ascii="Calibri" w:hAnsi="Calibri"/>
          <w:b/>
          <w:bCs/>
          <w:lang w:val="en-GB"/>
        </w:rPr>
        <w:t xml:space="preserve">IAS 24, </w:t>
      </w:r>
      <w:hyperlink r:id="rId11" w:history="1">
        <w:r w:rsidRPr="00C910E6">
          <w:rPr>
            <w:rFonts w:ascii="Calibri" w:hAnsi="Calibri"/>
            <w:b/>
            <w:bCs/>
            <w:lang w:val="en-GB"/>
          </w:rPr>
          <w:t xml:space="preserve">Related Party Disclosures </w:t>
        </w:r>
      </w:hyperlink>
      <w:r w:rsidRPr="00C910E6">
        <w:rPr>
          <w:rFonts w:ascii="Calibri" w:hAnsi="Calibri"/>
          <w:b/>
          <w:bCs/>
          <w:lang w:val="en-GB"/>
        </w:rPr>
        <w:t>(paragraph</w:t>
      </w:r>
      <w:r>
        <w:rPr>
          <w:rFonts w:ascii="Calibri" w:hAnsi="Calibri"/>
          <w:b/>
          <w:bCs/>
          <w:lang w:val="en-GB"/>
        </w:rPr>
        <w:t>s 17 and</w:t>
      </w:r>
      <w:r w:rsidRPr="00C910E6">
        <w:rPr>
          <w:rFonts w:ascii="Calibri" w:hAnsi="Calibri"/>
          <w:b/>
          <w:bCs/>
          <w:lang w:val="en-GB"/>
        </w:rPr>
        <w:t xml:space="preserve"> 18(b))</w:t>
      </w:r>
    </w:p>
    <w:p w:rsidR="00EE67C0" w:rsidRPr="00C910E6" w:rsidRDefault="00EE67C0" w:rsidP="00EF10F6">
      <w:pPr>
        <w:ind w:left="1080"/>
        <w:jc w:val="both"/>
        <w:rPr>
          <w:rFonts w:ascii="Calibri" w:hAnsi="Calibri" w:cs="Arial"/>
          <w:b/>
        </w:rPr>
      </w:pPr>
    </w:p>
    <w:p w:rsidR="00EE67C0" w:rsidRPr="00C910E6" w:rsidRDefault="00EE67C0" w:rsidP="008D126B">
      <w:pPr>
        <w:numPr>
          <w:ilvl w:val="1"/>
          <w:numId w:val="27"/>
        </w:numPr>
        <w:tabs>
          <w:tab w:val="clear" w:pos="2160"/>
          <w:tab w:val="num" w:pos="1440"/>
        </w:tabs>
        <w:ind w:left="1440"/>
        <w:jc w:val="both"/>
        <w:rPr>
          <w:rFonts w:ascii="Calibri" w:hAnsi="Calibri" w:cs="Arial"/>
          <w:bCs/>
          <w:lang w:val="en-GB"/>
        </w:rPr>
      </w:pPr>
      <w:hyperlink r:id="rId12" w:anchor="SL146739" w:history="1">
        <w:r w:rsidRPr="0019776B">
          <w:rPr>
            <w:rFonts w:ascii="Calibri" w:hAnsi="Calibri" w:cs="Arial"/>
            <w:bCs/>
            <w:lang w:val="en-GB"/>
          </w:rPr>
          <w:t>Key</w:t>
        </w:r>
      </w:hyperlink>
      <w:hyperlink r:id="rId13" w:anchor="SL146725" w:history="1">
        <w:r w:rsidRPr="00C910E6">
          <w:rPr>
            <w:rFonts w:ascii="Calibri" w:hAnsi="Calibri" w:cs="Arial"/>
            <w:bCs/>
            <w:lang w:val="en-GB"/>
          </w:rPr>
          <w:t>compensation</w:t>
        </w:r>
      </w:hyperlink>
      <w:r w:rsidRPr="00C910E6">
        <w:rPr>
          <w:rFonts w:ascii="Calibri" w:hAnsi="Calibri" w:cs="Arial"/>
          <w:bCs/>
          <w:lang w:val="en-GB"/>
        </w:rPr>
        <w:t xml:space="preserve"> in total and </w:t>
      </w:r>
      <w:r>
        <w:rPr>
          <w:rFonts w:ascii="Calibri" w:hAnsi="Calibri" w:cs="Arial"/>
          <w:bCs/>
          <w:lang w:val="en-GB"/>
        </w:rPr>
        <w:t>in its differentcategories.</w:t>
      </w:r>
    </w:p>
    <w:p w:rsidR="00EE67C0" w:rsidRDefault="00EE67C0" w:rsidP="0019776B">
      <w:pPr>
        <w:ind w:left="1530"/>
        <w:jc w:val="both"/>
        <w:rPr>
          <w:rFonts w:ascii="Calibri" w:hAnsi="Calibri" w:cs="Arial"/>
          <w:bCs/>
          <w:lang w:val="en-GB"/>
        </w:rPr>
      </w:pPr>
    </w:p>
    <w:p w:rsidR="00EE67C0" w:rsidRPr="00C910E6" w:rsidRDefault="00EE67C0" w:rsidP="008D126B">
      <w:pPr>
        <w:numPr>
          <w:ilvl w:val="1"/>
          <w:numId w:val="27"/>
        </w:numPr>
        <w:tabs>
          <w:tab w:val="clear" w:pos="2160"/>
          <w:tab w:val="num" w:pos="1440"/>
        </w:tabs>
        <w:ind w:left="1440"/>
        <w:jc w:val="both"/>
        <w:rPr>
          <w:rFonts w:ascii="Calibri" w:hAnsi="Calibri" w:cs="Arial"/>
          <w:bCs/>
          <w:lang w:val="en-GB"/>
        </w:rPr>
      </w:pPr>
      <w:r w:rsidRPr="00C910E6">
        <w:rPr>
          <w:rFonts w:ascii="Calibri" w:hAnsi="Calibri" w:cs="Arial"/>
          <w:bCs/>
          <w:lang w:val="en-GB"/>
        </w:rPr>
        <w:t>Details of the terms and conditions of their related party transactions including whether they are secured, the nature of the consideration t</w:t>
      </w:r>
      <w:r>
        <w:rPr>
          <w:rFonts w:ascii="Calibri" w:hAnsi="Calibri" w:cs="Arial"/>
          <w:bCs/>
          <w:lang w:val="en-GB"/>
        </w:rPr>
        <w:t>o be provided in settlement</w:t>
      </w:r>
      <w:r w:rsidRPr="00C910E6">
        <w:rPr>
          <w:rFonts w:ascii="Calibri" w:hAnsi="Calibri" w:cs="Arial"/>
          <w:bCs/>
          <w:lang w:val="en-GB"/>
        </w:rPr>
        <w:t xml:space="preserve"> and details of any guarantees given or received.</w:t>
      </w:r>
    </w:p>
    <w:p w:rsidR="00EE67C0" w:rsidRPr="00475BD5" w:rsidRDefault="00EE67C0" w:rsidP="00EF10F6">
      <w:pPr>
        <w:jc w:val="both"/>
        <w:rPr>
          <w:rFonts w:ascii="Calibri" w:hAnsi="Calibri" w:cs="Arial"/>
          <w:b/>
          <w:highlight w:val="cyan"/>
        </w:rPr>
      </w:pPr>
    </w:p>
    <w:p w:rsidR="00EE67C0" w:rsidRPr="00ED5BA5" w:rsidRDefault="00EE67C0" w:rsidP="008D126B">
      <w:pPr>
        <w:numPr>
          <w:ilvl w:val="0"/>
          <w:numId w:val="6"/>
        </w:numPr>
        <w:tabs>
          <w:tab w:val="clear" w:pos="1080"/>
          <w:tab w:val="num" w:pos="1260"/>
        </w:tabs>
        <w:ind w:left="1260"/>
        <w:jc w:val="both"/>
        <w:rPr>
          <w:rFonts w:ascii="Calibri" w:hAnsi="Calibri"/>
          <w:b/>
          <w:bCs/>
          <w:lang w:val="en-GB"/>
        </w:rPr>
      </w:pPr>
      <w:r w:rsidRPr="00ED5BA5">
        <w:rPr>
          <w:rFonts w:ascii="Calibri" w:hAnsi="Calibri"/>
          <w:b/>
          <w:bCs/>
          <w:lang w:val="en-GB"/>
        </w:rPr>
        <w:t xml:space="preserve">IAS 41, </w:t>
      </w:r>
      <w:hyperlink r:id="rId14" w:history="1">
        <w:r w:rsidRPr="00ED5BA5">
          <w:rPr>
            <w:rFonts w:ascii="Calibri" w:hAnsi="Calibri"/>
            <w:b/>
            <w:bCs/>
            <w:lang w:val="en-GB"/>
          </w:rPr>
          <w:t xml:space="preserve">Agriculture </w:t>
        </w:r>
      </w:hyperlink>
      <w:r w:rsidRPr="00ED5BA5">
        <w:rPr>
          <w:rFonts w:ascii="Calibri" w:hAnsi="Calibri"/>
          <w:b/>
          <w:bCs/>
          <w:lang w:val="en-GB"/>
        </w:rPr>
        <w:t>(paragraph 49(c))</w:t>
      </w:r>
    </w:p>
    <w:p w:rsidR="00EE67C0" w:rsidRPr="00475BD5" w:rsidRDefault="00EE67C0" w:rsidP="00EF10F6">
      <w:pPr>
        <w:jc w:val="both"/>
        <w:rPr>
          <w:rFonts w:ascii="Calibri" w:hAnsi="Calibri" w:cs="Arial"/>
          <w:b/>
          <w:highlight w:val="cyan"/>
        </w:rPr>
      </w:pPr>
    </w:p>
    <w:p w:rsidR="00EE67C0" w:rsidRDefault="00EE67C0" w:rsidP="008D126B">
      <w:pPr>
        <w:numPr>
          <w:ilvl w:val="1"/>
          <w:numId w:val="27"/>
        </w:numPr>
        <w:tabs>
          <w:tab w:val="clear" w:pos="2160"/>
          <w:tab w:val="num" w:pos="1440"/>
        </w:tabs>
        <w:ind w:left="1440"/>
        <w:jc w:val="both"/>
        <w:rPr>
          <w:rFonts w:ascii="Calibri" w:hAnsi="Calibri" w:cs="Arial"/>
          <w:bCs/>
          <w:lang w:val="en-GB"/>
        </w:rPr>
      </w:pPr>
      <w:r>
        <w:rPr>
          <w:rFonts w:ascii="Calibri" w:hAnsi="Calibri" w:cs="Arial"/>
          <w:bCs/>
          <w:lang w:val="en-GB"/>
        </w:rPr>
        <w:t>F</w:t>
      </w:r>
      <w:r w:rsidRPr="00ED5BA5">
        <w:rPr>
          <w:rFonts w:ascii="Calibri" w:hAnsi="Calibri" w:cs="Arial"/>
          <w:bCs/>
          <w:lang w:val="en-GB"/>
        </w:rPr>
        <w:t xml:space="preserve">inancial risk management strategies related to </w:t>
      </w:r>
      <w:hyperlink r:id="rId15" w:anchor="SL143218" w:history="1">
        <w:r w:rsidRPr="00ED5BA5">
          <w:rPr>
            <w:rFonts w:ascii="Calibri" w:hAnsi="Calibri" w:cs="Arial"/>
            <w:bCs/>
            <w:lang w:val="en-GB"/>
          </w:rPr>
          <w:t>agricultural activity</w:t>
        </w:r>
      </w:hyperlink>
      <w:r w:rsidRPr="00ED5BA5">
        <w:rPr>
          <w:rFonts w:ascii="Calibri" w:hAnsi="Calibri" w:cs="Arial"/>
          <w:bCs/>
          <w:lang w:val="en-GB"/>
        </w:rPr>
        <w:t>.</w:t>
      </w:r>
    </w:p>
    <w:p w:rsidR="00EE67C0" w:rsidRPr="00ED5BA5" w:rsidRDefault="00EE67C0" w:rsidP="00ED5BA5">
      <w:pPr>
        <w:ind w:left="1440"/>
        <w:jc w:val="both"/>
        <w:rPr>
          <w:rFonts w:ascii="Calibri" w:hAnsi="Calibri" w:cs="Arial"/>
          <w:bCs/>
          <w:lang w:val="en-GB"/>
        </w:rPr>
      </w:pPr>
    </w:p>
    <w:p w:rsidR="00EE67C0" w:rsidRPr="00ED5BA5" w:rsidRDefault="00EE67C0" w:rsidP="008D126B">
      <w:pPr>
        <w:numPr>
          <w:ilvl w:val="0"/>
          <w:numId w:val="6"/>
        </w:numPr>
        <w:tabs>
          <w:tab w:val="clear" w:pos="1080"/>
          <w:tab w:val="num" w:pos="1260"/>
        </w:tabs>
        <w:ind w:left="1260"/>
        <w:jc w:val="both"/>
        <w:rPr>
          <w:rFonts w:ascii="Calibri" w:hAnsi="Calibri"/>
          <w:b/>
          <w:bCs/>
          <w:lang w:val="en-GB"/>
        </w:rPr>
      </w:pPr>
      <w:r w:rsidRPr="00ED5BA5">
        <w:rPr>
          <w:rFonts w:ascii="Calibri" w:hAnsi="Calibri"/>
          <w:b/>
          <w:bCs/>
          <w:lang w:val="en-GB"/>
        </w:rPr>
        <w:t>IFRS 7, Financial Instruments: Disclosures (paragraph</w:t>
      </w:r>
      <w:r>
        <w:rPr>
          <w:rFonts w:ascii="Calibri" w:hAnsi="Calibri"/>
          <w:b/>
          <w:bCs/>
          <w:lang w:val="en-GB"/>
        </w:rPr>
        <w:t>s 33</w:t>
      </w:r>
      <w:r w:rsidRPr="00ED5BA5">
        <w:rPr>
          <w:rFonts w:ascii="Calibri" w:hAnsi="Calibri"/>
          <w:b/>
          <w:bCs/>
          <w:lang w:val="en-GB"/>
        </w:rPr>
        <w:t>(b)</w:t>
      </w:r>
      <w:r>
        <w:rPr>
          <w:rFonts w:ascii="Calibri" w:hAnsi="Calibri"/>
          <w:b/>
          <w:bCs/>
          <w:lang w:val="en-GB"/>
        </w:rPr>
        <w:t>, 39(c) and 40</w:t>
      </w:r>
      <w:r w:rsidRPr="00ED5BA5">
        <w:rPr>
          <w:rFonts w:ascii="Calibri" w:hAnsi="Calibri"/>
          <w:b/>
          <w:bCs/>
          <w:lang w:val="en-GB"/>
        </w:rPr>
        <w:t>)</w:t>
      </w:r>
    </w:p>
    <w:p w:rsidR="00EE67C0" w:rsidRPr="00ED5BA5" w:rsidRDefault="00EE67C0" w:rsidP="00EF10F6">
      <w:pPr>
        <w:tabs>
          <w:tab w:val="left" w:pos="1080"/>
        </w:tabs>
        <w:ind w:left="720"/>
        <w:jc w:val="both"/>
        <w:rPr>
          <w:rFonts w:ascii="Calibri" w:hAnsi="Calibri"/>
        </w:rPr>
      </w:pPr>
    </w:p>
    <w:p w:rsidR="00EE67C0" w:rsidRDefault="00EE67C0" w:rsidP="008D126B">
      <w:pPr>
        <w:numPr>
          <w:ilvl w:val="1"/>
          <w:numId w:val="27"/>
        </w:numPr>
        <w:tabs>
          <w:tab w:val="clear" w:pos="2160"/>
          <w:tab w:val="num" w:pos="1440"/>
        </w:tabs>
        <w:ind w:left="1440"/>
        <w:jc w:val="both"/>
        <w:rPr>
          <w:rFonts w:ascii="Calibri" w:hAnsi="Calibri" w:cs="Arial"/>
          <w:bCs/>
          <w:lang w:val="en-GB"/>
        </w:rPr>
      </w:pPr>
      <w:r w:rsidRPr="00ED5BA5">
        <w:rPr>
          <w:rFonts w:ascii="Calibri" w:hAnsi="Calibri" w:cs="Arial"/>
          <w:bCs/>
          <w:lang w:val="en-GB"/>
        </w:rPr>
        <w:t xml:space="preserve">Management of financial risks. </w:t>
      </w:r>
    </w:p>
    <w:p w:rsidR="00EE67C0" w:rsidRDefault="00EE67C0" w:rsidP="0019776B">
      <w:pPr>
        <w:ind w:left="1530"/>
        <w:jc w:val="both"/>
        <w:rPr>
          <w:rFonts w:ascii="Calibri" w:hAnsi="Calibri" w:cs="Arial"/>
          <w:bCs/>
          <w:lang w:val="en-GB"/>
        </w:rPr>
      </w:pPr>
    </w:p>
    <w:p w:rsidR="00EE67C0" w:rsidRPr="00ED5BA5" w:rsidRDefault="00EE67C0" w:rsidP="008D126B">
      <w:pPr>
        <w:numPr>
          <w:ilvl w:val="1"/>
          <w:numId w:val="27"/>
        </w:numPr>
        <w:tabs>
          <w:tab w:val="clear" w:pos="2160"/>
          <w:tab w:val="num" w:pos="1440"/>
        </w:tabs>
        <w:ind w:left="1440"/>
        <w:jc w:val="both"/>
        <w:rPr>
          <w:rFonts w:ascii="Calibri" w:hAnsi="Calibri" w:cs="Arial"/>
          <w:bCs/>
          <w:lang w:val="en-GB"/>
        </w:rPr>
      </w:pPr>
      <w:r>
        <w:rPr>
          <w:rFonts w:ascii="Calibri" w:hAnsi="Calibri" w:cs="Arial"/>
          <w:bCs/>
          <w:lang w:val="en-GB"/>
        </w:rPr>
        <w:t>A</w:t>
      </w:r>
      <w:r w:rsidRPr="00ED5BA5">
        <w:rPr>
          <w:rFonts w:ascii="Calibri" w:hAnsi="Calibri" w:cs="Arial"/>
          <w:bCs/>
          <w:lang w:val="en-GB"/>
        </w:rPr>
        <w:t xml:space="preserve"> sensitivity analysis for each type of market risk to which the entity is exposed</w:t>
      </w:r>
      <w:r>
        <w:rPr>
          <w:rFonts w:ascii="Calibri" w:hAnsi="Calibri" w:cs="Arial"/>
          <w:bCs/>
          <w:lang w:val="en-GB"/>
        </w:rPr>
        <w:t>.</w:t>
      </w:r>
    </w:p>
    <w:p w:rsidR="00EE67C0" w:rsidRDefault="00EE67C0" w:rsidP="0019776B">
      <w:pPr>
        <w:ind w:left="1530"/>
        <w:jc w:val="both"/>
        <w:rPr>
          <w:rFonts w:ascii="Calibri" w:hAnsi="Calibri" w:cs="Arial"/>
          <w:bCs/>
          <w:lang w:val="en-GB"/>
        </w:rPr>
      </w:pPr>
    </w:p>
    <w:p w:rsidR="00EE67C0" w:rsidRDefault="00EE67C0" w:rsidP="0019776B">
      <w:pPr>
        <w:ind w:left="1530"/>
        <w:jc w:val="both"/>
        <w:rPr>
          <w:rFonts w:ascii="Calibri" w:hAnsi="Calibri" w:cs="Arial"/>
          <w:bCs/>
          <w:lang w:val="en-GB"/>
        </w:rPr>
      </w:pPr>
    </w:p>
    <w:p w:rsidR="00EE67C0" w:rsidRDefault="00EE67C0" w:rsidP="0019776B">
      <w:pPr>
        <w:ind w:left="1530"/>
        <w:jc w:val="both"/>
        <w:rPr>
          <w:rFonts w:ascii="Calibri" w:hAnsi="Calibri" w:cs="Arial"/>
          <w:bCs/>
          <w:lang w:val="en-GB"/>
        </w:rPr>
      </w:pPr>
    </w:p>
    <w:p w:rsidR="00EE67C0" w:rsidRPr="0019776B" w:rsidRDefault="00EE67C0" w:rsidP="0019776B">
      <w:pPr>
        <w:ind w:left="1530"/>
        <w:jc w:val="both"/>
        <w:rPr>
          <w:rFonts w:ascii="Calibri" w:hAnsi="Calibri" w:cs="Arial"/>
          <w:bCs/>
          <w:lang w:val="en-GB"/>
        </w:rPr>
      </w:pPr>
    </w:p>
    <w:p w:rsidR="00EE67C0" w:rsidRPr="0019776B" w:rsidRDefault="00EE67C0" w:rsidP="008D126B">
      <w:pPr>
        <w:pStyle w:val="ListParagraph"/>
        <w:numPr>
          <w:ilvl w:val="0"/>
          <w:numId w:val="30"/>
        </w:numPr>
        <w:tabs>
          <w:tab w:val="left" w:pos="720"/>
        </w:tabs>
        <w:jc w:val="both"/>
        <w:rPr>
          <w:rFonts w:ascii="Calibri" w:hAnsi="Calibri" w:cs="Arial"/>
          <w:b/>
          <w:color w:val="0000FF"/>
          <w:sz w:val="28"/>
          <w:szCs w:val="28"/>
          <w:lang w:val="en-GB"/>
        </w:rPr>
      </w:pPr>
      <w:bookmarkStart w:id="17" w:name="Fup2"/>
      <w:r w:rsidRPr="0019776B">
        <w:rPr>
          <w:rFonts w:ascii="Calibri" w:hAnsi="Calibri" w:cs="Arial"/>
          <w:b/>
          <w:color w:val="0000FF"/>
          <w:sz w:val="28"/>
          <w:szCs w:val="28"/>
          <w:lang w:val="en-GB"/>
        </w:rPr>
        <w:t>Other non-compliances arising from the follow-up reviews</w:t>
      </w:r>
      <w:bookmarkEnd w:id="17"/>
    </w:p>
    <w:p w:rsidR="00EE67C0" w:rsidRPr="007D131B" w:rsidRDefault="00EE67C0" w:rsidP="00DD609A">
      <w:pPr>
        <w:jc w:val="both"/>
        <w:rPr>
          <w:rFonts w:ascii="Calibri" w:hAnsi="Calibri" w:cs="Arial"/>
          <w:bCs/>
          <w:sz w:val="16"/>
          <w:szCs w:val="16"/>
          <w:lang w:val="en-GB"/>
        </w:rPr>
      </w:pPr>
    </w:p>
    <w:p w:rsidR="00EE67C0" w:rsidRPr="0019776B" w:rsidRDefault="00EE67C0" w:rsidP="00DD609A">
      <w:pPr>
        <w:ind w:left="720"/>
        <w:jc w:val="both"/>
        <w:rPr>
          <w:rFonts w:ascii="Calibri" w:hAnsi="Calibri" w:cs="Arial"/>
          <w:bCs/>
          <w:lang w:val="en-GB"/>
        </w:rPr>
      </w:pPr>
      <w:r w:rsidRPr="0019776B">
        <w:rPr>
          <w:rFonts w:ascii="Calibri" w:hAnsi="Calibri" w:cs="Arial"/>
          <w:bCs/>
          <w:lang w:val="en-GB"/>
        </w:rPr>
        <w:t xml:space="preserve">As part of its follow-up review exercise, FRC considered whether the PIEs had undertaken new business activities and/or material transactions, and whether they had adopted the new IFRSs and/or amendments to IFRSs which were relevant to them.  </w:t>
      </w:r>
    </w:p>
    <w:p w:rsidR="00EE67C0" w:rsidRPr="00DD609A" w:rsidRDefault="00EE67C0" w:rsidP="00DD609A">
      <w:pPr>
        <w:ind w:left="720"/>
        <w:jc w:val="both"/>
        <w:rPr>
          <w:rFonts w:ascii="Calibri" w:hAnsi="Calibri" w:cs="Arial"/>
          <w:bCs/>
          <w:highlight w:val="cyan"/>
          <w:lang w:val="en-GB"/>
        </w:rPr>
      </w:pPr>
    </w:p>
    <w:p w:rsidR="00EE67C0" w:rsidRPr="00984026" w:rsidRDefault="00EE67C0" w:rsidP="00DD609A">
      <w:pPr>
        <w:ind w:left="720"/>
        <w:jc w:val="both"/>
        <w:rPr>
          <w:rFonts w:ascii="Calibri" w:hAnsi="Calibri" w:cs="Arial"/>
          <w:bCs/>
          <w:lang w:val="en-GB"/>
        </w:rPr>
      </w:pPr>
      <w:r w:rsidRPr="00431CD3">
        <w:rPr>
          <w:rFonts w:ascii="Calibri" w:hAnsi="Calibri" w:cs="Arial"/>
          <w:b/>
          <w:bCs/>
          <w:lang w:val="en-GB"/>
        </w:rPr>
        <w:t>FRC observed that 13 PIEs</w:t>
      </w:r>
      <w:r w:rsidRPr="00431CD3">
        <w:rPr>
          <w:rFonts w:ascii="Calibri" w:hAnsi="Calibri" w:cs="Arial"/>
          <w:lang w:val="en-GB"/>
        </w:rPr>
        <w:t xml:space="preserve"> [3 listed (1 Information Technology, 1 Investment and 1 Others), 1 regulated by BOM, 5 regulated by FSC and 4 </w:t>
      </w:r>
      <w:r>
        <w:rPr>
          <w:rFonts w:ascii="Calibri" w:hAnsi="Calibri" w:cs="Arial"/>
          <w:lang w:val="en-GB"/>
        </w:rPr>
        <w:t>PIEs in Category 4</w:t>
      </w:r>
      <w:r w:rsidRPr="00431CD3">
        <w:rPr>
          <w:rFonts w:ascii="Calibri" w:hAnsi="Calibri" w:cs="Arial"/>
          <w:lang w:val="en-GB"/>
        </w:rPr>
        <w:t xml:space="preserve">] </w:t>
      </w:r>
      <w:r w:rsidRPr="00431CD3">
        <w:rPr>
          <w:rFonts w:ascii="Calibri" w:hAnsi="Calibri" w:cs="Arial"/>
          <w:b/>
          <w:bCs/>
          <w:lang w:val="en-GB"/>
        </w:rPr>
        <w:t>had not adequately disclosed the following in accordance with IFRSs:</w:t>
      </w:r>
    </w:p>
    <w:p w:rsidR="00EE67C0" w:rsidRDefault="00EE67C0" w:rsidP="00DD609A">
      <w:pPr>
        <w:jc w:val="both"/>
        <w:rPr>
          <w:rFonts w:ascii="Calibri" w:hAnsi="Calibri" w:cs="Arial"/>
          <w:b/>
          <w:bCs/>
          <w:i/>
          <w:u w:val="single"/>
          <w:lang w:val="en-GB"/>
        </w:rPr>
      </w:pPr>
    </w:p>
    <w:p w:rsidR="00EE67C0" w:rsidRPr="00C910E6" w:rsidRDefault="00EE67C0" w:rsidP="008D126B">
      <w:pPr>
        <w:numPr>
          <w:ilvl w:val="0"/>
          <w:numId w:val="6"/>
        </w:numPr>
        <w:tabs>
          <w:tab w:val="clear" w:pos="1080"/>
          <w:tab w:val="num" w:pos="1260"/>
        </w:tabs>
        <w:ind w:left="1260"/>
        <w:jc w:val="both"/>
        <w:rPr>
          <w:rFonts w:ascii="Calibri" w:hAnsi="Calibri"/>
          <w:b/>
          <w:bCs/>
          <w:lang w:val="en-GB"/>
        </w:rPr>
      </w:pPr>
      <w:r w:rsidRPr="00C910E6">
        <w:rPr>
          <w:rFonts w:ascii="Calibri" w:hAnsi="Calibri"/>
          <w:b/>
          <w:bCs/>
          <w:lang w:val="en-GB"/>
        </w:rPr>
        <w:t xml:space="preserve">IAS 1, Presentation of </w:t>
      </w:r>
      <w:r>
        <w:rPr>
          <w:rFonts w:ascii="Calibri" w:hAnsi="Calibri"/>
          <w:b/>
          <w:bCs/>
          <w:lang w:val="en-GB"/>
        </w:rPr>
        <w:t>Financial Statements (paragraph97</w:t>
      </w:r>
      <w:r w:rsidRPr="00C910E6">
        <w:rPr>
          <w:rFonts w:ascii="Calibri" w:hAnsi="Calibri"/>
          <w:b/>
          <w:bCs/>
          <w:lang w:val="en-GB"/>
        </w:rPr>
        <w:t>)</w:t>
      </w:r>
    </w:p>
    <w:p w:rsidR="00EE67C0" w:rsidRDefault="00EE67C0" w:rsidP="00C91A2F">
      <w:pPr>
        <w:tabs>
          <w:tab w:val="num" w:pos="1530"/>
        </w:tabs>
        <w:jc w:val="both"/>
        <w:rPr>
          <w:rFonts w:ascii="Calibri" w:hAnsi="Calibri" w:cs="Arial"/>
          <w:bCs/>
          <w:lang w:val="en-GB"/>
        </w:rPr>
      </w:pPr>
    </w:p>
    <w:p w:rsidR="00EE67C0" w:rsidRPr="00C910E6" w:rsidRDefault="00EE67C0" w:rsidP="008D126B">
      <w:pPr>
        <w:numPr>
          <w:ilvl w:val="1"/>
          <w:numId w:val="27"/>
        </w:numPr>
        <w:tabs>
          <w:tab w:val="clear" w:pos="2160"/>
          <w:tab w:val="num" w:pos="1440"/>
        </w:tabs>
        <w:ind w:left="1440"/>
        <w:jc w:val="both"/>
        <w:rPr>
          <w:rFonts w:ascii="Calibri" w:hAnsi="Calibri" w:cs="Arial"/>
          <w:bCs/>
          <w:lang w:val="en-GB"/>
        </w:rPr>
      </w:pPr>
      <w:r w:rsidRPr="00C910E6">
        <w:rPr>
          <w:rFonts w:ascii="Calibri" w:hAnsi="Calibri" w:cs="Arial"/>
          <w:bCs/>
          <w:lang w:val="en-GB"/>
        </w:rPr>
        <w:t>Additional information on the nature of expenses and other information that is of relevance to an understanding of the financial statements.</w:t>
      </w:r>
    </w:p>
    <w:p w:rsidR="00EE67C0" w:rsidRPr="002736E0" w:rsidRDefault="00EE67C0" w:rsidP="00DD609A">
      <w:pPr>
        <w:jc w:val="both"/>
        <w:rPr>
          <w:rFonts w:ascii="Calibri" w:hAnsi="Calibri" w:cs="Arial"/>
          <w:b/>
          <w:bCs/>
          <w:i/>
          <w:u w:val="single"/>
          <w:lang w:val="en-GB"/>
        </w:rPr>
      </w:pPr>
    </w:p>
    <w:p w:rsidR="00EE67C0" w:rsidRPr="002736E0" w:rsidRDefault="00EE67C0" w:rsidP="008D126B">
      <w:pPr>
        <w:numPr>
          <w:ilvl w:val="0"/>
          <w:numId w:val="6"/>
        </w:numPr>
        <w:jc w:val="both"/>
        <w:rPr>
          <w:rFonts w:ascii="Calibri" w:hAnsi="Calibri" w:cs="Arial"/>
          <w:b/>
        </w:rPr>
      </w:pPr>
      <w:r w:rsidRPr="002736E0">
        <w:rPr>
          <w:rFonts w:ascii="Calibri" w:hAnsi="Calibri" w:cs="Arial"/>
          <w:b/>
        </w:rPr>
        <w:t>IAS 10, Events after the Reporting Date (paragraph 17)</w:t>
      </w:r>
    </w:p>
    <w:p w:rsidR="00EE67C0" w:rsidRDefault="00EE67C0" w:rsidP="002736E0">
      <w:pPr>
        <w:ind w:left="1080"/>
        <w:jc w:val="both"/>
        <w:rPr>
          <w:rFonts w:ascii="Calibri" w:hAnsi="Calibri" w:cs="Arial"/>
          <w:b/>
          <w:highlight w:val="cyan"/>
        </w:rPr>
      </w:pPr>
    </w:p>
    <w:p w:rsidR="00EE67C0" w:rsidRPr="002736E0" w:rsidRDefault="00EE67C0" w:rsidP="008D126B">
      <w:pPr>
        <w:numPr>
          <w:ilvl w:val="1"/>
          <w:numId w:val="27"/>
        </w:numPr>
        <w:tabs>
          <w:tab w:val="clear" w:pos="2160"/>
          <w:tab w:val="num" w:pos="1440"/>
        </w:tabs>
        <w:ind w:left="1440"/>
        <w:jc w:val="both"/>
        <w:rPr>
          <w:rFonts w:ascii="Calibri" w:hAnsi="Calibri"/>
        </w:rPr>
      </w:pPr>
      <w:r w:rsidRPr="002736E0">
        <w:rPr>
          <w:rFonts w:ascii="Calibri" w:hAnsi="Calibri"/>
        </w:rPr>
        <w:t>The date when the financial statements were authorized for issue and who gave that authorization.</w:t>
      </w:r>
    </w:p>
    <w:p w:rsidR="00EE67C0" w:rsidRDefault="00EE67C0" w:rsidP="00EB2E33">
      <w:pPr>
        <w:jc w:val="both"/>
        <w:rPr>
          <w:rFonts w:ascii="Calibri" w:hAnsi="Calibri" w:cs="Arial"/>
          <w:highlight w:val="cyan"/>
        </w:rPr>
      </w:pPr>
    </w:p>
    <w:p w:rsidR="00EE67C0" w:rsidRPr="007B24EE" w:rsidRDefault="00EE67C0" w:rsidP="008D126B">
      <w:pPr>
        <w:numPr>
          <w:ilvl w:val="0"/>
          <w:numId w:val="6"/>
        </w:numPr>
        <w:tabs>
          <w:tab w:val="clear" w:pos="1080"/>
          <w:tab w:val="num" w:pos="990"/>
          <w:tab w:val="left" w:pos="1440"/>
        </w:tabs>
        <w:ind w:left="720" w:firstLine="0"/>
        <w:jc w:val="both"/>
        <w:rPr>
          <w:rFonts w:ascii="Calibri" w:hAnsi="Calibri"/>
          <w:b/>
          <w:bCs/>
          <w:lang w:val="en-GB"/>
        </w:rPr>
      </w:pPr>
      <w:r w:rsidRPr="007B24EE">
        <w:rPr>
          <w:rFonts w:ascii="Calibri" w:hAnsi="Calibri"/>
          <w:b/>
          <w:bCs/>
          <w:lang w:val="en-GB"/>
        </w:rPr>
        <w:t>IAS 19, Employee Benefits (paragraphs 139(b), 145 and 147)</w:t>
      </w:r>
    </w:p>
    <w:p w:rsidR="00EE67C0" w:rsidRDefault="00EE67C0" w:rsidP="00DD609A">
      <w:pPr>
        <w:ind w:left="720"/>
        <w:jc w:val="both"/>
        <w:rPr>
          <w:rFonts w:ascii="Calibri" w:hAnsi="Calibri" w:cs="Arial"/>
          <w:highlight w:val="cyan"/>
        </w:rPr>
      </w:pPr>
    </w:p>
    <w:p w:rsidR="00EE67C0" w:rsidRDefault="00EE67C0" w:rsidP="008D126B">
      <w:pPr>
        <w:numPr>
          <w:ilvl w:val="1"/>
          <w:numId w:val="27"/>
        </w:numPr>
        <w:tabs>
          <w:tab w:val="clear" w:pos="2160"/>
          <w:tab w:val="num" w:pos="1440"/>
        </w:tabs>
        <w:ind w:left="1440"/>
        <w:jc w:val="both"/>
        <w:rPr>
          <w:rFonts w:ascii="Calibri" w:hAnsi="Calibri"/>
        </w:rPr>
      </w:pPr>
      <w:r w:rsidRPr="007B24EE">
        <w:rPr>
          <w:rFonts w:ascii="Calibri" w:hAnsi="Calibri"/>
        </w:rPr>
        <w:t>Description of the risks to which the defined benefit plan exposes the entity.</w:t>
      </w:r>
    </w:p>
    <w:p w:rsidR="00EE67C0" w:rsidRDefault="00EE67C0" w:rsidP="007B24EE">
      <w:pPr>
        <w:ind w:left="1440"/>
        <w:jc w:val="both"/>
        <w:rPr>
          <w:rFonts w:ascii="Calibri" w:hAnsi="Calibri"/>
        </w:rPr>
      </w:pPr>
    </w:p>
    <w:p w:rsidR="00EE67C0" w:rsidRDefault="00EE67C0" w:rsidP="008D126B">
      <w:pPr>
        <w:numPr>
          <w:ilvl w:val="1"/>
          <w:numId w:val="27"/>
        </w:numPr>
        <w:tabs>
          <w:tab w:val="clear" w:pos="2160"/>
          <w:tab w:val="num" w:pos="1440"/>
        </w:tabs>
        <w:ind w:left="1440"/>
        <w:jc w:val="both"/>
        <w:rPr>
          <w:rFonts w:ascii="Calibri" w:hAnsi="Calibri"/>
        </w:rPr>
      </w:pPr>
      <w:r w:rsidRPr="007B24EE">
        <w:rPr>
          <w:rFonts w:ascii="Calibri" w:hAnsi="Calibri"/>
        </w:rPr>
        <w:t>Sensitivity analysis for each significant actuarial assumption as of the end of the reporting period</w:t>
      </w:r>
      <w:r>
        <w:rPr>
          <w:rFonts w:ascii="Calibri" w:hAnsi="Calibri"/>
        </w:rPr>
        <w:t>.</w:t>
      </w:r>
    </w:p>
    <w:p w:rsidR="00EE67C0" w:rsidRPr="007B24EE" w:rsidRDefault="00EE67C0" w:rsidP="007B24EE">
      <w:pPr>
        <w:jc w:val="both"/>
        <w:rPr>
          <w:rFonts w:ascii="Calibri" w:hAnsi="Calibri"/>
        </w:rPr>
      </w:pPr>
    </w:p>
    <w:p w:rsidR="00EE67C0" w:rsidRPr="007B24EE" w:rsidRDefault="00EE67C0" w:rsidP="008D126B">
      <w:pPr>
        <w:numPr>
          <w:ilvl w:val="1"/>
          <w:numId w:val="27"/>
        </w:numPr>
        <w:tabs>
          <w:tab w:val="clear" w:pos="2160"/>
          <w:tab w:val="num" w:pos="1440"/>
        </w:tabs>
        <w:ind w:left="1440"/>
        <w:jc w:val="both"/>
        <w:rPr>
          <w:rFonts w:ascii="Calibri" w:hAnsi="Calibri"/>
        </w:rPr>
      </w:pPr>
      <w:r w:rsidRPr="007B24EE">
        <w:rPr>
          <w:rFonts w:ascii="Calibri" w:hAnsi="Calibri"/>
        </w:rPr>
        <w:t>Description of any funding arrangements and funding policy that affect future contributions</w:t>
      </w:r>
      <w:r>
        <w:rPr>
          <w:rFonts w:ascii="Calibri" w:hAnsi="Calibri"/>
        </w:rPr>
        <w:t xml:space="preserve">, </w:t>
      </w:r>
      <w:r w:rsidRPr="007B24EE">
        <w:rPr>
          <w:rFonts w:ascii="Calibri" w:hAnsi="Calibri"/>
        </w:rPr>
        <w:t>the expected contributions to the plan for the next annual re</w:t>
      </w:r>
      <w:r>
        <w:rPr>
          <w:rFonts w:ascii="Calibri" w:hAnsi="Calibri"/>
        </w:rPr>
        <w:t xml:space="preserve">porting period and </w:t>
      </w:r>
      <w:r w:rsidRPr="007B24EE">
        <w:rPr>
          <w:rFonts w:ascii="Calibri" w:hAnsi="Calibri"/>
        </w:rPr>
        <w:t>information about the maturity profile of the defined benefit obligation.</w:t>
      </w:r>
    </w:p>
    <w:p w:rsidR="00EE67C0" w:rsidRDefault="00EE67C0" w:rsidP="00DD609A">
      <w:pPr>
        <w:ind w:left="720"/>
        <w:jc w:val="both"/>
        <w:rPr>
          <w:rFonts w:ascii="Calibri" w:hAnsi="Calibri" w:cs="Arial"/>
          <w:highlight w:val="cyan"/>
        </w:rPr>
      </w:pPr>
    </w:p>
    <w:p w:rsidR="00EE67C0" w:rsidRPr="00C910E6" w:rsidRDefault="00EE67C0" w:rsidP="008D126B">
      <w:pPr>
        <w:numPr>
          <w:ilvl w:val="0"/>
          <w:numId w:val="6"/>
        </w:numPr>
        <w:tabs>
          <w:tab w:val="clear" w:pos="1080"/>
          <w:tab w:val="num" w:pos="1260"/>
        </w:tabs>
        <w:ind w:left="1260"/>
        <w:jc w:val="both"/>
        <w:rPr>
          <w:rFonts w:ascii="Calibri" w:hAnsi="Calibri"/>
          <w:b/>
          <w:bCs/>
          <w:lang w:val="en-GB"/>
        </w:rPr>
      </w:pPr>
      <w:r w:rsidRPr="00C910E6">
        <w:rPr>
          <w:rFonts w:ascii="Calibri" w:hAnsi="Calibri"/>
          <w:b/>
          <w:bCs/>
          <w:lang w:val="en-GB"/>
        </w:rPr>
        <w:t xml:space="preserve">IAS 24, </w:t>
      </w:r>
      <w:hyperlink r:id="rId16" w:history="1">
        <w:r w:rsidRPr="00C910E6">
          <w:rPr>
            <w:rFonts w:ascii="Calibri" w:hAnsi="Calibri"/>
            <w:b/>
            <w:bCs/>
            <w:lang w:val="en-GB"/>
          </w:rPr>
          <w:t xml:space="preserve">Related Party Disclosures </w:t>
        </w:r>
      </w:hyperlink>
      <w:r w:rsidRPr="00C910E6">
        <w:rPr>
          <w:rFonts w:ascii="Calibri" w:hAnsi="Calibri"/>
          <w:b/>
          <w:bCs/>
          <w:lang w:val="en-GB"/>
        </w:rPr>
        <w:t>(paragraph18(b))</w:t>
      </w:r>
    </w:p>
    <w:p w:rsidR="00EE67C0" w:rsidRDefault="00EE67C0" w:rsidP="00EB2E33">
      <w:pPr>
        <w:jc w:val="both"/>
        <w:rPr>
          <w:rFonts w:ascii="Calibri" w:hAnsi="Calibri" w:cs="Arial"/>
          <w:bCs/>
          <w:lang w:val="en-GB"/>
        </w:rPr>
      </w:pPr>
    </w:p>
    <w:p w:rsidR="00EE67C0" w:rsidRPr="00C910E6" w:rsidRDefault="00EE67C0" w:rsidP="008D126B">
      <w:pPr>
        <w:numPr>
          <w:ilvl w:val="1"/>
          <w:numId w:val="27"/>
        </w:numPr>
        <w:tabs>
          <w:tab w:val="clear" w:pos="2160"/>
          <w:tab w:val="num" w:pos="1440"/>
        </w:tabs>
        <w:ind w:left="1440"/>
        <w:jc w:val="both"/>
        <w:rPr>
          <w:rFonts w:ascii="Calibri" w:hAnsi="Calibri" w:cs="Arial"/>
          <w:bCs/>
          <w:lang w:val="en-GB"/>
        </w:rPr>
      </w:pPr>
      <w:r w:rsidRPr="00C910E6">
        <w:rPr>
          <w:rFonts w:ascii="Calibri" w:hAnsi="Calibri" w:cs="Arial"/>
          <w:bCs/>
          <w:lang w:val="en-GB"/>
        </w:rPr>
        <w:t>Details of the terms and conditions of their related party transactions including whether they are secured, the nature of the consideration t</w:t>
      </w:r>
      <w:r>
        <w:rPr>
          <w:rFonts w:ascii="Calibri" w:hAnsi="Calibri" w:cs="Arial"/>
          <w:bCs/>
          <w:lang w:val="en-GB"/>
        </w:rPr>
        <w:t xml:space="preserve">o be provided in settlement </w:t>
      </w:r>
      <w:r w:rsidRPr="00C910E6">
        <w:rPr>
          <w:rFonts w:ascii="Calibri" w:hAnsi="Calibri" w:cs="Arial"/>
          <w:bCs/>
          <w:lang w:val="en-GB"/>
        </w:rPr>
        <w:t>and details of any guarantees given or received.</w:t>
      </w:r>
    </w:p>
    <w:p w:rsidR="00EE67C0" w:rsidRDefault="00EE67C0" w:rsidP="00DD609A">
      <w:pPr>
        <w:ind w:left="720"/>
        <w:jc w:val="both"/>
        <w:rPr>
          <w:rFonts w:ascii="Calibri" w:hAnsi="Calibri" w:cs="Arial"/>
          <w:highlight w:val="cyan"/>
        </w:rPr>
      </w:pPr>
    </w:p>
    <w:p w:rsidR="00EE67C0" w:rsidRPr="00DD609A" w:rsidRDefault="00EE67C0" w:rsidP="00DD609A">
      <w:pPr>
        <w:ind w:left="720"/>
        <w:jc w:val="both"/>
        <w:rPr>
          <w:rFonts w:ascii="Calibri" w:hAnsi="Calibri" w:cs="Arial"/>
          <w:highlight w:val="cyan"/>
        </w:rPr>
      </w:pPr>
    </w:p>
    <w:p w:rsidR="00EE67C0" w:rsidRPr="0006171B" w:rsidRDefault="00EE67C0" w:rsidP="008D126B">
      <w:pPr>
        <w:numPr>
          <w:ilvl w:val="0"/>
          <w:numId w:val="6"/>
        </w:numPr>
        <w:jc w:val="both"/>
        <w:rPr>
          <w:rFonts w:ascii="Calibri" w:hAnsi="Calibri" w:cs="Arial"/>
          <w:b/>
        </w:rPr>
      </w:pPr>
      <w:r w:rsidRPr="0006171B">
        <w:rPr>
          <w:rFonts w:ascii="Calibri" w:hAnsi="Calibri" w:cs="Arial"/>
          <w:b/>
        </w:rPr>
        <w:t>IFRS 3, Business Combinations (paragraph B64)</w:t>
      </w:r>
    </w:p>
    <w:p w:rsidR="00EE67C0" w:rsidRPr="0006171B" w:rsidRDefault="00EE67C0" w:rsidP="00DD609A">
      <w:pPr>
        <w:spacing w:line="276" w:lineRule="auto"/>
        <w:ind w:left="720"/>
        <w:jc w:val="both"/>
        <w:rPr>
          <w:rFonts w:ascii="Calibri" w:hAnsi="Calibri" w:cs="Arial"/>
          <w:b/>
          <w:sz w:val="16"/>
          <w:szCs w:val="16"/>
        </w:rPr>
      </w:pPr>
    </w:p>
    <w:p w:rsidR="00EE67C0" w:rsidRPr="0006171B" w:rsidRDefault="00EE67C0" w:rsidP="008D126B">
      <w:pPr>
        <w:numPr>
          <w:ilvl w:val="1"/>
          <w:numId w:val="27"/>
        </w:numPr>
        <w:tabs>
          <w:tab w:val="clear" w:pos="2160"/>
          <w:tab w:val="num" w:pos="1440"/>
        </w:tabs>
        <w:ind w:left="1440"/>
        <w:jc w:val="both"/>
        <w:rPr>
          <w:rFonts w:ascii="Calibri" w:hAnsi="Calibri"/>
        </w:rPr>
      </w:pPr>
      <w:r w:rsidRPr="0006171B">
        <w:rPr>
          <w:rFonts w:ascii="Calibri" w:hAnsi="Calibri"/>
        </w:rPr>
        <w:t xml:space="preserve">Nature and financial information as regards business combination </w:t>
      </w:r>
    </w:p>
    <w:p w:rsidR="00EE67C0" w:rsidRPr="00DD609A" w:rsidRDefault="00EE67C0" w:rsidP="00E03007">
      <w:pPr>
        <w:spacing w:line="276" w:lineRule="auto"/>
        <w:jc w:val="both"/>
        <w:rPr>
          <w:rFonts w:ascii="Calibri" w:hAnsi="Calibri" w:cs="Arial"/>
          <w:b/>
          <w:sz w:val="16"/>
          <w:szCs w:val="16"/>
          <w:highlight w:val="cyan"/>
        </w:rPr>
      </w:pPr>
    </w:p>
    <w:p w:rsidR="00EE67C0" w:rsidRPr="00C61CDB" w:rsidRDefault="00EE67C0" w:rsidP="008D126B">
      <w:pPr>
        <w:numPr>
          <w:ilvl w:val="0"/>
          <w:numId w:val="6"/>
        </w:numPr>
        <w:jc w:val="both"/>
        <w:rPr>
          <w:rFonts w:ascii="Calibri" w:hAnsi="Calibri" w:cs="Arial"/>
          <w:b/>
        </w:rPr>
      </w:pPr>
      <w:r w:rsidRPr="00C61CDB">
        <w:rPr>
          <w:rFonts w:ascii="Calibri" w:hAnsi="Calibri" w:cs="Arial"/>
          <w:b/>
        </w:rPr>
        <w:t>IFRS 7, Financial Instruments: Disclosures (paragraphs 24(b), 39(c) and 40)</w:t>
      </w:r>
    </w:p>
    <w:p w:rsidR="00EE67C0" w:rsidRPr="00DD609A" w:rsidRDefault="00EE67C0" w:rsidP="00DD609A">
      <w:pPr>
        <w:spacing w:line="276" w:lineRule="auto"/>
        <w:ind w:left="720"/>
        <w:jc w:val="both"/>
        <w:rPr>
          <w:rFonts w:ascii="Calibri" w:hAnsi="Calibri" w:cs="Arial"/>
          <w:sz w:val="16"/>
          <w:szCs w:val="16"/>
          <w:highlight w:val="cyan"/>
          <w:lang w:val="en-GB"/>
        </w:rPr>
      </w:pPr>
    </w:p>
    <w:p w:rsidR="00EE67C0" w:rsidRDefault="00EE67C0" w:rsidP="008D126B">
      <w:pPr>
        <w:numPr>
          <w:ilvl w:val="1"/>
          <w:numId w:val="27"/>
        </w:numPr>
        <w:tabs>
          <w:tab w:val="clear" w:pos="2160"/>
          <w:tab w:val="num" w:pos="1440"/>
        </w:tabs>
        <w:ind w:left="1440"/>
        <w:jc w:val="both"/>
        <w:rPr>
          <w:rFonts w:ascii="Calibri" w:hAnsi="Calibri"/>
        </w:rPr>
      </w:pPr>
      <w:r>
        <w:rPr>
          <w:rFonts w:ascii="Calibri" w:hAnsi="Calibri"/>
        </w:rPr>
        <w:t>T</w:t>
      </w:r>
      <w:r w:rsidRPr="00C61CDB">
        <w:rPr>
          <w:rFonts w:ascii="Calibri" w:hAnsi="Calibri"/>
        </w:rPr>
        <w:t>he ineffectiveness recognised in profit or loss that arises from cash flow hedges</w:t>
      </w:r>
      <w:r>
        <w:rPr>
          <w:rFonts w:ascii="Calibri" w:hAnsi="Calibri"/>
        </w:rPr>
        <w:t>.</w:t>
      </w:r>
    </w:p>
    <w:p w:rsidR="00EE67C0" w:rsidRDefault="00EE67C0" w:rsidP="00C61CDB">
      <w:pPr>
        <w:ind w:left="1440"/>
        <w:jc w:val="both"/>
        <w:rPr>
          <w:rFonts w:ascii="Calibri" w:hAnsi="Calibri"/>
        </w:rPr>
      </w:pPr>
    </w:p>
    <w:p w:rsidR="00EE67C0" w:rsidRDefault="00EE67C0" w:rsidP="008D126B">
      <w:pPr>
        <w:numPr>
          <w:ilvl w:val="1"/>
          <w:numId w:val="27"/>
        </w:numPr>
        <w:tabs>
          <w:tab w:val="clear" w:pos="2160"/>
          <w:tab w:val="num" w:pos="1440"/>
        </w:tabs>
        <w:ind w:left="1440"/>
        <w:jc w:val="both"/>
        <w:rPr>
          <w:rFonts w:ascii="Calibri" w:hAnsi="Calibri"/>
        </w:rPr>
      </w:pPr>
      <w:r>
        <w:rPr>
          <w:rFonts w:ascii="Calibri" w:hAnsi="Calibri"/>
        </w:rPr>
        <w:t>Management of liquidity risk.</w:t>
      </w:r>
    </w:p>
    <w:p w:rsidR="00EE67C0" w:rsidRDefault="00EE67C0" w:rsidP="00C61CDB">
      <w:pPr>
        <w:pStyle w:val="ListParagraph"/>
        <w:rPr>
          <w:rFonts w:ascii="Calibri" w:hAnsi="Calibri"/>
        </w:rPr>
      </w:pPr>
    </w:p>
    <w:p w:rsidR="00EE67C0" w:rsidRPr="0090546C" w:rsidRDefault="00EE67C0" w:rsidP="008D126B">
      <w:pPr>
        <w:numPr>
          <w:ilvl w:val="1"/>
          <w:numId w:val="27"/>
        </w:numPr>
        <w:tabs>
          <w:tab w:val="clear" w:pos="2160"/>
          <w:tab w:val="num" w:pos="1440"/>
        </w:tabs>
        <w:ind w:left="1440"/>
        <w:jc w:val="both"/>
        <w:rPr>
          <w:rFonts w:ascii="Calibri" w:hAnsi="Calibri"/>
        </w:rPr>
      </w:pPr>
      <w:r w:rsidRPr="00C61CDB">
        <w:rPr>
          <w:rFonts w:ascii="Calibri" w:hAnsi="Calibri"/>
        </w:rPr>
        <w:t>A sensitivity analysis for each type of market risk to which the entity is exposed.</w:t>
      </w:r>
    </w:p>
    <w:p w:rsidR="00EE67C0" w:rsidRDefault="00EE67C0" w:rsidP="00DD609A">
      <w:pPr>
        <w:tabs>
          <w:tab w:val="num" w:pos="2160"/>
        </w:tabs>
        <w:ind w:left="1080" w:right="-29"/>
        <w:jc w:val="both"/>
        <w:rPr>
          <w:rFonts w:ascii="Calibri" w:hAnsi="Calibri"/>
        </w:rPr>
      </w:pPr>
    </w:p>
    <w:p w:rsidR="00EE67C0" w:rsidRDefault="00EE67C0" w:rsidP="008D126B">
      <w:pPr>
        <w:numPr>
          <w:ilvl w:val="0"/>
          <w:numId w:val="6"/>
        </w:numPr>
        <w:jc w:val="both"/>
        <w:rPr>
          <w:rFonts w:ascii="Calibri" w:hAnsi="Calibri" w:cs="Arial"/>
          <w:b/>
        </w:rPr>
      </w:pPr>
      <w:r w:rsidRPr="007B24EE">
        <w:rPr>
          <w:rFonts w:ascii="Calibri" w:hAnsi="Calibri" w:cs="Arial"/>
          <w:b/>
        </w:rPr>
        <w:t>IFRS 12, Disclosure of Interests in Other Entities (paragraphs 12(g) and B 10(b))</w:t>
      </w:r>
    </w:p>
    <w:p w:rsidR="00EE67C0" w:rsidRDefault="00EE67C0" w:rsidP="00F61BE8">
      <w:pPr>
        <w:ind w:left="1080"/>
        <w:jc w:val="both"/>
        <w:rPr>
          <w:rFonts w:ascii="Calibri" w:hAnsi="Calibri"/>
        </w:rPr>
      </w:pPr>
    </w:p>
    <w:p w:rsidR="00EE67C0" w:rsidRDefault="00EE67C0" w:rsidP="008D126B">
      <w:pPr>
        <w:numPr>
          <w:ilvl w:val="1"/>
          <w:numId w:val="27"/>
        </w:numPr>
        <w:tabs>
          <w:tab w:val="clear" w:pos="2160"/>
          <w:tab w:val="num" w:pos="1440"/>
        </w:tabs>
        <w:ind w:left="1440"/>
        <w:jc w:val="both"/>
        <w:rPr>
          <w:rFonts w:ascii="Calibri" w:hAnsi="Calibri"/>
        </w:rPr>
      </w:pPr>
      <w:r w:rsidRPr="007B24EE">
        <w:rPr>
          <w:rFonts w:ascii="Calibri" w:hAnsi="Calibri"/>
        </w:rPr>
        <w:t>Summarised financial information about the entity’s subsidiary.</w:t>
      </w:r>
    </w:p>
    <w:p w:rsidR="00EE67C0" w:rsidRPr="007B24EE" w:rsidRDefault="00EE67C0" w:rsidP="007B4EA2">
      <w:pPr>
        <w:ind w:left="1440"/>
        <w:jc w:val="both"/>
        <w:rPr>
          <w:rFonts w:ascii="Calibri" w:hAnsi="Calibri"/>
        </w:rPr>
      </w:pPr>
    </w:p>
    <w:p w:rsidR="00EE67C0" w:rsidRPr="007B24EE" w:rsidRDefault="00EE67C0" w:rsidP="008D126B">
      <w:pPr>
        <w:numPr>
          <w:ilvl w:val="1"/>
          <w:numId w:val="27"/>
        </w:numPr>
        <w:tabs>
          <w:tab w:val="clear" w:pos="2160"/>
          <w:tab w:val="num" w:pos="1440"/>
        </w:tabs>
        <w:ind w:left="1440"/>
        <w:jc w:val="both"/>
        <w:rPr>
          <w:rFonts w:ascii="Calibri" w:hAnsi="Calibri"/>
        </w:rPr>
      </w:pPr>
      <w:r>
        <w:rPr>
          <w:rFonts w:ascii="Calibri" w:hAnsi="Calibri"/>
        </w:rPr>
        <w:t>S</w:t>
      </w:r>
      <w:r w:rsidRPr="007B24EE">
        <w:rPr>
          <w:rFonts w:ascii="Calibri" w:hAnsi="Calibri"/>
        </w:rPr>
        <w:t>ummarised financial information about the assets, liabilities, profit or loss and cash flows of the subsidiary that enables users to understand the interest that non-controlling interests have in the group’s activities and cash flows.</w:t>
      </w:r>
    </w:p>
    <w:p w:rsidR="00EE67C0" w:rsidRDefault="00EE67C0" w:rsidP="0059593A">
      <w:pPr>
        <w:tabs>
          <w:tab w:val="num" w:pos="2160"/>
        </w:tabs>
        <w:ind w:right="-29"/>
        <w:jc w:val="both"/>
        <w:rPr>
          <w:rFonts w:ascii="Calibri" w:hAnsi="Calibri" w:cs="Arial"/>
          <w:bCs/>
          <w:highlight w:val="cyan"/>
        </w:rPr>
      </w:pPr>
    </w:p>
    <w:p w:rsidR="00EE67C0" w:rsidRDefault="00EE67C0" w:rsidP="008D126B">
      <w:pPr>
        <w:numPr>
          <w:ilvl w:val="0"/>
          <w:numId w:val="6"/>
        </w:numPr>
        <w:jc w:val="both"/>
        <w:rPr>
          <w:rFonts w:ascii="Calibri" w:hAnsi="Calibri" w:cs="Arial"/>
          <w:b/>
        </w:rPr>
      </w:pPr>
      <w:hyperlink r:id="rId17" w:history="1">
        <w:r w:rsidRPr="002736E0">
          <w:rPr>
            <w:rFonts w:ascii="Calibri" w:hAnsi="Calibri" w:cs="Arial"/>
            <w:b/>
          </w:rPr>
          <w:t>IFRS 13, Fair Value Measurement</w:t>
        </w:r>
      </w:hyperlink>
      <w:r>
        <w:rPr>
          <w:rFonts w:ascii="Calibri" w:hAnsi="Calibri" w:cs="Arial"/>
          <w:b/>
        </w:rPr>
        <w:t xml:space="preserve"> (paragraphs 93(b) and 97)</w:t>
      </w:r>
    </w:p>
    <w:p w:rsidR="00EE67C0" w:rsidRDefault="00EE67C0" w:rsidP="002736E0">
      <w:pPr>
        <w:ind w:left="1080"/>
        <w:jc w:val="both"/>
        <w:rPr>
          <w:rFonts w:ascii="Calibri" w:hAnsi="Calibri" w:cs="Arial"/>
          <w:b/>
        </w:rPr>
      </w:pPr>
    </w:p>
    <w:p w:rsidR="00EE67C0" w:rsidRPr="002736E0" w:rsidRDefault="00EE67C0" w:rsidP="008D126B">
      <w:pPr>
        <w:numPr>
          <w:ilvl w:val="1"/>
          <w:numId w:val="27"/>
        </w:numPr>
        <w:tabs>
          <w:tab w:val="clear" w:pos="2160"/>
          <w:tab w:val="num" w:pos="1440"/>
        </w:tabs>
        <w:ind w:left="1440"/>
        <w:jc w:val="both"/>
        <w:rPr>
          <w:rFonts w:ascii="Calibri" w:hAnsi="Calibri"/>
        </w:rPr>
      </w:pPr>
      <w:r>
        <w:rPr>
          <w:rFonts w:ascii="Calibri" w:hAnsi="Calibri"/>
        </w:rPr>
        <w:t>T</w:t>
      </w:r>
      <w:r w:rsidRPr="002736E0">
        <w:rPr>
          <w:rFonts w:ascii="Calibri" w:hAnsi="Calibri"/>
        </w:rPr>
        <w:t>he level of the fair value hierarchy within which the fair value measurements of assets and liabilities are categorised in their entirety</w:t>
      </w:r>
    </w:p>
    <w:p w:rsidR="00EE67C0" w:rsidRDefault="00EE67C0" w:rsidP="002736E0">
      <w:pPr>
        <w:ind w:left="1080"/>
        <w:jc w:val="both"/>
        <w:rPr>
          <w:bCs/>
        </w:rPr>
      </w:pPr>
    </w:p>
    <w:p w:rsidR="00EE67C0" w:rsidRDefault="00EE67C0" w:rsidP="008D126B">
      <w:pPr>
        <w:numPr>
          <w:ilvl w:val="1"/>
          <w:numId w:val="27"/>
        </w:numPr>
        <w:tabs>
          <w:tab w:val="clear" w:pos="2160"/>
          <w:tab w:val="num" w:pos="1440"/>
        </w:tabs>
        <w:ind w:left="1440"/>
        <w:jc w:val="both"/>
        <w:rPr>
          <w:rFonts w:ascii="Calibri" w:hAnsi="Calibri"/>
        </w:rPr>
      </w:pPr>
      <w:r w:rsidRPr="002736E0">
        <w:rPr>
          <w:rFonts w:ascii="Calibri" w:hAnsi="Calibri"/>
        </w:rPr>
        <w:t>For each class of assets and liabilities not measured at fair value in the statement of financial position but for which the fair value is disclosed</w:t>
      </w:r>
      <w:r>
        <w:rPr>
          <w:rFonts w:ascii="Calibri" w:hAnsi="Calibri"/>
        </w:rPr>
        <w:t>:</w:t>
      </w:r>
    </w:p>
    <w:p w:rsidR="00EE67C0" w:rsidRDefault="00EE67C0" w:rsidP="002736E0">
      <w:pPr>
        <w:pStyle w:val="ListParagraph"/>
        <w:rPr>
          <w:rFonts w:ascii="Calibri" w:hAnsi="Calibri"/>
        </w:rPr>
      </w:pPr>
    </w:p>
    <w:p w:rsidR="00EE67C0" w:rsidRPr="002736E0" w:rsidRDefault="00EE67C0" w:rsidP="000B37BF">
      <w:pPr>
        <w:pStyle w:val="ListParagraph"/>
        <w:numPr>
          <w:ilvl w:val="0"/>
          <w:numId w:val="4"/>
        </w:numPr>
        <w:tabs>
          <w:tab w:val="clear" w:pos="1980"/>
          <w:tab w:val="num" w:pos="1800"/>
        </w:tabs>
        <w:ind w:left="1800"/>
        <w:jc w:val="both"/>
        <w:rPr>
          <w:rFonts w:ascii="Calibri" w:hAnsi="Calibri"/>
        </w:rPr>
      </w:pPr>
      <w:r w:rsidRPr="002736E0">
        <w:rPr>
          <w:rFonts w:ascii="Calibri" w:hAnsi="Calibri"/>
          <w:bCs/>
        </w:rPr>
        <w:t>the level of the fair value hierarchy within which the fair value measurements are categorised in their entirety</w:t>
      </w:r>
      <w:r>
        <w:rPr>
          <w:rFonts w:ascii="Calibri" w:hAnsi="Calibri"/>
          <w:bCs/>
        </w:rPr>
        <w:t>.</w:t>
      </w:r>
    </w:p>
    <w:p w:rsidR="00EE67C0" w:rsidRPr="002736E0" w:rsidRDefault="00EE67C0" w:rsidP="000B37BF">
      <w:pPr>
        <w:pStyle w:val="ListParagraph"/>
        <w:numPr>
          <w:ilvl w:val="0"/>
          <w:numId w:val="4"/>
        </w:numPr>
        <w:tabs>
          <w:tab w:val="clear" w:pos="1980"/>
          <w:tab w:val="num" w:pos="1800"/>
        </w:tabs>
        <w:autoSpaceDE w:val="0"/>
        <w:autoSpaceDN w:val="0"/>
        <w:adjustRightInd w:val="0"/>
        <w:ind w:left="1800"/>
        <w:jc w:val="both"/>
        <w:rPr>
          <w:rFonts w:ascii="Calibri" w:hAnsi="Calibri"/>
          <w:bCs/>
        </w:rPr>
      </w:pPr>
      <w:r w:rsidRPr="002736E0">
        <w:rPr>
          <w:rFonts w:ascii="Calibri" w:hAnsi="Calibri"/>
          <w:bCs/>
        </w:rPr>
        <w:t xml:space="preserve">for recurring and non-recurring fair value measurements categorised within Level 2 and Level 3 of the fair value hierarchy, a description of the valuation technique(s) and the inputs used in the fair value measurement.  </w:t>
      </w:r>
    </w:p>
    <w:p w:rsidR="00EE67C0" w:rsidRPr="002736E0" w:rsidRDefault="00EE67C0" w:rsidP="000B37BF">
      <w:pPr>
        <w:pStyle w:val="ListParagraph"/>
        <w:numPr>
          <w:ilvl w:val="0"/>
          <w:numId w:val="4"/>
        </w:numPr>
        <w:tabs>
          <w:tab w:val="clear" w:pos="1980"/>
          <w:tab w:val="num" w:pos="1800"/>
        </w:tabs>
        <w:autoSpaceDE w:val="0"/>
        <w:autoSpaceDN w:val="0"/>
        <w:adjustRightInd w:val="0"/>
        <w:ind w:left="1800"/>
        <w:jc w:val="both"/>
        <w:rPr>
          <w:rFonts w:ascii="Calibri" w:hAnsi="Calibri"/>
          <w:bCs/>
        </w:rPr>
      </w:pPr>
      <w:r w:rsidRPr="002736E0">
        <w:rPr>
          <w:rFonts w:ascii="Calibri" w:hAnsi="Calibri"/>
          <w:bCs/>
        </w:rPr>
        <w:t>for recurring and non-recurring fair value measurements, if the highest and best use of a non-financial asset differs from its current use, an entity shall disclose that fact and why the non-financial asset is being used in a manner that differs from its highest and best use.</w:t>
      </w:r>
    </w:p>
    <w:p w:rsidR="00EE67C0" w:rsidRPr="002736E0" w:rsidRDefault="00EE67C0" w:rsidP="002736E0">
      <w:pPr>
        <w:ind w:left="1080"/>
        <w:jc w:val="both"/>
        <w:rPr>
          <w:rFonts w:ascii="Calibri" w:hAnsi="Calibri" w:cs="Arial"/>
          <w:b/>
        </w:rPr>
      </w:pPr>
    </w:p>
    <w:p w:rsidR="00EE67C0" w:rsidRPr="00EA34E4" w:rsidRDefault="00EE67C0" w:rsidP="008D126B">
      <w:pPr>
        <w:pStyle w:val="ListParagraph"/>
        <w:numPr>
          <w:ilvl w:val="0"/>
          <w:numId w:val="30"/>
        </w:numPr>
        <w:tabs>
          <w:tab w:val="left" w:pos="720"/>
        </w:tabs>
        <w:jc w:val="both"/>
        <w:rPr>
          <w:rFonts w:ascii="Calibri" w:hAnsi="Calibri" w:cs="Arial"/>
          <w:b/>
          <w:color w:val="0000FF"/>
          <w:sz w:val="28"/>
          <w:szCs w:val="28"/>
          <w:lang w:val="en-GB"/>
        </w:rPr>
      </w:pPr>
      <w:r w:rsidRPr="00EA34E4">
        <w:rPr>
          <w:rFonts w:ascii="Calibri" w:hAnsi="Calibri" w:cs="Arial"/>
          <w:b/>
          <w:color w:val="0000FF"/>
          <w:sz w:val="28"/>
          <w:szCs w:val="28"/>
          <w:lang w:val="en-GB"/>
        </w:rPr>
        <w:t>Compliance with the code of corporate governance</w:t>
      </w:r>
    </w:p>
    <w:p w:rsidR="00EE67C0" w:rsidRPr="00C35531" w:rsidRDefault="00EE67C0" w:rsidP="0059593A">
      <w:pPr>
        <w:tabs>
          <w:tab w:val="left" w:pos="810"/>
          <w:tab w:val="left" w:pos="1080"/>
        </w:tabs>
        <w:ind w:right="-29"/>
        <w:jc w:val="both"/>
        <w:rPr>
          <w:rFonts w:ascii="Calibri" w:hAnsi="Calibri" w:cs="Arial"/>
          <w:b/>
          <w:bCs/>
          <w:highlight w:val="yellow"/>
        </w:rPr>
      </w:pPr>
    </w:p>
    <w:p w:rsidR="00EE67C0" w:rsidRPr="00520549" w:rsidRDefault="00EE67C0" w:rsidP="00ED68ED">
      <w:pPr>
        <w:tabs>
          <w:tab w:val="left" w:pos="810"/>
          <w:tab w:val="left" w:pos="1080"/>
        </w:tabs>
        <w:ind w:right="-29"/>
        <w:jc w:val="both"/>
        <w:rPr>
          <w:rFonts w:ascii="Calibri" w:hAnsi="Calibri" w:cs="Arial"/>
          <w:b/>
          <w:bCs/>
        </w:rPr>
      </w:pPr>
      <w:r w:rsidRPr="00520549">
        <w:rPr>
          <w:rFonts w:ascii="Calibri" w:hAnsi="Calibri" w:cs="Arial"/>
          <w:b/>
          <w:bCs/>
        </w:rPr>
        <w:tab/>
        <w:t>•</w:t>
      </w:r>
      <w:r w:rsidRPr="00520549">
        <w:rPr>
          <w:rFonts w:ascii="Calibri" w:hAnsi="Calibri" w:cs="Arial"/>
          <w:b/>
          <w:bCs/>
        </w:rPr>
        <w:tab/>
        <w:t xml:space="preserve">Non-submission of Corporate Governance Report </w:t>
      </w:r>
    </w:p>
    <w:p w:rsidR="00EE67C0" w:rsidRPr="00520549" w:rsidRDefault="00EE67C0" w:rsidP="00ED68ED">
      <w:pPr>
        <w:tabs>
          <w:tab w:val="left" w:pos="810"/>
          <w:tab w:val="left" w:pos="1080"/>
        </w:tabs>
        <w:ind w:right="-29"/>
        <w:jc w:val="both"/>
        <w:rPr>
          <w:rFonts w:ascii="Calibri" w:hAnsi="Calibri" w:cs="Arial"/>
          <w:b/>
          <w:bCs/>
        </w:rPr>
      </w:pPr>
    </w:p>
    <w:p w:rsidR="00EE67C0" w:rsidRPr="00520549" w:rsidRDefault="00EE67C0" w:rsidP="00ED68ED">
      <w:pPr>
        <w:tabs>
          <w:tab w:val="left" w:pos="810"/>
          <w:tab w:val="left" w:pos="1080"/>
        </w:tabs>
        <w:ind w:left="1080" w:right="-29"/>
        <w:jc w:val="both"/>
        <w:rPr>
          <w:rFonts w:ascii="Calibri" w:hAnsi="Calibri" w:cs="Arial"/>
          <w:bCs/>
        </w:rPr>
      </w:pPr>
      <w:r w:rsidRPr="00520549">
        <w:rPr>
          <w:rFonts w:ascii="Calibri" w:hAnsi="Calibri" w:cs="Arial"/>
          <w:bCs/>
        </w:rPr>
        <w:t xml:space="preserve">2 </w:t>
      </w:r>
      <w:r>
        <w:rPr>
          <w:rFonts w:ascii="Calibri" w:hAnsi="Calibri" w:cs="Arial"/>
          <w:bCs/>
        </w:rPr>
        <w:t>PIEs in Category 4</w:t>
      </w:r>
      <w:r w:rsidRPr="00520549">
        <w:rPr>
          <w:rFonts w:ascii="Calibri" w:hAnsi="Calibri" w:cs="Arial"/>
          <w:bCs/>
        </w:rPr>
        <w:t xml:space="preserve"> had not submitted a Corporate Governance Report and this issue was reiterated to the companies. </w:t>
      </w:r>
    </w:p>
    <w:p w:rsidR="00EE67C0" w:rsidRPr="00520549" w:rsidRDefault="00EE67C0" w:rsidP="00ED68ED">
      <w:pPr>
        <w:tabs>
          <w:tab w:val="left" w:pos="810"/>
          <w:tab w:val="left" w:pos="1080"/>
        </w:tabs>
        <w:ind w:left="1080" w:right="-29"/>
        <w:jc w:val="both"/>
        <w:rPr>
          <w:rFonts w:ascii="Calibri" w:hAnsi="Calibri" w:cs="Arial"/>
          <w:bCs/>
        </w:rPr>
      </w:pPr>
    </w:p>
    <w:p w:rsidR="00EE67C0" w:rsidRPr="00520549" w:rsidRDefault="00EE67C0" w:rsidP="00ED68ED">
      <w:pPr>
        <w:tabs>
          <w:tab w:val="left" w:pos="810"/>
          <w:tab w:val="left" w:pos="1080"/>
        </w:tabs>
        <w:ind w:left="1080" w:right="-29"/>
        <w:jc w:val="both"/>
        <w:rPr>
          <w:rFonts w:ascii="Calibri" w:hAnsi="Calibri" w:cs="Arial"/>
          <w:bCs/>
        </w:rPr>
      </w:pPr>
      <w:r w:rsidRPr="00520549">
        <w:rPr>
          <w:rFonts w:ascii="Calibri" w:hAnsi="Calibri" w:cs="Arial"/>
          <w:bCs/>
        </w:rPr>
        <w:t xml:space="preserve">These companies were again informed that they had not reported on Corporate Governance as required by Section 75 of the Financial Reporting Act (FRA).  </w:t>
      </w:r>
    </w:p>
    <w:p w:rsidR="00EE67C0" w:rsidRPr="00520549" w:rsidRDefault="00EE67C0" w:rsidP="00ED68ED">
      <w:pPr>
        <w:tabs>
          <w:tab w:val="left" w:pos="810"/>
          <w:tab w:val="left" w:pos="1080"/>
        </w:tabs>
        <w:ind w:left="1080" w:right="-29"/>
        <w:jc w:val="both"/>
        <w:rPr>
          <w:rFonts w:ascii="Calibri" w:hAnsi="Calibri" w:cs="Arial"/>
          <w:b/>
          <w:bCs/>
        </w:rPr>
      </w:pPr>
    </w:p>
    <w:p w:rsidR="00EE67C0" w:rsidRPr="00520549" w:rsidRDefault="00EE67C0" w:rsidP="00ED68ED">
      <w:pPr>
        <w:tabs>
          <w:tab w:val="left" w:pos="810"/>
          <w:tab w:val="left" w:pos="1080"/>
          <w:tab w:val="left" w:pos="1440"/>
        </w:tabs>
        <w:ind w:left="1080" w:right="-29" w:hanging="360"/>
        <w:jc w:val="both"/>
        <w:rPr>
          <w:rFonts w:ascii="Calibri" w:hAnsi="Calibri" w:cs="Arial"/>
          <w:b/>
          <w:bCs/>
        </w:rPr>
      </w:pPr>
      <w:r w:rsidRPr="00520549">
        <w:rPr>
          <w:rFonts w:ascii="Calibri" w:hAnsi="Calibri" w:cs="Arial"/>
          <w:b/>
          <w:bCs/>
        </w:rPr>
        <w:t>•</w:t>
      </w:r>
      <w:r w:rsidRPr="00520549">
        <w:rPr>
          <w:rFonts w:ascii="Calibri" w:hAnsi="Calibri" w:cs="Arial"/>
          <w:b/>
          <w:bCs/>
        </w:rPr>
        <w:tab/>
        <w:t>Part-compliance with corporate governance</w:t>
      </w:r>
    </w:p>
    <w:p w:rsidR="00EE67C0" w:rsidRPr="00520549" w:rsidRDefault="00EE67C0" w:rsidP="00ED68ED">
      <w:pPr>
        <w:tabs>
          <w:tab w:val="left" w:pos="810"/>
          <w:tab w:val="left" w:pos="1080"/>
        </w:tabs>
        <w:ind w:right="-29"/>
        <w:jc w:val="both"/>
        <w:rPr>
          <w:rFonts w:ascii="Calibri" w:hAnsi="Calibri" w:cs="Arial"/>
          <w:b/>
          <w:bCs/>
        </w:rPr>
      </w:pPr>
    </w:p>
    <w:p w:rsidR="00EE67C0" w:rsidRPr="00520549" w:rsidRDefault="00EE67C0" w:rsidP="00ED68ED">
      <w:pPr>
        <w:tabs>
          <w:tab w:val="left" w:pos="810"/>
          <w:tab w:val="left" w:pos="1080"/>
        </w:tabs>
        <w:ind w:left="1080" w:right="-29"/>
        <w:jc w:val="both"/>
        <w:rPr>
          <w:rFonts w:ascii="Calibri" w:hAnsi="Calibri" w:cs="Arial"/>
          <w:bCs/>
        </w:rPr>
      </w:pPr>
      <w:r w:rsidRPr="00520549">
        <w:rPr>
          <w:rFonts w:ascii="Calibri" w:hAnsi="Calibri" w:cs="Arial"/>
          <w:bCs/>
        </w:rPr>
        <w:t xml:space="preserve">With respect to the Code, the following were not properly addressed in the current annual reports of 10 PIEs [1 listed in Industry, 6 regulated by FSC and 3 </w:t>
      </w:r>
      <w:r>
        <w:rPr>
          <w:rFonts w:ascii="Calibri" w:hAnsi="Calibri" w:cs="Arial"/>
          <w:bCs/>
        </w:rPr>
        <w:t>PIEs in Category 4</w:t>
      </w:r>
      <w:r w:rsidRPr="00520549">
        <w:rPr>
          <w:rFonts w:ascii="Calibri" w:hAnsi="Calibri" w:cs="Arial"/>
          <w:bCs/>
        </w:rPr>
        <w:t>]:</w:t>
      </w:r>
    </w:p>
    <w:p w:rsidR="00EE67C0" w:rsidRPr="00520549" w:rsidRDefault="00EE67C0" w:rsidP="00ED68ED">
      <w:pPr>
        <w:tabs>
          <w:tab w:val="left" w:pos="810"/>
          <w:tab w:val="left" w:pos="1080"/>
        </w:tabs>
        <w:ind w:left="90" w:right="-29"/>
        <w:jc w:val="both"/>
        <w:rPr>
          <w:rFonts w:ascii="Calibri" w:hAnsi="Calibri" w:cs="Arial"/>
          <w:bCs/>
        </w:rPr>
      </w:pPr>
    </w:p>
    <w:p w:rsidR="00EE67C0" w:rsidRPr="00520549" w:rsidRDefault="00EE67C0" w:rsidP="00ED68ED">
      <w:pPr>
        <w:tabs>
          <w:tab w:val="left" w:pos="1080"/>
        </w:tabs>
        <w:ind w:left="1440" w:right="-29" w:hanging="360"/>
        <w:jc w:val="both"/>
        <w:rPr>
          <w:rFonts w:ascii="Calibri" w:hAnsi="Calibri" w:cs="Arial"/>
          <w:bCs/>
        </w:rPr>
      </w:pPr>
      <w:r w:rsidRPr="00520549">
        <w:rPr>
          <w:rFonts w:ascii="Calibri" w:hAnsi="Calibri" w:cs="Arial"/>
          <w:bCs/>
        </w:rPr>
        <w:t>o</w:t>
      </w:r>
      <w:r w:rsidRPr="00520549">
        <w:rPr>
          <w:rFonts w:ascii="Calibri" w:hAnsi="Calibri" w:cs="Arial"/>
          <w:bCs/>
        </w:rPr>
        <w:tab/>
        <w:t>Composition of the Board of Directors (Section 2 paragraphs 2.2.2, 2.2.3 and 2.5.5 of the code of corporate governance (code))</w:t>
      </w:r>
    </w:p>
    <w:p w:rsidR="00EE67C0" w:rsidRPr="00520549" w:rsidRDefault="00EE67C0" w:rsidP="00ED68ED">
      <w:pPr>
        <w:tabs>
          <w:tab w:val="left" w:pos="1080"/>
        </w:tabs>
        <w:ind w:left="1440" w:right="-29" w:hanging="360"/>
        <w:jc w:val="both"/>
        <w:rPr>
          <w:rFonts w:ascii="Calibri" w:hAnsi="Calibri" w:cs="Arial"/>
          <w:bCs/>
        </w:rPr>
      </w:pPr>
    </w:p>
    <w:p w:rsidR="00EE67C0" w:rsidRPr="00520549" w:rsidRDefault="00EE67C0" w:rsidP="00ED68ED">
      <w:pPr>
        <w:tabs>
          <w:tab w:val="left" w:pos="1080"/>
        </w:tabs>
        <w:ind w:left="1440" w:right="-29" w:hanging="360"/>
        <w:jc w:val="both"/>
        <w:rPr>
          <w:rFonts w:ascii="Calibri" w:hAnsi="Calibri" w:cs="Arial"/>
          <w:bCs/>
        </w:rPr>
      </w:pPr>
      <w:r w:rsidRPr="00520549">
        <w:rPr>
          <w:rFonts w:ascii="Calibri" w:hAnsi="Calibri" w:cs="Arial"/>
          <w:bCs/>
        </w:rPr>
        <w:t>o</w:t>
      </w:r>
      <w:r w:rsidRPr="00520549">
        <w:rPr>
          <w:rFonts w:ascii="Calibri" w:hAnsi="Calibri" w:cs="Arial"/>
          <w:bCs/>
        </w:rPr>
        <w:tab/>
        <w:t>Description of non audit services rendered by the external auditor (Section 6 paragraph 6.3.3 of the code)</w:t>
      </w:r>
    </w:p>
    <w:p w:rsidR="00EE67C0" w:rsidRPr="00520549" w:rsidRDefault="00EE67C0" w:rsidP="00ED68ED">
      <w:pPr>
        <w:tabs>
          <w:tab w:val="left" w:pos="1080"/>
        </w:tabs>
        <w:ind w:left="1440" w:right="-29" w:hanging="360"/>
        <w:jc w:val="both"/>
        <w:rPr>
          <w:rFonts w:ascii="Calibri" w:hAnsi="Calibri" w:cs="Arial"/>
          <w:bCs/>
        </w:rPr>
      </w:pPr>
    </w:p>
    <w:p w:rsidR="00EE67C0" w:rsidRPr="00520549" w:rsidRDefault="00EE67C0" w:rsidP="008D126B">
      <w:pPr>
        <w:numPr>
          <w:ilvl w:val="0"/>
          <w:numId w:val="13"/>
        </w:numPr>
        <w:tabs>
          <w:tab w:val="clear" w:pos="1800"/>
          <w:tab w:val="left" w:pos="1080"/>
          <w:tab w:val="num" w:pos="1440"/>
        </w:tabs>
        <w:ind w:left="1440" w:right="-29"/>
        <w:jc w:val="both"/>
        <w:rPr>
          <w:rFonts w:ascii="Calibri" w:hAnsi="Calibri" w:cs="Arial"/>
          <w:bCs/>
        </w:rPr>
      </w:pPr>
      <w:r w:rsidRPr="00520549">
        <w:rPr>
          <w:rFonts w:ascii="Calibri" w:hAnsi="Calibri" w:cs="Arial"/>
          <w:bCs/>
        </w:rPr>
        <w:t>Integrated sustainability reporting (section 7 of the code)</w:t>
      </w:r>
    </w:p>
    <w:p w:rsidR="00EE67C0" w:rsidRPr="00520549" w:rsidRDefault="00EE67C0" w:rsidP="00ED68ED">
      <w:pPr>
        <w:tabs>
          <w:tab w:val="left" w:pos="1080"/>
        </w:tabs>
        <w:ind w:right="-29"/>
        <w:jc w:val="both"/>
        <w:rPr>
          <w:rFonts w:ascii="Calibri" w:hAnsi="Calibri" w:cs="Arial"/>
          <w:bCs/>
        </w:rPr>
      </w:pPr>
    </w:p>
    <w:p w:rsidR="00EE67C0" w:rsidRPr="00520549" w:rsidRDefault="00EE67C0" w:rsidP="008D126B">
      <w:pPr>
        <w:numPr>
          <w:ilvl w:val="0"/>
          <w:numId w:val="13"/>
        </w:numPr>
        <w:tabs>
          <w:tab w:val="clear" w:pos="1800"/>
          <w:tab w:val="left" w:pos="1080"/>
        </w:tabs>
        <w:ind w:left="1440" w:right="-29"/>
        <w:jc w:val="both"/>
        <w:rPr>
          <w:rFonts w:ascii="Calibri" w:hAnsi="Calibri" w:cs="Arial"/>
          <w:bCs/>
        </w:rPr>
      </w:pPr>
      <w:r w:rsidRPr="00520549">
        <w:rPr>
          <w:rFonts w:ascii="Calibri" w:hAnsi="Calibri" w:cs="Arial"/>
          <w:bCs/>
        </w:rPr>
        <w:t>Information on remuneration of directors (section 8.4 of the code)</w:t>
      </w:r>
    </w:p>
    <w:p w:rsidR="00EE67C0" w:rsidRPr="00520549" w:rsidRDefault="00EE67C0" w:rsidP="00ED68ED">
      <w:pPr>
        <w:pStyle w:val="ListParagraph"/>
        <w:rPr>
          <w:rFonts w:ascii="Calibri" w:hAnsi="Calibri" w:cs="Arial"/>
          <w:bCs/>
        </w:rPr>
      </w:pPr>
    </w:p>
    <w:p w:rsidR="00EE67C0" w:rsidRPr="00520549" w:rsidRDefault="00EE67C0" w:rsidP="008D126B">
      <w:pPr>
        <w:numPr>
          <w:ilvl w:val="0"/>
          <w:numId w:val="13"/>
        </w:numPr>
        <w:tabs>
          <w:tab w:val="clear" w:pos="1800"/>
          <w:tab w:val="left" w:pos="1080"/>
          <w:tab w:val="num" w:pos="1440"/>
        </w:tabs>
        <w:ind w:left="1440" w:right="-29"/>
        <w:jc w:val="both"/>
        <w:rPr>
          <w:rFonts w:ascii="Calibri" w:hAnsi="Calibri" w:cs="Arial"/>
          <w:bCs/>
        </w:rPr>
      </w:pPr>
      <w:r w:rsidRPr="00520549">
        <w:rPr>
          <w:rFonts w:ascii="Calibri" w:hAnsi="Calibri" w:cs="Arial"/>
          <w:bCs/>
        </w:rPr>
        <w:t>Submission of statement of compliance (section 75(3) of the Financial Reporting Act 2004)</w:t>
      </w:r>
    </w:p>
    <w:p w:rsidR="00EE67C0" w:rsidRPr="00520549" w:rsidRDefault="00EE67C0" w:rsidP="00ED68ED">
      <w:pPr>
        <w:tabs>
          <w:tab w:val="left" w:pos="810"/>
          <w:tab w:val="left" w:pos="1080"/>
        </w:tabs>
        <w:ind w:left="1350" w:right="-29"/>
        <w:jc w:val="both"/>
        <w:rPr>
          <w:rFonts w:ascii="Calibri" w:hAnsi="Calibri" w:cs="Arial"/>
          <w:b/>
          <w:bCs/>
        </w:rPr>
      </w:pPr>
    </w:p>
    <w:p w:rsidR="00EE67C0" w:rsidRPr="00431CD3" w:rsidRDefault="00EE67C0" w:rsidP="00BC15F9">
      <w:pPr>
        <w:jc w:val="both"/>
        <w:rPr>
          <w:rFonts w:ascii="Calibri" w:hAnsi="Calibri" w:cs="Arial"/>
          <w:b/>
          <w:color w:val="0000FF"/>
          <w:sz w:val="28"/>
          <w:szCs w:val="28"/>
        </w:rPr>
      </w:pPr>
      <w:bookmarkStart w:id="18" w:name="_Hlk395610623"/>
      <w:r w:rsidRPr="00431CD3">
        <w:rPr>
          <w:rFonts w:ascii="Calibri" w:hAnsi="Calibri" w:cs="Arial"/>
          <w:b/>
          <w:color w:val="0000FF"/>
          <w:sz w:val="28"/>
          <w:szCs w:val="28"/>
        </w:rPr>
        <w:t>PART C</w:t>
      </w:r>
      <w:bookmarkStart w:id="19" w:name="Status"/>
      <w:r w:rsidRPr="00431CD3">
        <w:rPr>
          <w:rFonts w:ascii="Calibri" w:hAnsi="Calibri" w:cs="Arial"/>
          <w:b/>
          <w:color w:val="0000FF"/>
          <w:sz w:val="28"/>
          <w:szCs w:val="28"/>
        </w:rPr>
        <w:t xml:space="preserve"> - Grading of Annual Report Reviews </w:t>
      </w:r>
    </w:p>
    <w:bookmarkEnd w:id="18"/>
    <w:p w:rsidR="00EE67C0" w:rsidRPr="00475BD5" w:rsidRDefault="00EE67C0" w:rsidP="00E729C5">
      <w:pPr>
        <w:jc w:val="both"/>
        <w:rPr>
          <w:rFonts w:ascii="Calibri" w:hAnsi="Calibri" w:cs="Arial"/>
          <w:highlight w:val="cyan"/>
          <w:lang w:val="en-GB"/>
        </w:rPr>
      </w:pPr>
    </w:p>
    <w:p w:rsidR="00EE67C0" w:rsidRPr="009E7116" w:rsidRDefault="00EE67C0" w:rsidP="0059593A">
      <w:pPr>
        <w:jc w:val="both"/>
        <w:rPr>
          <w:rFonts w:ascii="Calibri" w:hAnsi="Calibri" w:cs="Arial"/>
          <w:lang w:val="en-GB"/>
        </w:rPr>
      </w:pPr>
      <w:r w:rsidRPr="009E7116">
        <w:rPr>
          <w:rFonts w:ascii="Calibri" w:hAnsi="Calibri" w:cs="Arial"/>
          <w:lang w:val="en-GB"/>
        </w:rPr>
        <w:t xml:space="preserve">FRC had graded the quality of the 99 annual reports reviewed (56 full reviews and 43 follow up reviews) for the six months ended 31 December 2014. </w:t>
      </w:r>
    </w:p>
    <w:p w:rsidR="00EE67C0" w:rsidRPr="00475BD5" w:rsidRDefault="00EE67C0" w:rsidP="0059593A">
      <w:pPr>
        <w:jc w:val="both"/>
        <w:rPr>
          <w:rFonts w:ascii="Calibri" w:hAnsi="Calibri" w:cs="Arial"/>
          <w:highlight w:val="cyan"/>
          <w:lang w:val="en-GB"/>
        </w:rPr>
      </w:pPr>
    </w:p>
    <w:p w:rsidR="00EE67C0" w:rsidRPr="00431CD3" w:rsidRDefault="00EE67C0" w:rsidP="0059593A">
      <w:pPr>
        <w:jc w:val="both"/>
        <w:rPr>
          <w:rFonts w:ascii="Calibri" w:hAnsi="Calibri" w:cs="Arial"/>
          <w:lang w:val="en-GB"/>
        </w:rPr>
      </w:pPr>
      <w:r w:rsidRPr="00431CD3">
        <w:rPr>
          <w:rFonts w:ascii="Calibri" w:hAnsi="Calibri" w:cs="Arial"/>
          <w:lang w:val="en-GB"/>
        </w:rPr>
        <w:t>The grading allocated to the PIEs was based on the following four levels:</w:t>
      </w:r>
    </w:p>
    <w:p w:rsidR="00EE67C0" w:rsidRPr="00431CD3" w:rsidRDefault="00EE67C0" w:rsidP="0059593A">
      <w:pPr>
        <w:jc w:val="both"/>
        <w:rPr>
          <w:rFonts w:ascii="Calibri" w:hAnsi="Calibri" w:cs="Arial"/>
          <w:lang w:val="en-GB"/>
        </w:rPr>
      </w:pPr>
    </w:p>
    <w:p w:rsidR="00EE67C0" w:rsidRPr="00431CD3" w:rsidRDefault="00EE67C0" w:rsidP="0059593A">
      <w:pPr>
        <w:jc w:val="both"/>
        <w:rPr>
          <w:rFonts w:ascii="Calibri" w:hAnsi="Calibri" w:cs="Arial"/>
          <w:lang w:val="en-GB"/>
        </w:rPr>
      </w:pPr>
      <w:r w:rsidRPr="00431CD3">
        <w:rPr>
          <w:rFonts w:ascii="Calibri" w:hAnsi="Calibri" w:cs="Arial"/>
          <w:lang w:val="en-GB"/>
        </w:rPr>
        <w:t>•</w:t>
      </w:r>
      <w:r w:rsidRPr="00431CD3">
        <w:rPr>
          <w:rFonts w:ascii="Calibri" w:hAnsi="Calibri" w:cs="Arial"/>
          <w:lang w:val="en-GB"/>
        </w:rPr>
        <w:tab/>
        <w:t>Good (Grade 1)</w:t>
      </w:r>
    </w:p>
    <w:p w:rsidR="00EE67C0" w:rsidRPr="00431CD3" w:rsidRDefault="00EE67C0" w:rsidP="0059593A">
      <w:pPr>
        <w:jc w:val="both"/>
        <w:rPr>
          <w:rFonts w:ascii="Calibri" w:hAnsi="Calibri" w:cs="Arial"/>
          <w:lang w:val="en-GB"/>
        </w:rPr>
      </w:pPr>
      <w:r w:rsidRPr="00431CD3">
        <w:rPr>
          <w:rFonts w:ascii="Calibri" w:hAnsi="Calibri" w:cs="Arial"/>
          <w:lang w:val="en-GB"/>
        </w:rPr>
        <w:t>•</w:t>
      </w:r>
      <w:r w:rsidRPr="00431CD3">
        <w:rPr>
          <w:rFonts w:ascii="Calibri" w:hAnsi="Calibri" w:cs="Arial"/>
          <w:lang w:val="en-GB"/>
        </w:rPr>
        <w:tab/>
        <w:t>Acceptable with limited improvements required (Grade 2A)</w:t>
      </w:r>
    </w:p>
    <w:p w:rsidR="00EE67C0" w:rsidRPr="00431CD3" w:rsidRDefault="00EE67C0" w:rsidP="0059593A">
      <w:pPr>
        <w:jc w:val="both"/>
        <w:rPr>
          <w:rFonts w:ascii="Calibri" w:hAnsi="Calibri" w:cs="Arial"/>
          <w:lang w:val="en-GB"/>
        </w:rPr>
      </w:pPr>
      <w:r w:rsidRPr="00431CD3">
        <w:rPr>
          <w:rFonts w:ascii="Calibri" w:hAnsi="Calibri" w:cs="Arial"/>
          <w:lang w:val="en-GB"/>
        </w:rPr>
        <w:t>•</w:t>
      </w:r>
      <w:r w:rsidRPr="00431CD3">
        <w:rPr>
          <w:rFonts w:ascii="Calibri" w:hAnsi="Calibri" w:cs="Arial"/>
          <w:lang w:val="en-GB"/>
        </w:rPr>
        <w:tab/>
        <w:t>Acceptable overall with improvements required (Grade 2B)</w:t>
      </w:r>
    </w:p>
    <w:p w:rsidR="00EE67C0" w:rsidRPr="00431CD3" w:rsidRDefault="00EE67C0" w:rsidP="0059593A">
      <w:pPr>
        <w:jc w:val="both"/>
        <w:rPr>
          <w:rFonts w:ascii="Calibri" w:hAnsi="Calibri" w:cs="Arial"/>
          <w:lang w:val="en-GB"/>
        </w:rPr>
      </w:pPr>
      <w:r w:rsidRPr="00431CD3">
        <w:rPr>
          <w:rFonts w:ascii="Calibri" w:hAnsi="Calibri" w:cs="Arial"/>
          <w:lang w:val="en-GB"/>
        </w:rPr>
        <w:t>•</w:t>
      </w:r>
      <w:r w:rsidRPr="00431CD3">
        <w:rPr>
          <w:rFonts w:ascii="Calibri" w:hAnsi="Calibri" w:cs="Arial"/>
          <w:lang w:val="en-GB"/>
        </w:rPr>
        <w:tab/>
        <w:t>Significant improvements required (Grade 3)</w:t>
      </w:r>
    </w:p>
    <w:p w:rsidR="00EE67C0" w:rsidRPr="00431CD3" w:rsidRDefault="00EE67C0" w:rsidP="0059593A">
      <w:pPr>
        <w:jc w:val="both"/>
        <w:rPr>
          <w:rFonts w:ascii="Calibri" w:hAnsi="Calibri" w:cs="Arial"/>
          <w:lang w:val="en-GB"/>
        </w:rPr>
      </w:pPr>
    </w:p>
    <w:p w:rsidR="00EE67C0" w:rsidRPr="00431CD3" w:rsidRDefault="00EE67C0" w:rsidP="0059593A">
      <w:pPr>
        <w:jc w:val="both"/>
        <w:rPr>
          <w:rFonts w:ascii="Calibri" w:hAnsi="Calibri" w:cs="Arial"/>
          <w:lang w:val="en-GB"/>
        </w:rPr>
      </w:pPr>
      <w:r w:rsidRPr="00431CD3">
        <w:rPr>
          <w:rFonts w:ascii="Calibri" w:hAnsi="Calibri" w:cs="Arial"/>
          <w:lang w:val="en-GB"/>
        </w:rPr>
        <w:t>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others. This would highlight areas in which there is room for improvement and helps drive quality reporting.</w:t>
      </w:r>
    </w:p>
    <w:p w:rsidR="00EE67C0" w:rsidRPr="00851F93" w:rsidRDefault="00EE67C0" w:rsidP="0059593A">
      <w:pPr>
        <w:jc w:val="both"/>
        <w:rPr>
          <w:rFonts w:ascii="Calibri" w:hAnsi="Calibri" w:cs="Arial"/>
          <w:sz w:val="16"/>
          <w:highlight w:val="cyan"/>
          <w:lang w:val="en-GB"/>
        </w:rPr>
      </w:pPr>
    </w:p>
    <w:p w:rsidR="00EE67C0" w:rsidRPr="00017841" w:rsidRDefault="00EE67C0" w:rsidP="0059593A">
      <w:pPr>
        <w:jc w:val="both"/>
        <w:rPr>
          <w:rFonts w:ascii="Calibri" w:hAnsi="Calibri" w:cs="Arial"/>
          <w:lang w:val="en-GB"/>
        </w:rPr>
      </w:pPr>
      <w:r w:rsidRPr="00017841">
        <w:rPr>
          <w:rFonts w:ascii="Calibri" w:hAnsi="Calibri" w:cs="Arial"/>
          <w:lang w:val="en-GB"/>
        </w:rPr>
        <w:t xml:space="preserve">FRC noted that 13 PIEs had received a grade of 1, 49 PIEs a grade of 2A while </w:t>
      </w:r>
      <w:r>
        <w:rPr>
          <w:rFonts w:ascii="Calibri" w:hAnsi="Calibri" w:cs="Arial"/>
          <w:lang w:val="en-GB"/>
        </w:rPr>
        <w:t>36</w:t>
      </w:r>
      <w:r w:rsidRPr="00017841">
        <w:rPr>
          <w:rFonts w:ascii="Calibri" w:hAnsi="Calibri" w:cs="Arial"/>
          <w:lang w:val="en-GB"/>
        </w:rPr>
        <w:t xml:space="preserve"> PIEs had obtained grade 2B.  </w:t>
      </w:r>
      <w:r>
        <w:rPr>
          <w:rFonts w:ascii="Calibri" w:hAnsi="Calibri" w:cs="Arial"/>
          <w:lang w:val="en-GB"/>
        </w:rPr>
        <w:t xml:space="preserve">Only 1 PIE had received a grade of 3. </w:t>
      </w:r>
      <w:r w:rsidRPr="00017841">
        <w:rPr>
          <w:rFonts w:ascii="Calibri" w:hAnsi="Calibri" w:cs="Arial"/>
          <w:lang w:val="en-GB"/>
        </w:rPr>
        <w:t xml:space="preserve">Those with grade 2A have no significant non-compliances whilst those having grade 2B had various non-compliances. </w:t>
      </w:r>
    </w:p>
    <w:p w:rsidR="00EE67C0" w:rsidRDefault="00EE67C0" w:rsidP="00E03007">
      <w:pPr>
        <w:jc w:val="both"/>
        <w:rPr>
          <w:rFonts w:ascii="Calibri" w:hAnsi="Calibri" w:cs="Arial"/>
          <w:sz w:val="18"/>
          <w:lang w:val="en-GB"/>
        </w:rPr>
      </w:pPr>
    </w:p>
    <w:p w:rsidR="00EE67C0" w:rsidRPr="000C2D79" w:rsidRDefault="00EE67C0" w:rsidP="00E03007">
      <w:pPr>
        <w:jc w:val="both"/>
        <w:rPr>
          <w:rFonts w:ascii="Calibri" w:hAnsi="Calibri" w:cs="Arial"/>
          <w:lang w:val="en-GB"/>
        </w:rPr>
      </w:pPr>
      <w:r w:rsidRPr="000C2D79">
        <w:rPr>
          <w:rFonts w:ascii="Calibri" w:hAnsi="Calibri" w:cs="Arial"/>
          <w:lang w:val="en-GB"/>
        </w:rPr>
        <w:t>The table below shows an analysis of the grading obtained by types of PIEs.</w:t>
      </w:r>
    </w:p>
    <w:p w:rsidR="00EE67C0" w:rsidRPr="00475BD5" w:rsidRDefault="00EE67C0" w:rsidP="00BC15F9">
      <w:pPr>
        <w:jc w:val="both"/>
        <w:rPr>
          <w:rFonts w:ascii="Calibri" w:hAnsi="Calibri" w:cs="Arial"/>
          <w:highlight w:val="cyan"/>
          <w:lang w:val="en-GB"/>
        </w:rPr>
      </w:pPr>
    </w:p>
    <w:tbl>
      <w:tblPr>
        <w:tblW w:w="7992" w:type="dxa"/>
        <w:tblInd w:w="80" w:type="dxa"/>
        <w:tblLayout w:type="fixed"/>
        <w:tblLook w:val="0000"/>
      </w:tblPr>
      <w:tblGrid>
        <w:gridCol w:w="2052"/>
        <w:gridCol w:w="720"/>
        <w:gridCol w:w="720"/>
        <w:gridCol w:w="720"/>
        <w:gridCol w:w="630"/>
        <w:gridCol w:w="630"/>
        <w:gridCol w:w="630"/>
        <w:gridCol w:w="630"/>
        <w:gridCol w:w="630"/>
        <w:gridCol w:w="630"/>
      </w:tblGrid>
      <w:tr w:rsidR="00EE67C0" w:rsidRPr="00475BD5" w:rsidTr="002B7519">
        <w:trPr>
          <w:trHeight w:val="270"/>
        </w:trPr>
        <w:tc>
          <w:tcPr>
            <w:tcW w:w="2052" w:type="dxa"/>
            <w:vMerge w:val="restart"/>
            <w:tcBorders>
              <w:top w:val="single" w:sz="8" w:space="0" w:color="auto"/>
              <w:left w:val="single" w:sz="8" w:space="0" w:color="auto"/>
              <w:bottom w:val="single" w:sz="8" w:space="0" w:color="000000"/>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Types of PIEs</w:t>
            </w:r>
          </w:p>
        </w:tc>
        <w:tc>
          <w:tcPr>
            <w:tcW w:w="2790" w:type="dxa"/>
            <w:gridSpan w:val="4"/>
            <w:tcBorders>
              <w:top w:val="single" w:sz="8" w:space="0" w:color="auto"/>
              <w:left w:val="nil"/>
              <w:bottom w:val="single" w:sz="8" w:space="0" w:color="auto"/>
              <w:right w:val="nil"/>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Full Review</w:t>
            </w:r>
          </w:p>
        </w:tc>
        <w:tc>
          <w:tcPr>
            <w:tcW w:w="2520" w:type="dxa"/>
            <w:gridSpan w:val="4"/>
            <w:tcBorders>
              <w:top w:val="single" w:sz="8" w:space="0" w:color="auto"/>
              <w:left w:val="single" w:sz="8" w:space="0" w:color="auto"/>
              <w:bottom w:val="single" w:sz="8" w:space="0" w:color="auto"/>
              <w:right w:val="nil"/>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Follow-up Review</w:t>
            </w:r>
          </w:p>
        </w:tc>
        <w:tc>
          <w:tcPr>
            <w:tcW w:w="630" w:type="dxa"/>
            <w:tcBorders>
              <w:top w:val="single" w:sz="8" w:space="0" w:color="auto"/>
              <w:left w:val="single" w:sz="8" w:space="0" w:color="auto"/>
              <w:bottom w:val="nil"/>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Total</w:t>
            </w:r>
          </w:p>
        </w:tc>
      </w:tr>
      <w:tr w:rsidR="00EE67C0" w:rsidRPr="00475BD5" w:rsidTr="002B7519">
        <w:trPr>
          <w:trHeight w:val="525"/>
        </w:trPr>
        <w:tc>
          <w:tcPr>
            <w:tcW w:w="2052"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EE67C0" w:rsidRPr="000C2D79" w:rsidRDefault="00EE67C0" w:rsidP="00F428CC">
            <w:pPr>
              <w:jc w:val="center"/>
              <w:rPr>
                <w:rFonts w:ascii="Calibri" w:hAnsi="Calibri" w:cs="Arial"/>
                <w:b/>
                <w:bCs/>
                <w:sz w:val="16"/>
                <w:szCs w:val="16"/>
              </w:rPr>
            </w:pPr>
          </w:p>
        </w:tc>
        <w:tc>
          <w:tcPr>
            <w:tcW w:w="720" w:type="dxa"/>
            <w:tcBorders>
              <w:top w:val="nil"/>
              <w:left w:val="nil"/>
              <w:bottom w:val="single" w:sz="8" w:space="0" w:color="auto"/>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1</w:t>
            </w:r>
          </w:p>
        </w:tc>
        <w:tc>
          <w:tcPr>
            <w:tcW w:w="720" w:type="dxa"/>
            <w:tcBorders>
              <w:top w:val="nil"/>
              <w:left w:val="nil"/>
              <w:bottom w:val="single" w:sz="8" w:space="0" w:color="auto"/>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2A</w:t>
            </w:r>
          </w:p>
        </w:tc>
        <w:tc>
          <w:tcPr>
            <w:tcW w:w="720" w:type="dxa"/>
            <w:tcBorders>
              <w:top w:val="nil"/>
              <w:left w:val="nil"/>
              <w:bottom w:val="single" w:sz="8" w:space="0" w:color="auto"/>
              <w:right w:val="single" w:sz="4"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2B</w:t>
            </w:r>
          </w:p>
        </w:tc>
        <w:tc>
          <w:tcPr>
            <w:tcW w:w="630" w:type="dxa"/>
            <w:tcBorders>
              <w:top w:val="nil"/>
              <w:left w:val="single" w:sz="4" w:space="0" w:color="auto"/>
              <w:bottom w:val="single" w:sz="8" w:space="0" w:color="auto"/>
              <w:right w:val="nil"/>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3</w:t>
            </w:r>
          </w:p>
        </w:tc>
        <w:tc>
          <w:tcPr>
            <w:tcW w:w="630" w:type="dxa"/>
            <w:tcBorders>
              <w:top w:val="nil"/>
              <w:left w:val="single" w:sz="8" w:space="0" w:color="auto"/>
              <w:bottom w:val="single" w:sz="8" w:space="0" w:color="auto"/>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1</w:t>
            </w:r>
          </w:p>
        </w:tc>
        <w:tc>
          <w:tcPr>
            <w:tcW w:w="630" w:type="dxa"/>
            <w:tcBorders>
              <w:top w:val="nil"/>
              <w:left w:val="nil"/>
              <w:bottom w:val="single" w:sz="8" w:space="0" w:color="auto"/>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2A</w:t>
            </w:r>
          </w:p>
        </w:tc>
        <w:tc>
          <w:tcPr>
            <w:tcW w:w="630" w:type="dxa"/>
            <w:tcBorders>
              <w:top w:val="nil"/>
              <w:left w:val="nil"/>
              <w:bottom w:val="single" w:sz="8" w:space="0" w:color="auto"/>
              <w:right w:val="single" w:sz="4" w:space="0" w:color="auto"/>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2B</w:t>
            </w:r>
          </w:p>
        </w:tc>
        <w:tc>
          <w:tcPr>
            <w:tcW w:w="630" w:type="dxa"/>
            <w:tcBorders>
              <w:top w:val="nil"/>
              <w:left w:val="single" w:sz="4" w:space="0" w:color="auto"/>
              <w:bottom w:val="single" w:sz="8" w:space="0" w:color="auto"/>
              <w:right w:val="nil"/>
            </w:tcBorders>
            <w:shd w:val="clear" w:color="auto" w:fill="D9D9D9"/>
          </w:tcPr>
          <w:p w:rsidR="00EE67C0" w:rsidRPr="000C2D79" w:rsidRDefault="00EE67C0" w:rsidP="00F428CC">
            <w:pPr>
              <w:jc w:val="center"/>
              <w:rPr>
                <w:rFonts w:ascii="Calibri" w:hAnsi="Calibri" w:cs="Arial"/>
                <w:b/>
                <w:bCs/>
                <w:sz w:val="16"/>
                <w:szCs w:val="16"/>
              </w:rPr>
            </w:pPr>
            <w:r w:rsidRPr="000C2D79">
              <w:rPr>
                <w:rFonts w:ascii="Calibri" w:hAnsi="Calibri" w:cs="Arial"/>
                <w:b/>
                <w:bCs/>
                <w:sz w:val="16"/>
                <w:szCs w:val="16"/>
              </w:rPr>
              <w:t>Grade 3</w:t>
            </w:r>
          </w:p>
        </w:tc>
        <w:tc>
          <w:tcPr>
            <w:tcW w:w="630" w:type="dxa"/>
            <w:tcBorders>
              <w:top w:val="nil"/>
              <w:left w:val="single" w:sz="8" w:space="0" w:color="auto"/>
              <w:bottom w:val="single" w:sz="8" w:space="0" w:color="auto"/>
              <w:right w:val="single" w:sz="8" w:space="0" w:color="auto"/>
            </w:tcBorders>
            <w:shd w:val="clear" w:color="auto" w:fill="D9D9D9"/>
          </w:tcPr>
          <w:p w:rsidR="00EE67C0" w:rsidRPr="000C2D79" w:rsidRDefault="00EE67C0" w:rsidP="00F428CC">
            <w:pPr>
              <w:jc w:val="center"/>
              <w:rPr>
                <w:rFonts w:ascii="Calibri" w:hAnsi="Calibri" w:cs="Arial"/>
                <w:b/>
                <w:bCs/>
                <w:sz w:val="16"/>
                <w:szCs w:val="16"/>
              </w:rPr>
            </w:pPr>
          </w:p>
        </w:tc>
      </w:tr>
      <w:tr w:rsidR="00EE67C0" w:rsidRPr="00475BD5" w:rsidTr="002B7519">
        <w:trPr>
          <w:trHeight w:val="285"/>
        </w:trPr>
        <w:tc>
          <w:tcPr>
            <w:tcW w:w="2052" w:type="dxa"/>
            <w:tcBorders>
              <w:top w:val="nil"/>
              <w:left w:val="single" w:sz="8" w:space="0" w:color="auto"/>
              <w:bottom w:val="single" w:sz="8" w:space="0" w:color="auto"/>
              <w:right w:val="single" w:sz="8" w:space="0" w:color="auto"/>
            </w:tcBorders>
          </w:tcPr>
          <w:p w:rsidR="00EE67C0" w:rsidRPr="000C2D79" w:rsidRDefault="00EE67C0" w:rsidP="00BC15F9">
            <w:pPr>
              <w:jc w:val="both"/>
              <w:rPr>
                <w:rFonts w:ascii="Calibri" w:hAnsi="Calibri" w:cs="Arial"/>
                <w:sz w:val="18"/>
                <w:szCs w:val="18"/>
              </w:rPr>
            </w:pPr>
            <w:r w:rsidRPr="000C2D79">
              <w:rPr>
                <w:rFonts w:ascii="Calibri" w:hAnsi="Calibri" w:cs="Arial"/>
                <w:sz w:val="18"/>
                <w:szCs w:val="18"/>
              </w:rPr>
              <w:t>Listed on SEM</w:t>
            </w:r>
          </w:p>
        </w:tc>
        <w:tc>
          <w:tcPr>
            <w:tcW w:w="72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72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6</w:t>
            </w:r>
          </w:p>
        </w:tc>
        <w:tc>
          <w:tcPr>
            <w:tcW w:w="72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sidRPr="000C2D79">
              <w:rPr>
                <w:rFonts w:ascii="Calibri" w:hAnsi="Calibri" w:cs="Arial"/>
                <w:sz w:val="18"/>
                <w:szCs w:val="18"/>
              </w:rPr>
              <w:t>4</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6</w:t>
            </w:r>
          </w:p>
        </w:tc>
        <w:tc>
          <w:tcPr>
            <w:tcW w:w="63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18</w:t>
            </w:r>
          </w:p>
        </w:tc>
      </w:tr>
      <w:tr w:rsidR="00EE67C0" w:rsidRPr="00475BD5" w:rsidTr="002B7519">
        <w:trPr>
          <w:trHeight w:val="825"/>
        </w:trPr>
        <w:tc>
          <w:tcPr>
            <w:tcW w:w="2052" w:type="dxa"/>
            <w:tcBorders>
              <w:top w:val="nil"/>
              <w:left w:val="single" w:sz="8" w:space="0" w:color="auto"/>
              <w:bottom w:val="single" w:sz="8" w:space="0" w:color="auto"/>
              <w:right w:val="single" w:sz="8" w:space="0" w:color="auto"/>
            </w:tcBorders>
          </w:tcPr>
          <w:p w:rsidR="00EE67C0" w:rsidRPr="000C2D79" w:rsidRDefault="00EE67C0" w:rsidP="00BC15F9">
            <w:pPr>
              <w:jc w:val="both"/>
              <w:rPr>
                <w:rFonts w:ascii="Calibri" w:hAnsi="Calibri" w:cs="Arial"/>
                <w:sz w:val="18"/>
                <w:szCs w:val="18"/>
              </w:rPr>
            </w:pPr>
            <w:r w:rsidRPr="000C2D79">
              <w:rPr>
                <w:rFonts w:ascii="Calibri" w:hAnsi="Calibri" w:cs="Arial"/>
                <w:sz w:val="18"/>
                <w:szCs w:val="18"/>
              </w:rPr>
              <w:t>Financial institutions regulated by BOM (excluding cash dealers)</w:t>
            </w:r>
          </w:p>
        </w:tc>
        <w:tc>
          <w:tcPr>
            <w:tcW w:w="72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72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2</w:t>
            </w:r>
          </w:p>
        </w:tc>
        <w:tc>
          <w:tcPr>
            <w:tcW w:w="72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w:t>
            </w:r>
          </w:p>
        </w:tc>
        <w:tc>
          <w:tcPr>
            <w:tcW w:w="63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4</w:t>
            </w:r>
          </w:p>
        </w:tc>
      </w:tr>
      <w:tr w:rsidR="00EE67C0" w:rsidRPr="00475BD5" w:rsidTr="002B7519">
        <w:trPr>
          <w:trHeight w:val="555"/>
        </w:trPr>
        <w:tc>
          <w:tcPr>
            <w:tcW w:w="2052" w:type="dxa"/>
            <w:tcBorders>
              <w:top w:val="nil"/>
              <w:left w:val="single" w:sz="8" w:space="0" w:color="auto"/>
              <w:bottom w:val="single" w:sz="8" w:space="0" w:color="auto"/>
              <w:right w:val="single" w:sz="8" w:space="0" w:color="auto"/>
            </w:tcBorders>
          </w:tcPr>
          <w:p w:rsidR="00EE67C0" w:rsidRPr="000C2D79" w:rsidRDefault="00EE67C0" w:rsidP="00BC15F9">
            <w:pPr>
              <w:jc w:val="both"/>
              <w:rPr>
                <w:rFonts w:ascii="Calibri" w:hAnsi="Calibri" w:cs="Arial"/>
                <w:sz w:val="18"/>
                <w:szCs w:val="18"/>
              </w:rPr>
            </w:pPr>
            <w:r w:rsidRPr="000C2D79">
              <w:rPr>
                <w:rFonts w:ascii="Calibri" w:hAnsi="Calibri" w:cs="Arial"/>
                <w:sz w:val="18"/>
                <w:szCs w:val="18"/>
              </w:rPr>
              <w:t>Financial institutions regulated by FSC</w:t>
            </w:r>
          </w:p>
        </w:tc>
        <w:tc>
          <w:tcPr>
            <w:tcW w:w="72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sz w:val="18"/>
                <w:szCs w:val="18"/>
              </w:rPr>
            </w:pPr>
            <w:r w:rsidRPr="00494DE1">
              <w:rPr>
                <w:rFonts w:ascii="Calibri" w:hAnsi="Calibri" w:cs="Arial"/>
                <w:sz w:val="18"/>
                <w:szCs w:val="18"/>
              </w:rPr>
              <w:t>-</w:t>
            </w:r>
          </w:p>
        </w:tc>
        <w:tc>
          <w:tcPr>
            <w:tcW w:w="72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sz w:val="18"/>
                <w:szCs w:val="18"/>
              </w:rPr>
            </w:pPr>
            <w:r w:rsidRPr="00494DE1">
              <w:rPr>
                <w:rFonts w:ascii="Calibri" w:hAnsi="Calibri" w:cs="Arial"/>
                <w:sz w:val="18"/>
                <w:szCs w:val="18"/>
              </w:rPr>
              <w:t>2</w:t>
            </w:r>
          </w:p>
        </w:tc>
        <w:tc>
          <w:tcPr>
            <w:tcW w:w="720" w:type="dxa"/>
            <w:tcBorders>
              <w:top w:val="nil"/>
              <w:left w:val="nil"/>
              <w:bottom w:val="single" w:sz="8" w:space="0" w:color="auto"/>
              <w:right w:val="single" w:sz="4" w:space="0" w:color="auto"/>
            </w:tcBorders>
          </w:tcPr>
          <w:p w:rsidR="00EE67C0" w:rsidRPr="00494DE1" w:rsidRDefault="00EE67C0" w:rsidP="00F428CC">
            <w:pPr>
              <w:jc w:val="center"/>
              <w:rPr>
                <w:rFonts w:ascii="Calibri" w:hAnsi="Calibri" w:cs="Arial"/>
                <w:sz w:val="18"/>
                <w:szCs w:val="18"/>
              </w:rPr>
            </w:pPr>
            <w:r w:rsidRPr="00494DE1">
              <w:rPr>
                <w:rFonts w:ascii="Calibri" w:hAnsi="Calibri" w:cs="Arial"/>
                <w:sz w:val="18"/>
                <w:szCs w:val="18"/>
              </w:rPr>
              <w:t>3</w:t>
            </w:r>
          </w:p>
        </w:tc>
        <w:tc>
          <w:tcPr>
            <w:tcW w:w="630" w:type="dxa"/>
            <w:tcBorders>
              <w:top w:val="nil"/>
              <w:left w:val="single" w:sz="4" w:space="0" w:color="auto"/>
              <w:bottom w:val="single" w:sz="8" w:space="0" w:color="auto"/>
              <w:right w:val="single" w:sz="8" w:space="0" w:color="auto"/>
            </w:tcBorders>
          </w:tcPr>
          <w:p w:rsidR="00EE67C0" w:rsidRPr="00494DE1" w:rsidRDefault="00EE67C0" w:rsidP="00F428CC">
            <w:pPr>
              <w:jc w:val="center"/>
              <w:rPr>
                <w:rFonts w:ascii="Calibri" w:hAnsi="Calibri" w:cs="Arial"/>
                <w:sz w:val="18"/>
                <w:szCs w:val="18"/>
              </w:rPr>
            </w:pPr>
            <w:r w:rsidRPr="00494DE1">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9</w:t>
            </w:r>
          </w:p>
        </w:tc>
        <w:tc>
          <w:tcPr>
            <w:tcW w:w="63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3</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17</w:t>
            </w:r>
          </w:p>
        </w:tc>
      </w:tr>
      <w:tr w:rsidR="00EE67C0" w:rsidRPr="00475BD5" w:rsidTr="002B7519">
        <w:trPr>
          <w:trHeight w:val="285"/>
        </w:trPr>
        <w:tc>
          <w:tcPr>
            <w:tcW w:w="2052" w:type="dxa"/>
            <w:tcBorders>
              <w:top w:val="nil"/>
              <w:left w:val="single" w:sz="8" w:space="0" w:color="auto"/>
              <w:bottom w:val="single" w:sz="8" w:space="0" w:color="auto"/>
              <w:right w:val="single" w:sz="8" w:space="0" w:color="auto"/>
            </w:tcBorders>
          </w:tcPr>
          <w:p w:rsidR="00EE67C0" w:rsidRPr="000C2D79" w:rsidRDefault="00EE67C0" w:rsidP="00BC15F9">
            <w:pPr>
              <w:jc w:val="both"/>
              <w:rPr>
                <w:rFonts w:ascii="Calibri" w:hAnsi="Calibri" w:cs="Arial"/>
                <w:sz w:val="18"/>
                <w:szCs w:val="18"/>
              </w:rPr>
            </w:pPr>
            <w:r w:rsidRPr="004F6F5A">
              <w:rPr>
                <w:rFonts w:ascii="Calibri" w:hAnsi="Calibri" w:cs="Arial"/>
                <w:sz w:val="18"/>
                <w:szCs w:val="18"/>
              </w:rPr>
              <w:t>Category 4 PIEs as per the FRA</w:t>
            </w:r>
            <w:bookmarkStart w:id="20" w:name="_GoBack"/>
            <w:bookmarkEnd w:id="20"/>
          </w:p>
        </w:tc>
        <w:tc>
          <w:tcPr>
            <w:tcW w:w="72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2</w:t>
            </w:r>
          </w:p>
        </w:tc>
        <w:tc>
          <w:tcPr>
            <w:tcW w:w="72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13</w:t>
            </w:r>
          </w:p>
        </w:tc>
        <w:tc>
          <w:tcPr>
            <w:tcW w:w="72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26</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7</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10</w:t>
            </w:r>
          </w:p>
        </w:tc>
        <w:tc>
          <w:tcPr>
            <w:tcW w:w="630" w:type="dxa"/>
            <w:tcBorders>
              <w:top w:val="nil"/>
              <w:left w:val="nil"/>
              <w:bottom w:val="single" w:sz="8" w:space="0" w:color="auto"/>
              <w:right w:val="single" w:sz="4"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w:t>
            </w:r>
          </w:p>
        </w:tc>
        <w:tc>
          <w:tcPr>
            <w:tcW w:w="630" w:type="dxa"/>
            <w:tcBorders>
              <w:top w:val="nil"/>
              <w:left w:val="single" w:sz="4" w:space="0" w:color="auto"/>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1</w:t>
            </w:r>
          </w:p>
        </w:tc>
        <w:tc>
          <w:tcPr>
            <w:tcW w:w="630" w:type="dxa"/>
            <w:tcBorders>
              <w:top w:val="nil"/>
              <w:left w:val="nil"/>
              <w:bottom w:val="single" w:sz="8" w:space="0" w:color="auto"/>
              <w:right w:val="single" w:sz="8" w:space="0" w:color="auto"/>
            </w:tcBorders>
          </w:tcPr>
          <w:p w:rsidR="00EE67C0" w:rsidRPr="000C2D79" w:rsidRDefault="00EE67C0" w:rsidP="00F428CC">
            <w:pPr>
              <w:jc w:val="center"/>
              <w:rPr>
                <w:rFonts w:ascii="Calibri" w:hAnsi="Calibri" w:cs="Arial"/>
                <w:sz w:val="18"/>
                <w:szCs w:val="18"/>
              </w:rPr>
            </w:pPr>
            <w:r>
              <w:rPr>
                <w:rFonts w:ascii="Calibri" w:hAnsi="Calibri" w:cs="Arial"/>
                <w:sz w:val="18"/>
                <w:szCs w:val="18"/>
              </w:rPr>
              <w:t>60</w:t>
            </w:r>
          </w:p>
        </w:tc>
      </w:tr>
      <w:tr w:rsidR="00EE67C0" w:rsidRPr="00475BD5" w:rsidTr="002B7519">
        <w:trPr>
          <w:trHeight w:val="315"/>
        </w:trPr>
        <w:tc>
          <w:tcPr>
            <w:tcW w:w="2052" w:type="dxa"/>
            <w:tcBorders>
              <w:top w:val="nil"/>
              <w:left w:val="single" w:sz="8" w:space="0" w:color="auto"/>
              <w:bottom w:val="single" w:sz="8" w:space="0" w:color="auto"/>
              <w:right w:val="single" w:sz="8" w:space="0" w:color="auto"/>
            </w:tcBorders>
            <w:vAlign w:val="bottom"/>
          </w:tcPr>
          <w:p w:rsidR="00EE67C0" w:rsidRPr="000C2D79" w:rsidRDefault="00EE67C0" w:rsidP="00BC15F9">
            <w:pPr>
              <w:jc w:val="both"/>
              <w:rPr>
                <w:rFonts w:ascii="Calibri" w:hAnsi="Calibri" w:cs="Arial"/>
                <w:b/>
                <w:bCs/>
                <w:sz w:val="18"/>
                <w:szCs w:val="18"/>
              </w:rPr>
            </w:pPr>
            <w:r w:rsidRPr="000C2D79">
              <w:rPr>
                <w:rFonts w:ascii="Calibri" w:hAnsi="Calibri" w:cs="Arial"/>
                <w:b/>
                <w:bCs/>
                <w:sz w:val="18"/>
                <w:szCs w:val="18"/>
              </w:rPr>
              <w:t>Total</w:t>
            </w:r>
          </w:p>
        </w:tc>
        <w:tc>
          <w:tcPr>
            <w:tcW w:w="72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2</w:t>
            </w:r>
          </w:p>
        </w:tc>
        <w:tc>
          <w:tcPr>
            <w:tcW w:w="72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23</w:t>
            </w:r>
          </w:p>
        </w:tc>
        <w:tc>
          <w:tcPr>
            <w:tcW w:w="720" w:type="dxa"/>
            <w:tcBorders>
              <w:top w:val="nil"/>
              <w:left w:val="nil"/>
              <w:bottom w:val="single" w:sz="8" w:space="0" w:color="auto"/>
              <w:right w:val="single" w:sz="4"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31</w:t>
            </w:r>
          </w:p>
        </w:tc>
        <w:tc>
          <w:tcPr>
            <w:tcW w:w="630" w:type="dxa"/>
            <w:tcBorders>
              <w:top w:val="nil"/>
              <w:left w:val="single" w:sz="4" w:space="0" w:color="auto"/>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w:t>
            </w:r>
          </w:p>
        </w:tc>
        <w:tc>
          <w:tcPr>
            <w:tcW w:w="63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11</w:t>
            </w:r>
          </w:p>
        </w:tc>
        <w:tc>
          <w:tcPr>
            <w:tcW w:w="63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26</w:t>
            </w:r>
          </w:p>
        </w:tc>
        <w:tc>
          <w:tcPr>
            <w:tcW w:w="630" w:type="dxa"/>
            <w:tcBorders>
              <w:top w:val="nil"/>
              <w:left w:val="nil"/>
              <w:bottom w:val="single" w:sz="8" w:space="0" w:color="auto"/>
              <w:right w:val="single" w:sz="4"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5</w:t>
            </w:r>
          </w:p>
        </w:tc>
        <w:tc>
          <w:tcPr>
            <w:tcW w:w="630" w:type="dxa"/>
            <w:tcBorders>
              <w:top w:val="nil"/>
              <w:left w:val="single" w:sz="4" w:space="0" w:color="auto"/>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1</w:t>
            </w:r>
          </w:p>
        </w:tc>
        <w:tc>
          <w:tcPr>
            <w:tcW w:w="630" w:type="dxa"/>
            <w:tcBorders>
              <w:top w:val="nil"/>
              <w:left w:val="nil"/>
              <w:bottom w:val="single" w:sz="8" w:space="0" w:color="auto"/>
              <w:right w:val="single" w:sz="8" w:space="0" w:color="auto"/>
            </w:tcBorders>
          </w:tcPr>
          <w:p w:rsidR="00EE67C0" w:rsidRPr="00494DE1" w:rsidRDefault="00EE67C0" w:rsidP="00F428CC">
            <w:pPr>
              <w:jc w:val="center"/>
              <w:rPr>
                <w:rFonts w:ascii="Calibri" w:hAnsi="Calibri" w:cs="Arial"/>
                <w:b/>
                <w:sz w:val="18"/>
                <w:szCs w:val="18"/>
              </w:rPr>
            </w:pPr>
            <w:r w:rsidRPr="00494DE1">
              <w:rPr>
                <w:rFonts w:ascii="Calibri" w:hAnsi="Calibri" w:cs="Arial"/>
                <w:b/>
                <w:sz w:val="18"/>
                <w:szCs w:val="18"/>
              </w:rPr>
              <w:t>99</w:t>
            </w:r>
          </w:p>
        </w:tc>
      </w:tr>
    </w:tbl>
    <w:p w:rsidR="00EE67C0" w:rsidRDefault="00EE67C0" w:rsidP="00F72D2C">
      <w:pPr>
        <w:jc w:val="both"/>
        <w:rPr>
          <w:rFonts w:ascii="Calibri" w:hAnsi="Calibri"/>
        </w:rPr>
      </w:pPr>
      <w:bookmarkStart w:id="21" w:name="_Hlk395610793"/>
    </w:p>
    <w:p w:rsidR="00EE67C0" w:rsidRDefault="00EE67C0" w:rsidP="00F72D2C">
      <w:pPr>
        <w:jc w:val="both"/>
        <w:rPr>
          <w:rFonts w:ascii="Calibri" w:hAnsi="Calibri"/>
        </w:rPr>
      </w:pPr>
      <w:r w:rsidRPr="00FD57FB">
        <w:rPr>
          <w:rFonts w:ascii="Calibri" w:hAnsi="Calibri"/>
        </w:rPr>
        <w:t xml:space="preserve">With respect to the grading of the </w:t>
      </w:r>
      <w:r>
        <w:rPr>
          <w:rFonts w:ascii="Calibri" w:hAnsi="Calibri"/>
        </w:rPr>
        <w:t>43</w:t>
      </w:r>
      <w:r w:rsidRPr="00FD57FB">
        <w:rPr>
          <w:rFonts w:ascii="Calibri" w:hAnsi="Calibri"/>
        </w:rPr>
        <w:t xml:space="preserve"> PIEs for which </w:t>
      </w:r>
      <w:r w:rsidRPr="00112D86">
        <w:rPr>
          <w:rFonts w:ascii="Calibri" w:hAnsi="Calibri"/>
          <w:u w:val="single"/>
        </w:rPr>
        <w:t>follow up reviews</w:t>
      </w:r>
      <w:r w:rsidRPr="00FD57FB">
        <w:rPr>
          <w:rFonts w:ascii="Calibri" w:hAnsi="Calibri"/>
        </w:rPr>
        <w:t xml:space="preserve"> were conducted, </w:t>
      </w:r>
      <w:r>
        <w:rPr>
          <w:rFonts w:ascii="Calibri" w:hAnsi="Calibri"/>
        </w:rPr>
        <w:t>FRC observed the following:</w:t>
      </w:r>
    </w:p>
    <w:p w:rsidR="00EE67C0" w:rsidRPr="00FD57FB" w:rsidRDefault="00EE67C0" w:rsidP="00F72D2C">
      <w:pPr>
        <w:jc w:val="both"/>
        <w:rPr>
          <w:rFonts w:ascii="Calibri" w:hAnsi="Calibri"/>
        </w:rPr>
      </w:pPr>
    </w:p>
    <w:p w:rsidR="00EE67C0" w:rsidRDefault="00EE67C0" w:rsidP="008D126B">
      <w:pPr>
        <w:numPr>
          <w:ilvl w:val="0"/>
          <w:numId w:val="32"/>
        </w:numPr>
        <w:jc w:val="both"/>
        <w:rPr>
          <w:rFonts w:ascii="Calibri" w:hAnsi="Calibri"/>
        </w:rPr>
      </w:pPr>
      <w:r>
        <w:rPr>
          <w:rFonts w:ascii="Calibri" w:hAnsi="Calibri"/>
        </w:rPr>
        <w:t xml:space="preserve">21 </w:t>
      </w:r>
      <w:r w:rsidRPr="00112D86">
        <w:rPr>
          <w:rFonts w:ascii="Calibri" w:hAnsi="Calibri"/>
        </w:rPr>
        <w:t xml:space="preserve">were not previously graded as FRC’s grading system was not yet implemented. </w:t>
      </w:r>
    </w:p>
    <w:p w:rsidR="00EE67C0" w:rsidRPr="00112D86" w:rsidRDefault="00EE67C0" w:rsidP="00F61BE8">
      <w:pPr>
        <w:jc w:val="both"/>
        <w:rPr>
          <w:rFonts w:ascii="Calibri" w:hAnsi="Calibri"/>
        </w:rPr>
      </w:pPr>
    </w:p>
    <w:p w:rsidR="00EE67C0" w:rsidRPr="00F61BE8" w:rsidRDefault="00EE67C0" w:rsidP="008D126B">
      <w:pPr>
        <w:numPr>
          <w:ilvl w:val="0"/>
          <w:numId w:val="32"/>
        </w:numPr>
        <w:jc w:val="both"/>
        <w:rPr>
          <w:rFonts w:ascii="Calibri" w:hAnsi="Calibri"/>
        </w:rPr>
      </w:pPr>
      <w:r w:rsidRPr="00F61BE8">
        <w:rPr>
          <w:rFonts w:ascii="Calibri" w:hAnsi="Calibri"/>
        </w:rPr>
        <w:t>22 PIEs had received a grade 2B in their previous reviews.  Out of these 22 PIEs, the following were noted:</w:t>
      </w:r>
    </w:p>
    <w:p w:rsidR="00EE67C0" w:rsidRPr="00F61BE8" w:rsidRDefault="00EE67C0" w:rsidP="00E03007">
      <w:pPr>
        <w:jc w:val="both"/>
        <w:rPr>
          <w:rFonts w:ascii="Calibri" w:hAnsi="Calibri"/>
        </w:rPr>
      </w:pPr>
    </w:p>
    <w:p w:rsidR="00EE67C0" w:rsidRPr="00F61BE8" w:rsidRDefault="00EE67C0" w:rsidP="008D126B">
      <w:pPr>
        <w:numPr>
          <w:ilvl w:val="0"/>
          <w:numId w:val="33"/>
        </w:numPr>
        <w:jc w:val="both"/>
        <w:rPr>
          <w:rFonts w:ascii="Calibri" w:hAnsi="Calibri"/>
        </w:rPr>
      </w:pPr>
      <w:r w:rsidRPr="00F61BE8">
        <w:rPr>
          <w:rFonts w:ascii="Calibri" w:hAnsi="Calibri"/>
        </w:rPr>
        <w:t xml:space="preserve">4 PIEs is still obtaining the same grade (2B) as compared to last year; </w:t>
      </w:r>
    </w:p>
    <w:p w:rsidR="00EE67C0" w:rsidRPr="00F61BE8" w:rsidRDefault="00EE67C0" w:rsidP="008D126B">
      <w:pPr>
        <w:numPr>
          <w:ilvl w:val="0"/>
          <w:numId w:val="33"/>
        </w:numPr>
        <w:jc w:val="both"/>
        <w:rPr>
          <w:rFonts w:ascii="Calibri" w:hAnsi="Calibri"/>
        </w:rPr>
      </w:pPr>
      <w:r w:rsidRPr="00F61BE8">
        <w:rPr>
          <w:rFonts w:ascii="Calibri" w:hAnsi="Calibri"/>
        </w:rPr>
        <w:t>13 PIEs had been granted grade 2A; and</w:t>
      </w:r>
    </w:p>
    <w:p w:rsidR="00EE67C0" w:rsidRPr="00F61BE8" w:rsidRDefault="00EE67C0" w:rsidP="008D126B">
      <w:pPr>
        <w:numPr>
          <w:ilvl w:val="0"/>
          <w:numId w:val="33"/>
        </w:numPr>
        <w:jc w:val="both"/>
        <w:rPr>
          <w:rFonts w:ascii="Calibri" w:hAnsi="Calibri"/>
        </w:rPr>
      </w:pPr>
      <w:r w:rsidRPr="00F61BE8">
        <w:rPr>
          <w:rFonts w:ascii="Calibri" w:hAnsi="Calibri"/>
        </w:rPr>
        <w:t>5 PIEs received grade 1.</w:t>
      </w:r>
    </w:p>
    <w:p w:rsidR="00EE67C0" w:rsidRDefault="00EE67C0" w:rsidP="00F61BE8">
      <w:pPr>
        <w:jc w:val="both"/>
        <w:rPr>
          <w:rFonts w:ascii="Calibri" w:hAnsi="Calibri"/>
        </w:rPr>
      </w:pPr>
    </w:p>
    <w:p w:rsidR="00EE67C0" w:rsidRDefault="00EE67C0" w:rsidP="00676891">
      <w:pPr>
        <w:ind w:left="360"/>
        <w:jc w:val="both"/>
        <w:rPr>
          <w:rFonts w:ascii="Calibri" w:hAnsi="Calibri"/>
        </w:rPr>
      </w:pPr>
      <w:r w:rsidRPr="00266543">
        <w:rPr>
          <w:rFonts w:ascii="Calibri" w:hAnsi="Calibri"/>
        </w:rPr>
        <w:t xml:space="preserve">FRC reiterated non-compliances previously raised with respect to corporate governance </w:t>
      </w:r>
      <w:r>
        <w:rPr>
          <w:rFonts w:ascii="Calibri" w:hAnsi="Calibri"/>
        </w:rPr>
        <w:t xml:space="preserve">for 4 PIEs </w:t>
      </w:r>
      <w:r w:rsidRPr="00266543">
        <w:rPr>
          <w:rFonts w:ascii="Calibri" w:hAnsi="Calibri"/>
        </w:rPr>
        <w:t>which had obtained grade 2B for two</w:t>
      </w:r>
      <w:r>
        <w:rPr>
          <w:rFonts w:ascii="Calibri" w:hAnsi="Calibri"/>
        </w:rPr>
        <w:t xml:space="preserve"> consecutive years. Out of the above 4 PIEs, 1 PIE had </w:t>
      </w:r>
      <w:r w:rsidRPr="00BD1CEB">
        <w:rPr>
          <w:rFonts w:ascii="Calibri" w:hAnsi="Calibri"/>
        </w:rPr>
        <w:t>not submitted a corporate governance report in last year review but had submitted</w:t>
      </w:r>
      <w:r>
        <w:rPr>
          <w:rFonts w:ascii="Calibri" w:hAnsi="Calibri"/>
        </w:rPr>
        <w:t xml:space="preserve"> its</w:t>
      </w:r>
      <w:r w:rsidRPr="00BD1CEB">
        <w:rPr>
          <w:rFonts w:ascii="Calibri" w:hAnsi="Calibri"/>
        </w:rPr>
        <w:t xml:space="preserve"> explanations in this </w:t>
      </w:r>
      <w:r>
        <w:rPr>
          <w:rFonts w:ascii="Calibri" w:hAnsi="Calibri"/>
        </w:rPr>
        <w:t xml:space="preserve">respect for the </w:t>
      </w:r>
      <w:r w:rsidRPr="00BD1CEB">
        <w:rPr>
          <w:rFonts w:ascii="Calibri" w:hAnsi="Calibri"/>
        </w:rPr>
        <w:t>year under review.</w:t>
      </w:r>
      <w:r>
        <w:rPr>
          <w:rFonts w:ascii="Calibri" w:hAnsi="Calibri"/>
        </w:rPr>
        <w:t xml:space="preserve"> Also, FRC raised non-compliances with respect to board composition for the remaining 3 PIEs (paragraphs 2.2.2, 2.2.3 and 2.5.5 of the code refer).</w:t>
      </w:r>
    </w:p>
    <w:p w:rsidR="00EE67C0" w:rsidRDefault="00EE67C0" w:rsidP="00E03007">
      <w:pPr>
        <w:jc w:val="both"/>
        <w:rPr>
          <w:rFonts w:ascii="Calibri" w:hAnsi="Calibri"/>
        </w:rPr>
      </w:pPr>
    </w:p>
    <w:p w:rsidR="00EE67C0" w:rsidRDefault="00EE67C0" w:rsidP="009120B4">
      <w:pPr>
        <w:ind w:left="360"/>
        <w:jc w:val="both"/>
        <w:rPr>
          <w:rFonts w:ascii="Calibri" w:hAnsi="Calibri"/>
        </w:rPr>
      </w:pPr>
      <w:r>
        <w:rPr>
          <w:rFonts w:ascii="Calibri" w:hAnsi="Calibri"/>
        </w:rPr>
        <w:t>It can be clearly seen the improvement in corporate reporting. 18 PIEs had moved from grade 2B to grades 2A and 1.</w:t>
      </w:r>
    </w:p>
    <w:p w:rsidR="00EE67C0" w:rsidRDefault="00EE67C0" w:rsidP="009120B4">
      <w:pPr>
        <w:ind w:left="360"/>
        <w:jc w:val="both"/>
        <w:rPr>
          <w:rFonts w:ascii="Calibri" w:hAnsi="Calibri"/>
        </w:rPr>
      </w:pPr>
    </w:p>
    <w:p w:rsidR="00EE67C0" w:rsidRPr="009E7116" w:rsidRDefault="00EE67C0" w:rsidP="00F1334D">
      <w:pPr>
        <w:tabs>
          <w:tab w:val="left" w:pos="561"/>
        </w:tabs>
        <w:ind w:left="561" w:hanging="561"/>
        <w:jc w:val="both"/>
        <w:rPr>
          <w:rFonts w:ascii="Calibri" w:hAnsi="Calibri"/>
        </w:rPr>
      </w:pPr>
      <w:r w:rsidRPr="009E7116">
        <w:rPr>
          <w:rFonts w:ascii="Calibri" w:hAnsi="Calibri" w:cs="Arial"/>
          <w:b/>
          <w:color w:val="0000FF"/>
          <w:sz w:val="28"/>
          <w:szCs w:val="28"/>
        </w:rPr>
        <w:t>PART D -</w:t>
      </w:r>
      <w:bookmarkStart w:id="22" w:name="OLE_LINK1"/>
      <w:bookmarkStart w:id="23" w:name="Conclusion"/>
      <w:bookmarkEnd w:id="19"/>
      <w:r w:rsidRPr="009E7116">
        <w:rPr>
          <w:rFonts w:ascii="Calibri" w:hAnsi="Calibri" w:cs="Arial"/>
          <w:b/>
          <w:bCs/>
          <w:color w:val="0000FF"/>
          <w:sz w:val="28"/>
          <w:szCs w:val="28"/>
          <w:lang w:val="en-GB"/>
        </w:rPr>
        <w:t>Conclusion</w:t>
      </w:r>
      <w:bookmarkEnd w:id="22"/>
      <w:bookmarkEnd w:id="23"/>
    </w:p>
    <w:bookmarkEnd w:id="21"/>
    <w:p w:rsidR="00EE67C0" w:rsidRPr="00C35531" w:rsidRDefault="00EE67C0" w:rsidP="00BC15F9">
      <w:pPr>
        <w:ind w:left="720"/>
        <w:jc w:val="both"/>
        <w:rPr>
          <w:rFonts w:ascii="Calibri" w:hAnsi="Calibri" w:cs="Arial"/>
          <w:bCs/>
          <w:highlight w:val="yellow"/>
          <w:lang w:val="en-GB"/>
        </w:rPr>
      </w:pPr>
    </w:p>
    <w:p w:rsidR="00EE67C0" w:rsidRDefault="00EE67C0" w:rsidP="00E03007">
      <w:pPr>
        <w:jc w:val="both"/>
        <w:rPr>
          <w:rStyle w:val="text"/>
          <w:rFonts w:ascii="Calibri" w:hAnsi="Calibri" w:cs="Arial"/>
          <w:lang w:val="en-GB"/>
        </w:rPr>
      </w:pPr>
      <w:r w:rsidRPr="00431CD3">
        <w:rPr>
          <w:rStyle w:val="text"/>
          <w:rFonts w:ascii="Calibri" w:hAnsi="Calibri" w:cs="Arial"/>
          <w:lang w:val="en-GB"/>
        </w:rPr>
        <w:t xml:space="preserve">From the annual report reviews carried out, FRC observed that </w:t>
      </w:r>
      <w:r>
        <w:rPr>
          <w:rStyle w:val="text"/>
          <w:rFonts w:ascii="Calibri" w:hAnsi="Calibri" w:cs="Arial"/>
          <w:lang w:val="en-GB"/>
        </w:rPr>
        <w:t>a major chunk</w:t>
      </w:r>
      <w:r w:rsidRPr="00431CD3">
        <w:rPr>
          <w:rStyle w:val="text"/>
          <w:rFonts w:ascii="Calibri" w:hAnsi="Calibri" w:cs="Arial"/>
          <w:lang w:val="en-GB"/>
        </w:rPr>
        <w:t xml:space="preserve"> of the PIEs reviewed had s</w:t>
      </w:r>
      <w:r>
        <w:rPr>
          <w:rStyle w:val="text"/>
          <w:rFonts w:ascii="Calibri" w:hAnsi="Calibri" w:cs="Arial"/>
          <w:lang w:val="en-GB"/>
        </w:rPr>
        <w:t>cored a grade 2A which indicates</w:t>
      </w:r>
      <w:r w:rsidRPr="00431CD3">
        <w:rPr>
          <w:rStyle w:val="text"/>
          <w:rFonts w:ascii="Calibri" w:hAnsi="Calibri" w:cs="Arial"/>
          <w:lang w:val="en-GB"/>
        </w:rPr>
        <w:t xml:space="preserve"> that few non-compliances were noted from the</w:t>
      </w:r>
      <w:r>
        <w:rPr>
          <w:rStyle w:val="text"/>
          <w:rFonts w:ascii="Calibri" w:hAnsi="Calibri" w:cs="Arial"/>
          <w:lang w:val="en-GB"/>
        </w:rPr>
        <w:t xml:space="preserve"> review of the</w:t>
      </w:r>
      <w:r w:rsidRPr="00431CD3">
        <w:rPr>
          <w:rStyle w:val="text"/>
          <w:rFonts w:ascii="Calibri" w:hAnsi="Calibri" w:cs="Arial"/>
          <w:lang w:val="en-GB"/>
        </w:rPr>
        <w:t xml:space="preserve"> annual reports. This </w:t>
      </w:r>
      <w:r>
        <w:rPr>
          <w:rStyle w:val="text"/>
          <w:rFonts w:ascii="Calibri" w:hAnsi="Calibri" w:cs="Arial"/>
          <w:lang w:val="en-GB"/>
        </w:rPr>
        <w:t xml:space="preserve">shows sign of </w:t>
      </w:r>
      <w:r w:rsidRPr="00431CD3">
        <w:rPr>
          <w:rStyle w:val="text"/>
          <w:rFonts w:ascii="Calibri" w:hAnsi="Calibri" w:cs="Arial"/>
          <w:lang w:val="en-GB"/>
        </w:rPr>
        <w:t xml:space="preserve">improvement in quality reporting.  </w:t>
      </w:r>
    </w:p>
    <w:p w:rsidR="00EE67C0" w:rsidRPr="00431CD3" w:rsidRDefault="00EE67C0" w:rsidP="00E03007">
      <w:pPr>
        <w:jc w:val="both"/>
        <w:rPr>
          <w:rStyle w:val="text"/>
          <w:rFonts w:ascii="Calibri" w:hAnsi="Calibri" w:cs="Arial"/>
          <w:lang w:val="en-GB"/>
        </w:rPr>
      </w:pPr>
    </w:p>
    <w:p w:rsidR="00EE67C0" w:rsidRDefault="00EE67C0" w:rsidP="009146ED">
      <w:pPr>
        <w:jc w:val="both"/>
        <w:rPr>
          <w:rStyle w:val="text"/>
          <w:rFonts w:ascii="Calibri" w:hAnsi="Calibri" w:cs="Arial"/>
          <w:lang w:val="en-GB"/>
        </w:rPr>
      </w:pPr>
      <w:r>
        <w:rPr>
          <w:rStyle w:val="text"/>
          <w:rFonts w:ascii="Calibri" w:hAnsi="Calibri" w:cs="Arial"/>
          <w:lang w:val="en-GB"/>
        </w:rPr>
        <w:t>FRC</w:t>
      </w:r>
      <w:r w:rsidRPr="009146ED">
        <w:rPr>
          <w:rStyle w:val="text"/>
          <w:rFonts w:ascii="Calibri" w:hAnsi="Calibri" w:cs="Arial"/>
          <w:lang w:val="en-GB"/>
        </w:rPr>
        <w:t xml:space="preserve"> also expect</w:t>
      </w:r>
      <w:r>
        <w:rPr>
          <w:rStyle w:val="text"/>
          <w:rFonts w:ascii="Calibri" w:hAnsi="Calibri" w:cs="Arial"/>
          <w:lang w:val="en-GB"/>
        </w:rPr>
        <w:t xml:space="preserve">sPIEs </w:t>
      </w:r>
      <w:r w:rsidRPr="009146ED">
        <w:rPr>
          <w:rStyle w:val="text"/>
          <w:rFonts w:ascii="Calibri" w:hAnsi="Calibri" w:cs="Arial"/>
          <w:lang w:val="en-GB"/>
        </w:rPr>
        <w:t xml:space="preserve">to </w:t>
      </w:r>
      <w:r>
        <w:rPr>
          <w:rStyle w:val="text"/>
          <w:rFonts w:ascii="Calibri" w:hAnsi="Calibri" w:cs="Arial"/>
          <w:lang w:val="en-GB"/>
        </w:rPr>
        <w:t xml:space="preserve">collaborate </w:t>
      </w:r>
      <w:r w:rsidRPr="009146ED">
        <w:rPr>
          <w:rStyle w:val="text"/>
          <w:rFonts w:ascii="Calibri" w:hAnsi="Calibri" w:cs="Arial"/>
          <w:lang w:val="en-GB"/>
        </w:rPr>
        <w:t xml:space="preserve">with the FRC to ensure that issues </w:t>
      </w:r>
      <w:r>
        <w:rPr>
          <w:rStyle w:val="text"/>
          <w:rFonts w:ascii="Calibri" w:hAnsi="Calibri" w:cs="Arial"/>
          <w:lang w:val="en-GB"/>
        </w:rPr>
        <w:t xml:space="preserve">previously raised are </w:t>
      </w:r>
      <w:r w:rsidRPr="009146ED">
        <w:rPr>
          <w:rStyle w:val="text"/>
          <w:rFonts w:ascii="Calibri" w:hAnsi="Calibri" w:cs="Arial"/>
          <w:lang w:val="en-GB"/>
        </w:rPr>
        <w:t>satisfactorily addressed</w:t>
      </w:r>
      <w:r>
        <w:rPr>
          <w:rStyle w:val="text"/>
          <w:rFonts w:ascii="Calibri" w:hAnsi="Calibri" w:cs="Arial"/>
          <w:lang w:val="en-GB"/>
        </w:rPr>
        <w:t xml:space="preserve"> in the companies’ next annual reports</w:t>
      </w:r>
      <w:r w:rsidRPr="009146ED">
        <w:rPr>
          <w:rStyle w:val="text"/>
          <w:rFonts w:ascii="Calibri" w:hAnsi="Calibri" w:cs="Arial"/>
          <w:lang w:val="en-GB"/>
        </w:rPr>
        <w:t>.</w:t>
      </w:r>
    </w:p>
    <w:p w:rsidR="00EE67C0" w:rsidRPr="00C35531" w:rsidRDefault="00EE67C0" w:rsidP="00BC15F9">
      <w:pPr>
        <w:ind w:left="720"/>
        <w:jc w:val="both"/>
        <w:rPr>
          <w:rStyle w:val="text"/>
          <w:rFonts w:ascii="Calibri" w:hAnsi="Calibri"/>
        </w:rPr>
      </w:pPr>
    </w:p>
    <w:p w:rsidR="00EE67C0" w:rsidRDefault="00EE67C0" w:rsidP="00BC15F9">
      <w:pPr>
        <w:ind w:left="720"/>
        <w:jc w:val="both"/>
        <w:rPr>
          <w:rFonts w:ascii="Calibri" w:hAnsi="Calibri" w:cs="Arial"/>
          <w:b/>
          <w:i/>
          <w:highlight w:val="yellow"/>
          <w:lang w:val="en-GB"/>
        </w:rPr>
      </w:pPr>
    </w:p>
    <w:p w:rsidR="00EE67C0" w:rsidRDefault="00EE67C0" w:rsidP="00BC15F9">
      <w:pPr>
        <w:ind w:left="720"/>
        <w:jc w:val="both"/>
        <w:rPr>
          <w:rFonts w:ascii="Calibri" w:hAnsi="Calibri" w:cs="Arial"/>
          <w:b/>
          <w:i/>
          <w:highlight w:val="yellow"/>
          <w:lang w:val="en-GB"/>
        </w:rPr>
      </w:pPr>
    </w:p>
    <w:p w:rsidR="00EE67C0" w:rsidRDefault="00EE67C0" w:rsidP="00BC15F9">
      <w:pPr>
        <w:ind w:left="720"/>
        <w:jc w:val="both"/>
        <w:rPr>
          <w:rFonts w:ascii="Calibri" w:hAnsi="Calibri" w:cs="Arial"/>
          <w:b/>
          <w:i/>
          <w:highlight w:val="yellow"/>
          <w:lang w:val="en-GB"/>
        </w:rPr>
      </w:pPr>
    </w:p>
    <w:p w:rsidR="00EE67C0" w:rsidRDefault="00EE67C0" w:rsidP="00BC15F9">
      <w:pPr>
        <w:ind w:left="720"/>
        <w:jc w:val="both"/>
        <w:rPr>
          <w:rFonts w:ascii="Calibri" w:hAnsi="Calibri" w:cs="Arial"/>
          <w:b/>
          <w:i/>
          <w:highlight w:val="yellow"/>
          <w:lang w:val="en-GB"/>
        </w:rPr>
      </w:pPr>
    </w:p>
    <w:p w:rsidR="00EE67C0" w:rsidRDefault="00EE67C0" w:rsidP="00BC15F9">
      <w:pPr>
        <w:ind w:left="720"/>
        <w:jc w:val="both"/>
        <w:rPr>
          <w:rFonts w:ascii="Calibri" w:hAnsi="Calibri" w:cs="Arial"/>
          <w:b/>
          <w:i/>
          <w:highlight w:val="yellow"/>
          <w:lang w:val="en-GB"/>
        </w:rPr>
      </w:pPr>
    </w:p>
    <w:p w:rsidR="00EE67C0" w:rsidRDefault="00EE67C0" w:rsidP="00BC15F9">
      <w:pPr>
        <w:ind w:left="720"/>
        <w:jc w:val="both"/>
        <w:rPr>
          <w:rFonts w:ascii="Calibri" w:hAnsi="Calibri" w:cs="Arial"/>
          <w:b/>
          <w:i/>
          <w:highlight w:val="yellow"/>
          <w:lang w:val="en-GB"/>
        </w:rPr>
      </w:pPr>
    </w:p>
    <w:p w:rsidR="00EE67C0" w:rsidRPr="00C35531" w:rsidRDefault="00EE67C0" w:rsidP="00BC15F9">
      <w:pPr>
        <w:ind w:left="720"/>
        <w:jc w:val="both"/>
        <w:rPr>
          <w:rFonts w:ascii="Calibri" w:hAnsi="Calibri" w:cs="Arial"/>
          <w:b/>
          <w:i/>
          <w:highlight w:val="yellow"/>
          <w:lang w:val="en-GB"/>
        </w:rPr>
      </w:pPr>
    </w:p>
    <w:p w:rsidR="00EE67C0" w:rsidRPr="00C35531" w:rsidRDefault="00EE67C0" w:rsidP="00BC15F9">
      <w:pPr>
        <w:ind w:left="720"/>
        <w:jc w:val="both"/>
        <w:rPr>
          <w:rFonts w:ascii="Calibri" w:hAnsi="Calibri" w:cs="Arial"/>
          <w:b/>
          <w:i/>
          <w:highlight w:val="yellow"/>
          <w:lang w:val="en-GB"/>
        </w:rPr>
      </w:pPr>
    </w:p>
    <w:p w:rsidR="00EE67C0" w:rsidRPr="00E03007" w:rsidRDefault="00EE67C0" w:rsidP="00BC15F9">
      <w:pPr>
        <w:jc w:val="both"/>
        <w:rPr>
          <w:rFonts w:ascii="Calibri" w:hAnsi="Calibri" w:cs="Arial"/>
          <w:b/>
          <w:lang w:val="en-GB"/>
        </w:rPr>
      </w:pPr>
      <w:r w:rsidRPr="00E03007">
        <w:rPr>
          <w:rFonts w:ascii="Calibri" w:hAnsi="Calibri" w:cs="Arial"/>
          <w:b/>
          <w:lang w:val="en-GB"/>
        </w:rPr>
        <w:t>Financial Reporting Council</w:t>
      </w:r>
    </w:p>
    <w:p w:rsidR="00EE67C0" w:rsidRPr="00E03007" w:rsidRDefault="00EE67C0" w:rsidP="00EA34E4">
      <w:pPr>
        <w:jc w:val="both"/>
        <w:rPr>
          <w:rFonts w:ascii="Calibri" w:hAnsi="Calibri"/>
          <w:b/>
          <w:lang w:val="en-GB"/>
        </w:rPr>
      </w:pPr>
      <w:r w:rsidRPr="00E03007">
        <w:rPr>
          <w:rFonts w:ascii="Calibri" w:hAnsi="Calibri" w:cs="Arial"/>
          <w:b/>
          <w:lang w:val="en-GB"/>
        </w:rPr>
        <w:t>19 January 2015</w:t>
      </w:r>
    </w:p>
    <w:sectPr w:rsidR="00EE67C0" w:rsidRPr="00E03007" w:rsidSect="0071164F">
      <w:footerReference w:type="even" r:id="rId18"/>
      <w:footerReference w:type="default" r:id="rId19"/>
      <w:pgSz w:w="12240" w:h="15840"/>
      <w:pgMar w:top="1440" w:right="2618" w:bottom="1440"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C0" w:rsidRDefault="00EE67C0">
      <w:r>
        <w:separator/>
      </w:r>
    </w:p>
  </w:endnote>
  <w:endnote w:type="continuationSeparator" w:id="0">
    <w:p w:rsidR="00EE67C0" w:rsidRDefault="00EE6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0" w:rsidRDefault="00EE67C0"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7C0" w:rsidRDefault="00EE67C0" w:rsidP="00062A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0" w:rsidRPr="007D167E" w:rsidRDefault="00EE67C0" w:rsidP="00B602CE">
    <w:pPr>
      <w:pStyle w:val="Footer"/>
      <w:ind w:right="-29" w:firstLine="6358"/>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Pr>
        <w:rFonts w:ascii="Calibri" w:hAnsi="Calibri"/>
        <w:noProof/>
      </w:rPr>
      <w:t>12</w:t>
    </w:r>
    <w:r w:rsidRPr="007D167E">
      <w:rPr>
        <w:rFonts w:ascii="Calibri" w:hAnsi="Calibri"/>
      </w:rPr>
      <w:fldChar w:fldCharType="end"/>
    </w:r>
    <w:r w:rsidRPr="007D167E">
      <w:rPr>
        <w:rFonts w:ascii="Calibri" w:hAnsi="Calibri"/>
      </w:rPr>
      <w:t xml:space="preserve"> of </w:t>
    </w:r>
    <w:r w:rsidRPr="007D167E">
      <w:rPr>
        <w:rFonts w:ascii="Calibri" w:hAnsi="Calibri"/>
      </w:rPr>
      <w:fldChar w:fldCharType="begin"/>
    </w:r>
    <w:r w:rsidRPr="007D167E">
      <w:rPr>
        <w:rFonts w:ascii="Calibri" w:hAnsi="Calibri"/>
      </w:rPr>
      <w:instrText xml:space="preserve"> NUMPAGES </w:instrText>
    </w:r>
    <w:r w:rsidRPr="007D167E">
      <w:rPr>
        <w:rFonts w:ascii="Calibri" w:hAnsi="Calibri"/>
      </w:rPr>
      <w:fldChar w:fldCharType="separate"/>
    </w:r>
    <w:r>
      <w:rPr>
        <w:rFonts w:ascii="Calibri" w:hAnsi="Calibri"/>
        <w:noProof/>
      </w:rPr>
      <w:t>32</w:t>
    </w:r>
    <w:r w:rsidRPr="007D167E">
      <w:rPr>
        <w:rFonts w:ascii="Calibri" w:hAnsi="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0" w:rsidRDefault="00EE67C0"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7C0" w:rsidRDefault="00EE67C0" w:rsidP="00062A2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0" w:rsidRPr="007D167E" w:rsidRDefault="00EE67C0" w:rsidP="00B602CE">
    <w:pPr>
      <w:pStyle w:val="Footer"/>
      <w:ind w:right="-29" w:firstLine="6358"/>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Pr>
        <w:rFonts w:ascii="Calibri" w:hAnsi="Calibri"/>
        <w:noProof/>
      </w:rPr>
      <w:t>32</w:t>
    </w:r>
    <w:r w:rsidRPr="007D167E">
      <w:rPr>
        <w:rFonts w:ascii="Calibri" w:hAnsi="Calibri"/>
      </w:rPr>
      <w:fldChar w:fldCharType="end"/>
    </w:r>
    <w:r w:rsidRPr="007D167E">
      <w:rPr>
        <w:rFonts w:ascii="Calibri" w:hAnsi="Calibri"/>
      </w:rPr>
      <w:t xml:space="preserve"> of </w:t>
    </w:r>
    <w:r w:rsidRPr="007D167E">
      <w:rPr>
        <w:rFonts w:ascii="Calibri" w:hAnsi="Calibri"/>
      </w:rPr>
      <w:fldChar w:fldCharType="begin"/>
    </w:r>
    <w:r w:rsidRPr="007D167E">
      <w:rPr>
        <w:rFonts w:ascii="Calibri" w:hAnsi="Calibri"/>
      </w:rPr>
      <w:instrText xml:space="preserve"> NUMPAGES </w:instrText>
    </w:r>
    <w:r w:rsidRPr="007D167E">
      <w:rPr>
        <w:rFonts w:ascii="Calibri" w:hAnsi="Calibri"/>
      </w:rPr>
      <w:fldChar w:fldCharType="separate"/>
    </w:r>
    <w:r>
      <w:rPr>
        <w:rFonts w:ascii="Calibri" w:hAnsi="Calibri"/>
        <w:noProof/>
      </w:rPr>
      <w:t>32</w:t>
    </w:r>
    <w:r w:rsidRPr="007D167E">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C0" w:rsidRDefault="00EE67C0">
      <w:r>
        <w:separator/>
      </w:r>
    </w:p>
  </w:footnote>
  <w:footnote w:type="continuationSeparator" w:id="0">
    <w:p w:rsidR="00EE67C0" w:rsidRDefault="00EE6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4C9"/>
    <w:multiLevelType w:val="hybridMultilevel"/>
    <w:tmpl w:val="514AFD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60C176E"/>
    <w:multiLevelType w:val="hybridMultilevel"/>
    <w:tmpl w:val="0AE6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C2CB3"/>
    <w:multiLevelType w:val="hybridMultilevel"/>
    <w:tmpl w:val="36CA5CB8"/>
    <w:lvl w:ilvl="0" w:tplc="08090003">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hint="default"/>
        <w:color w:val="auto"/>
      </w:rPr>
    </w:lvl>
    <w:lvl w:ilvl="2" w:tplc="8A765284">
      <w:start w:val="1"/>
      <w:numFmt w:val="bullet"/>
      <w:lvlText w:val=""/>
      <w:lvlJc w:val="left"/>
      <w:pPr>
        <w:tabs>
          <w:tab w:val="num" w:pos="3780"/>
        </w:tabs>
        <w:ind w:left="3780" w:hanging="360"/>
      </w:pPr>
      <w:rPr>
        <w:rFonts w:ascii="Symbol" w:hAnsi="Symbol" w:hint="default"/>
        <w:color w:val="auto"/>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0A6C11C7"/>
    <w:multiLevelType w:val="hybridMultilevel"/>
    <w:tmpl w:val="9A621D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C2C1A40"/>
    <w:multiLevelType w:val="hybridMultilevel"/>
    <w:tmpl w:val="EE5613EC"/>
    <w:lvl w:ilvl="0" w:tplc="8A765284">
      <w:start w:val="1"/>
      <w:numFmt w:val="bullet"/>
      <w:lvlText w:val=""/>
      <w:lvlJc w:val="left"/>
      <w:pPr>
        <w:tabs>
          <w:tab w:val="num" w:pos="1468"/>
        </w:tabs>
        <w:ind w:left="1468" w:hanging="360"/>
      </w:pPr>
      <w:rPr>
        <w:rFonts w:ascii="Symbol" w:hAnsi="Symbol" w:hint="default"/>
        <w:color w:val="auto"/>
      </w:rPr>
    </w:lvl>
    <w:lvl w:ilvl="1" w:tplc="04090003">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5">
    <w:nsid w:val="0F1B2682"/>
    <w:multiLevelType w:val="hybridMultilevel"/>
    <w:tmpl w:val="1860A118"/>
    <w:lvl w:ilvl="0" w:tplc="08F04FAE">
      <w:start w:val="3"/>
      <w:numFmt w:val="bullet"/>
      <w:lvlText w:val="-"/>
      <w:lvlJc w:val="left"/>
      <w:pPr>
        <w:tabs>
          <w:tab w:val="num" w:pos="1980"/>
        </w:tabs>
        <w:ind w:left="198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D8025E"/>
    <w:multiLevelType w:val="hybridMultilevel"/>
    <w:tmpl w:val="9D509CD0"/>
    <w:lvl w:ilvl="0" w:tplc="EDF8C8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6B29A3"/>
    <w:multiLevelType w:val="multilevel"/>
    <w:tmpl w:val="00F298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B65D30"/>
    <w:multiLevelType w:val="hybridMultilevel"/>
    <w:tmpl w:val="4F8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70EF1"/>
    <w:multiLevelType w:val="hybridMultilevel"/>
    <w:tmpl w:val="EBC0EA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F826E79"/>
    <w:multiLevelType w:val="hybridMultilevel"/>
    <w:tmpl w:val="C4FA6554"/>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57309"/>
    <w:multiLevelType w:val="hybridMultilevel"/>
    <w:tmpl w:val="409AD012"/>
    <w:lvl w:ilvl="0" w:tplc="04090013">
      <w:start w:val="1"/>
      <w:numFmt w:val="upperRoman"/>
      <w:lvlText w:val="%1."/>
      <w:lvlJc w:val="right"/>
      <w:pPr>
        <w:tabs>
          <w:tab w:val="num" w:pos="900"/>
        </w:tabs>
        <w:ind w:left="900" w:hanging="18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231C11AE"/>
    <w:multiLevelType w:val="hybridMultilevel"/>
    <w:tmpl w:val="0A967C3E"/>
    <w:lvl w:ilvl="0" w:tplc="62FCC68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8B1C11"/>
    <w:multiLevelType w:val="hybridMultilevel"/>
    <w:tmpl w:val="2E086714"/>
    <w:lvl w:ilvl="0" w:tplc="944EE5C8">
      <w:start w:val="1"/>
      <w:numFmt w:val="lowerRoman"/>
      <w:lvlText w:val="(%1)"/>
      <w:lvlJc w:val="left"/>
      <w:pPr>
        <w:ind w:left="2160" w:hanging="360"/>
      </w:pPr>
      <w:rPr>
        <w:rFonts w:cs="Times New Roman" w:hint="default"/>
      </w:rPr>
    </w:lvl>
    <w:lvl w:ilvl="1" w:tplc="802E0AAE">
      <w:numFmt w:val="bullet"/>
      <w:lvlText w:val="-"/>
      <w:lvlJc w:val="left"/>
      <w:pPr>
        <w:ind w:left="2880" w:hanging="360"/>
      </w:pPr>
      <w:rPr>
        <w:rFonts w:ascii="Times New Roman" w:eastAsia="Times New Roman" w:hAnsi="Times New Roman" w:hint="default"/>
        <w:b/>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5">
    <w:nsid w:val="2ACC0BB4"/>
    <w:multiLevelType w:val="hybridMultilevel"/>
    <w:tmpl w:val="45EA706C"/>
    <w:lvl w:ilvl="0" w:tplc="04090003">
      <w:start w:val="1"/>
      <w:numFmt w:val="bullet"/>
      <w:lvlText w:val="o"/>
      <w:lvlJc w:val="left"/>
      <w:pPr>
        <w:ind w:left="2880" w:hanging="360"/>
      </w:pPr>
      <w:rPr>
        <w:rFonts w:ascii="Courier New" w:hAnsi="Courier New" w:hint="default"/>
        <w:color w:val="auto"/>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318A288F"/>
    <w:multiLevelType w:val="hybridMultilevel"/>
    <w:tmpl w:val="B45CB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E7EE7"/>
    <w:multiLevelType w:val="hybridMultilevel"/>
    <w:tmpl w:val="4C12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E376B5"/>
    <w:multiLevelType w:val="hybridMultilevel"/>
    <w:tmpl w:val="C53A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57C99"/>
    <w:multiLevelType w:val="hybridMultilevel"/>
    <w:tmpl w:val="208634C6"/>
    <w:lvl w:ilvl="0" w:tplc="585C453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1E57F29"/>
    <w:multiLevelType w:val="hybridMultilevel"/>
    <w:tmpl w:val="13C0EC6C"/>
    <w:lvl w:ilvl="0" w:tplc="0809000B">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21B18B7"/>
    <w:multiLevelType w:val="hybridMultilevel"/>
    <w:tmpl w:val="B186DCA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390B43"/>
    <w:multiLevelType w:val="hybridMultilevel"/>
    <w:tmpl w:val="871A9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5B450F"/>
    <w:multiLevelType w:val="hybridMultilevel"/>
    <w:tmpl w:val="ADE84230"/>
    <w:lvl w:ilvl="0" w:tplc="944EE5C8">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5C637AFC"/>
    <w:multiLevelType w:val="hybridMultilevel"/>
    <w:tmpl w:val="E16EED06"/>
    <w:lvl w:ilvl="0" w:tplc="ADFC4994">
      <w:start w:val="1"/>
      <w:numFmt w:val="decimal"/>
      <w:lvlText w:val="%1."/>
      <w:lvlJc w:val="right"/>
      <w:pPr>
        <w:tabs>
          <w:tab w:val="num" w:pos="1620"/>
        </w:tabs>
        <w:ind w:left="1620" w:hanging="18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5">
    <w:nsid w:val="5ECA3672"/>
    <w:multiLevelType w:val="hybridMultilevel"/>
    <w:tmpl w:val="3D2A0578"/>
    <w:lvl w:ilvl="0" w:tplc="33DCF37A">
      <w:start w:val="1"/>
      <w:numFmt w:val="lowerRoman"/>
      <w:lvlText w:val="(%1)"/>
      <w:lvlJc w:val="left"/>
      <w:pPr>
        <w:ind w:left="1468" w:hanging="720"/>
      </w:pPr>
      <w:rPr>
        <w:rFonts w:cs="Times New Roman" w:hint="default"/>
      </w:rPr>
    </w:lvl>
    <w:lvl w:ilvl="1" w:tplc="08090019" w:tentative="1">
      <w:start w:val="1"/>
      <w:numFmt w:val="lowerLetter"/>
      <w:lvlText w:val="%2."/>
      <w:lvlJc w:val="left"/>
      <w:pPr>
        <w:ind w:left="1828" w:hanging="360"/>
      </w:pPr>
      <w:rPr>
        <w:rFonts w:cs="Times New Roman"/>
      </w:rPr>
    </w:lvl>
    <w:lvl w:ilvl="2" w:tplc="0809001B" w:tentative="1">
      <w:start w:val="1"/>
      <w:numFmt w:val="lowerRoman"/>
      <w:lvlText w:val="%3."/>
      <w:lvlJc w:val="right"/>
      <w:pPr>
        <w:ind w:left="2548" w:hanging="180"/>
      </w:pPr>
      <w:rPr>
        <w:rFonts w:cs="Times New Roman"/>
      </w:rPr>
    </w:lvl>
    <w:lvl w:ilvl="3" w:tplc="0809000F" w:tentative="1">
      <w:start w:val="1"/>
      <w:numFmt w:val="decimal"/>
      <w:lvlText w:val="%4."/>
      <w:lvlJc w:val="left"/>
      <w:pPr>
        <w:ind w:left="3268" w:hanging="360"/>
      </w:pPr>
      <w:rPr>
        <w:rFonts w:cs="Times New Roman"/>
      </w:rPr>
    </w:lvl>
    <w:lvl w:ilvl="4" w:tplc="08090019" w:tentative="1">
      <w:start w:val="1"/>
      <w:numFmt w:val="lowerLetter"/>
      <w:lvlText w:val="%5."/>
      <w:lvlJc w:val="left"/>
      <w:pPr>
        <w:ind w:left="3988" w:hanging="360"/>
      </w:pPr>
      <w:rPr>
        <w:rFonts w:cs="Times New Roman"/>
      </w:rPr>
    </w:lvl>
    <w:lvl w:ilvl="5" w:tplc="0809001B" w:tentative="1">
      <w:start w:val="1"/>
      <w:numFmt w:val="lowerRoman"/>
      <w:lvlText w:val="%6."/>
      <w:lvlJc w:val="right"/>
      <w:pPr>
        <w:ind w:left="4708" w:hanging="180"/>
      </w:pPr>
      <w:rPr>
        <w:rFonts w:cs="Times New Roman"/>
      </w:rPr>
    </w:lvl>
    <w:lvl w:ilvl="6" w:tplc="0809000F" w:tentative="1">
      <w:start w:val="1"/>
      <w:numFmt w:val="decimal"/>
      <w:lvlText w:val="%7."/>
      <w:lvlJc w:val="left"/>
      <w:pPr>
        <w:ind w:left="5428" w:hanging="360"/>
      </w:pPr>
      <w:rPr>
        <w:rFonts w:cs="Times New Roman"/>
      </w:rPr>
    </w:lvl>
    <w:lvl w:ilvl="7" w:tplc="08090019" w:tentative="1">
      <w:start w:val="1"/>
      <w:numFmt w:val="lowerLetter"/>
      <w:lvlText w:val="%8."/>
      <w:lvlJc w:val="left"/>
      <w:pPr>
        <w:ind w:left="6148" w:hanging="360"/>
      </w:pPr>
      <w:rPr>
        <w:rFonts w:cs="Times New Roman"/>
      </w:rPr>
    </w:lvl>
    <w:lvl w:ilvl="8" w:tplc="0809001B" w:tentative="1">
      <w:start w:val="1"/>
      <w:numFmt w:val="lowerRoman"/>
      <w:lvlText w:val="%9."/>
      <w:lvlJc w:val="right"/>
      <w:pPr>
        <w:ind w:left="6868" w:hanging="180"/>
      </w:pPr>
      <w:rPr>
        <w:rFonts w:cs="Times New Roman"/>
      </w:rPr>
    </w:lvl>
  </w:abstractNum>
  <w:abstractNum w:abstractNumId="26">
    <w:nsid w:val="63EC33B1"/>
    <w:multiLevelType w:val="hybridMultilevel"/>
    <w:tmpl w:val="AD10E4BA"/>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7">
    <w:nsid w:val="66BC04E3"/>
    <w:multiLevelType w:val="hybridMultilevel"/>
    <w:tmpl w:val="2C2E3DDC"/>
    <w:lvl w:ilvl="0" w:tplc="8A76528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316EE1"/>
    <w:multiLevelType w:val="hybridMultilevel"/>
    <w:tmpl w:val="BE14A676"/>
    <w:lvl w:ilvl="0" w:tplc="8A765284">
      <w:start w:val="1"/>
      <w:numFmt w:val="bullet"/>
      <w:lvlText w:val=""/>
      <w:lvlJc w:val="left"/>
      <w:pPr>
        <w:tabs>
          <w:tab w:val="num" w:pos="1080"/>
        </w:tabs>
        <w:ind w:left="1080" w:hanging="360"/>
      </w:pPr>
      <w:rPr>
        <w:rFonts w:ascii="Symbol" w:hAnsi="Symbol" w:hint="default"/>
        <w:color w:val="auto"/>
      </w:rPr>
    </w:lvl>
    <w:lvl w:ilvl="1" w:tplc="8F205DF6">
      <w:start w:val="1"/>
      <w:numFmt w:val="decimal"/>
      <w:lvlText w:val="%2."/>
      <w:lvlJc w:val="left"/>
      <w:pPr>
        <w:tabs>
          <w:tab w:val="num" w:pos="1800"/>
        </w:tabs>
        <w:ind w:left="1800" w:hanging="360"/>
      </w:pPr>
      <w:rPr>
        <w:rFonts w:cs="Times New Roman" w:hint="default"/>
        <w:color w:val="0070C0"/>
      </w:rPr>
    </w:lvl>
    <w:lvl w:ilvl="2" w:tplc="8E2A46BC">
      <w:start w:val="1"/>
      <w:numFmt w:val="decimal"/>
      <w:lvlText w:val="%3"/>
      <w:lvlJc w:val="left"/>
      <w:pPr>
        <w:tabs>
          <w:tab w:val="num" w:pos="2520"/>
        </w:tabs>
        <w:ind w:left="2520" w:hanging="36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AA03FBE"/>
    <w:multiLevelType w:val="hybridMultilevel"/>
    <w:tmpl w:val="41547F1E"/>
    <w:lvl w:ilvl="0" w:tplc="04090003">
      <w:start w:val="1"/>
      <w:numFmt w:val="bullet"/>
      <w:lvlText w:val="o"/>
      <w:lvlJc w:val="left"/>
      <w:pPr>
        <w:tabs>
          <w:tab w:val="num" w:pos="1468"/>
        </w:tabs>
        <w:ind w:left="1468" w:hanging="360"/>
      </w:pPr>
      <w:rPr>
        <w:rFonts w:ascii="Courier New" w:hAnsi="Courier New" w:hint="default"/>
        <w:color w:val="auto"/>
      </w:rPr>
    </w:lvl>
    <w:lvl w:ilvl="1" w:tplc="08F04FAE">
      <w:start w:val="3"/>
      <w:numFmt w:val="bullet"/>
      <w:lvlText w:val="-"/>
      <w:lvlJc w:val="left"/>
      <w:pPr>
        <w:tabs>
          <w:tab w:val="num" w:pos="2188"/>
        </w:tabs>
        <w:ind w:left="2188" w:hanging="360"/>
      </w:pPr>
      <w:rPr>
        <w:rFonts w:ascii="Times New Roman" w:eastAsia="Times New Roman" w:hAnsi="Times New Roman" w:hint="default"/>
        <w:color w:val="auto"/>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0">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46027E"/>
    <w:multiLevelType w:val="hybridMultilevel"/>
    <w:tmpl w:val="A3600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2E26B0"/>
    <w:multiLevelType w:val="hybridMultilevel"/>
    <w:tmpl w:val="CA26C952"/>
    <w:lvl w:ilvl="0" w:tplc="04090003">
      <w:start w:val="1"/>
      <w:numFmt w:val="bullet"/>
      <w:lvlText w:val="o"/>
      <w:lvlJc w:val="left"/>
      <w:pPr>
        <w:tabs>
          <w:tab w:val="num" w:pos="1468"/>
        </w:tabs>
        <w:ind w:left="1468" w:hanging="360"/>
      </w:pPr>
      <w:rPr>
        <w:rFonts w:ascii="Courier New" w:hAnsi="Courier New" w:hint="default"/>
        <w:color w:val="auto"/>
      </w:rPr>
    </w:lvl>
    <w:lvl w:ilvl="1" w:tplc="04090003">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3">
    <w:nsid w:val="778D251C"/>
    <w:multiLevelType w:val="hybridMultilevel"/>
    <w:tmpl w:val="A17E042A"/>
    <w:lvl w:ilvl="0" w:tplc="04090003">
      <w:start w:val="1"/>
      <w:numFmt w:val="bullet"/>
      <w:lvlText w:val="o"/>
      <w:lvlJc w:val="left"/>
      <w:pPr>
        <w:ind w:left="2520" w:hanging="360"/>
      </w:pPr>
      <w:rPr>
        <w:rFonts w:ascii="Courier New" w:hAnsi="Courier New" w:hint="default"/>
        <w:color w:val="auto"/>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7DDF2EE1"/>
    <w:multiLevelType w:val="hybridMultilevel"/>
    <w:tmpl w:val="3D9CD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4"/>
  </w:num>
  <w:num w:numId="3">
    <w:abstractNumId w:val="16"/>
  </w:num>
  <w:num w:numId="4">
    <w:abstractNumId w:val="5"/>
  </w:num>
  <w:num w:numId="5">
    <w:abstractNumId w:val="17"/>
  </w:num>
  <w:num w:numId="6">
    <w:abstractNumId w:val="28"/>
  </w:num>
  <w:num w:numId="7">
    <w:abstractNumId w:val="4"/>
  </w:num>
  <w:num w:numId="8">
    <w:abstractNumId w:val="32"/>
  </w:num>
  <w:num w:numId="9">
    <w:abstractNumId w:val="29"/>
  </w:num>
  <w:num w:numId="10">
    <w:abstractNumId w:val="30"/>
  </w:num>
  <w:num w:numId="11">
    <w:abstractNumId w:val="8"/>
  </w:num>
  <w:num w:numId="12">
    <w:abstractNumId w:val="6"/>
  </w:num>
  <w:num w:numId="13">
    <w:abstractNumId w:val="2"/>
  </w:num>
  <w:num w:numId="14">
    <w:abstractNumId w:val="14"/>
  </w:num>
  <w:num w:numId="15">
    <w:abstractNumId w:val="3"/>
  </w:num>
  <w:num w:numId="16">
    <w:abstractNumId w:val="20"/>
  </w:num>
  <w:num w:numId="17">
    <w:abstractNumId w:val="0"/>
  </w:num>
  <w:num w:numId="18">
    <w:abstractNumId w:val="33"/>
  </w:num>
  <w:num w:numId="19">
    <w:abstractNumId w:val="15"/>
  </w:num>
  <w:num w:numId="20">
    <w:abstractNumId w:val="7"/>
  </w:num>
  <w:num w:numId="21">
    <w:abstractNumId w:val="31"/>
  </w:num>
  <w:num w:numId="22">
    <w:abstractNumId w:val="23"/>
  </w:num>
  <w:num w:numId="23">
    <w:abstractNumId w:val="25"/>
  </w:num>
  <w:num w:numId="24">
    <w:abstractNumId w:val="9"/>
  </w:num>
  <w:num w:numId="25">
    <w:abstractNumId w:val="18"/>
  </w:num>
  <w:num w:numId="26">
    <w:abstractNumId w:val="34"/>
  </w:num>
  <w:num w:numId="27">
    <w:abstractNumId w:val="27"/>
  </w:num>
  <w:num w:numId="28">
    <w:abstractNumId w:val="10"/>
  </w:num>
  <w:num w:numId="29">
    <w:abstractNumId w:val="21"/>
  </w:num>
  <w:num w:numId="30">
    <w:abstractNumId w:val="12"/>
  </w:num>
  <w:num w:numId="31">
    <w:abstractNumId w:val="1"/>
  </w:num>
  <w:num w:numId="32">
    <w:abstractNumId w:val="22"/>
  </w:num>
  <w:num w:numId="33">
    <w:abstractNumId w:val="13"/>
  </w:num>
  <w:num w:numId="34">
    <w:abstractNumId w:val="19"/>
  </w:num>
  <w:num w:numId="35">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735"/>
    <w:rsid w:val="000000C2"/>
    <w:rsid w:val="000000FB"/>
    <w:rsid w:val="0000026F"/>
    <w:rsid w:val="0000069A"/>
    <w:rsid w:val="00000DDB"/>
    <w:rsid w:val="00000E7D"/>
    <w:rsid w:val="00000F32"/>
    <w:rsid w:val="00001137"/>
    <w:rsid w:val="0000117C"/>
    <w:rsid w:val="000011CD"/>
    <w:rsid w:val="00001408"/>
    <w:rsid w:val="0000144A"/>
    <w:rsid w:val="00001489"/>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73B"/>
    <w:rsid w:val="00003853"/>
    <w:rsid w:val="000038F5"/>
    <w:rsid w:val="00003A4C"/>
    <w:rsid w:val="00003D2D"/>
    <w:rsid w:val="00004071"/>
    <w:rsid w:val="0000412C"/>
    <w:rsid w:val="000041C1"/>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E"/>
    <w:rsid w:val="00006B06"/>
    <w:rsid w:val="00006D02"/>
    <w:rsid w:val="00006E6A"/>
    <w:rsid w:val="00007190"/>
    <w:rsid w:val="00007460"/>
    <w:rsid w:val="000079B8"/>
    <w:rsid w:val="00007A4C"/>
    <w:rsid w:val="00007A75"/>
    <w:rsid w:val="00007C76"/>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E"/>
    <w:rsid w:val="000174C9"/>
    <w:rsid w:val="000175A4"/>
    <w:rsid w:val="00017733"/>
    <w:rsid w:val="00017841"/>
    <w:rsid w:val="00017A78"/>
    <w:rsid w:val="00017CFA"/>
    <w:rsid w:val="00017DE7"/>
    <w:rsid w:val="00017E05"/>
    <w:rsid w:val="00017E7D"/>
    <w:rsid w:val="00017EB5"/>
    <w:rsid w:val="00017F4D"/>
    <w:rsid w:val="00017FE2"/>
    <w:rsid w:val="0002034D"/>
    <w:rsid w:val="00020376"/>
    <w:rsid w:val="000205AE"/>
    <w:rsid w:val="000207BE"/>
    <w:rsid w:val="000209F0"/>
    <w:rsid w:val="00020A65"/>
    <w:rsid w:val="00020B54"/>
    <w:rsid w:val="00020C1B"/>
    <w:rsid w:val="00020DC4"/>
    <w:rsid w:val="00020E80"/>
    <w:rsid w:val="00020EE2"/>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304A"/>
    <w:rsid w:val="00023222"/>
    <w:rsid w:val="00023681"/>
    <w:rsid w:val="000238B6"/>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87"/>
    <w:rsid w:val="0003398E"/>
    <w:rsid w:val="000339B0"/>
    <w:rsid w:val="00033FFB"/>
    <w:rsid w:val="00034083"/>
    <w:rsid w:val="00034466"/>
    <w:rsid w:val="0003464E"/>
    <w:rsid w:val="000347BC"/>
    <w:rsid w:val="00034E38"/>
    <w:rsid w:val="00035235"/>
    <w:rsid w:val="00035713"/>
    <w:rsid w:val="000359DC"/>
    <w:rsid w:val="00035BA8"/>
    <w:rsid w:val="00035E78"/>
    <w:rsid w:val="00035FA2"/>
    <w:rsid w:val="00036304"/>
    <w:rsid w:val="00036414"/>
    <w:rsid w:val="0003661A"/>
    <w:rsid w:val="0003662D"/>
    <w:rsid w:val="0003674A"/>
    <w:rsid w:val="0003675F"/>
    <w:rsid w:val="000368CC"/>
    <w:rsid w:val="00036B39"/>
    <w:rsid w:val="0003704E"/>
    <w:rsid w:val="000370F5"/>
    <w:rsid w:val="00037141"/>
    <w:rsid w:val="00037221"/>
    <w:rsid w:val="00037B43"/>
    <w:rsid w:val="00037C56"/>
    <w:rsid w:val="00037D9D"/>
    <w:rsid w:val="0004014A"/>
    <w:rsid w:val="00040366"/>
    <w:rsid w:val="00040417"/>
    <w:rsid w:val="0004049C"/>
    <w:rsid w:val="0004055F"/>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DE"/>
    <w:rsid w:val="0004581E"/>
    <w:rsid w:val="00045878"/>
    <w:rsid w:val="0004599B"/>
    <w:rsid w:val="00045C96"/>
    <w:rsid w:val="0004617E"/>
    <w:rsid w:val="0004621D"/>
    <w:rsid w:val="000462C1"/>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C2"/>
    <w:rsid w:val="00063694"/>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5353"/>
    <w:rsid w:val="00075399"/>
    <w:rsid w:val="00075503"/>
    <w:rsid w:val="000755B8"/>
    <w:rsid w:val="000756E7"/>
    <w:rsid w:val="000757E0"/>
    <w:rsid w:val="00075B10"/>
    <w:rsid w:val="00075C8E"/>
    <w:rsid w:val="00075E38"/>
    <w:rsid w:val="00075EA4"/>
    <w:rsid w:val="00075F37"/>
    <w:rsid w:val="0007635F"/>
    <w:rsid w:val="00076391"/>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3026"/>
    <w:rsid w:val="000930E5"/>
    <w:rsid w:val="000930FC"/>
    <w:rsid w:val="00093184"/>
    <w:rsid w:val="000931E9"/>
    <w:rsid w:val="0009398B"/>
    <w:rsid w:val="000939B4"/>
    <w:rsid w:val="00093B68"/>
    <w:rsid w:val="00093BE7"/>
    <w:rsid w:val="00093E2F"/>
    <w:rsid w:val="00093F50"/>
    <w:rsid w:val="0009410A"/>
    <w:rsid w:val="000943DE"/>
    <w:rsid w:val="00094470"/>
    <w:rsid w:val="00094B4D"/>
    <w:rsid w:val="00094EF8"/>
    <w:rsid w:val="0009504D"/>
    <w:rsid w:val="000950ED"/>
    <w:rsid w:val="0009533C"/>
    <w:rsid w:val="000953CD"/>
    <w:rsid w:val="00095640"/>
    <w:rsid w:val="0009571F"/>
    <w:rsid w:val="000957A2"/>
    <w:rsid w:val="00095CD9"/>
    <w:rsid w:val="00095EC9"/>
    <w:rsid w:val="000961CB"/>
    <w:rsid w:val="000961CD"/>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9F3"/>
    <w:rsid w:val="000A217F"/>
    <w:rsid w:val="000A2311"/>
    <w:rsid w:val="000A2323"/>
    <w:rsid w:val="000A243E"/>
    <w:rsid w:val="000A2659"/>
    <w:rsid w:val="000A291C"/>
    <w:rsid w:val="000A2948"/>
    <w:rsid w:val="000A2A98"/>
    <w:rsid w:val="000A2BCC"/>
    <w:rsid w:val="000A2FFF"/>
    <w:rsid w:val="000A3112"/>
    <w:rsid w:val="000A32A2"/>
    <w:rsid w:val="000A3449"/>
    <w:rsid w:val="000A3935"/>
    <w:rsid w:val="000A3948"/>
    <w:rsid w:val="000A395F"/>
    <w:rsid w:val="000A3987"/>
    <w:rsid w:val="000A398C"/>
    <w:rsid w:val="000A3A77"/>
    <w:rsid w:val="000A3F80"/>
    <w:rsid w:val="000A4125"/>
    <w:rsid w:val="000A43DB"/>
    <w:rsid w:val="000A4878"/>
    <w:rsid w:val="000A4A34"/>
    <w:rsid w:val="000A4B65"/>
    <w:rsid w:val="000A4D1A"/>
    <w:rsid w:val="000A51A5"/>
    <w:rsid w:val="000A5300"/>
    <w:rsid w:val="000A5398"/>
    <w:rsid w:val="000A53B2"/>
    <w:rsid w:val="000A567E"/>
    <w:rsid w:val="000A56AA"/>
    <w:rsid w:val="000A5746"/>
    <w:rsid w:val="000A57C4"/>
    <w:rsid w:val="000A584E"/>
    <w:rsid w:val="000A5962"/>
    <w:rsid w:val="000A5ABE"/>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B"/>
    <w:rsid w:val="000B181E"/>
    <w:rsid w:val="000B1A58"/>
    <w:rsid w:val="000B1BF6"/>
    <w:rsid w:val="000B1C48"/>
    <w:rsid w:val="000B1D49"/>
    <w:rsid w:val="000B1D7E"/>
    <w:rsid w:val="000B1F85"/>
    <w:rsid w:val="000B22EA"/>
    <w:rsid w:val="000B23F6"/>
    <w:rsid w:val="000B2463"/>
    <w:rsid w:val="000B24A3"/>
    <w:rsid w:val="000B2613"/>
    <w:rsid w:val="000B2797"/>
    <w:rsid w:val="000B27EE"/>
    <w:rsid w:val="000B2AAF"/>
    <w:rsid w:val="000B2C30"/>
    <w:rsid w:val="000B2D64"/>
    <w:rsid w:val="000B2F5B"/>
    <w:rsid w:val="000B30EA"/>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A03"/>
    <w:rsid w:val="000B5EA0"/>
    <w:rsid w:val="000B5FCD"/>
    <w:rsid w:val="000B6020"/>
    <w:rsid w:val="000B60FD"/>
    <w:rsid w:val="000B6253"/>
    <w:rsid w:val="000B626F"/>
    <w:rsid w:val="000B648B"/>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6F"/>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7A"/>
    <w:rsid w:val="000C2D79"/>
    <w:rsid w:val="000C2FEB"/>
    <w:rsid w:val="000C31A2"/>
    <w:rsid w:val="000C34BB"/>
    <w:rsid w:val="000C350B"/>
    <w:rsid w:val="000C3569"/>
    <w:rsid w:val="000C37BB"/>
    <w:rsid w:val="000C3801"/>
    <w:rsid w:val="000C3826"/>
    <w:rsid w:val="000C390F"/>
    <w:rsid w:val="000C39FB"/>
    <w:rsid w:val="000C3AD9"/>
    <w:rsid w:val="000C3AFD"/>
    <w:rsid w:val="000C3C89"/>
    <w:rsid w:val="000C3D68"/>
    <w:rsid w:val="000C428D"/>
    <w:rsid w:val="000C4355"/>
    <w:rsid w:val="000C454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60C9"/>
    <w:rsid w:val="000C6178"/>
    <w:rsid w:val="000C64BE"/>
    <w:rsid w:val="000C6707"/>
    <w:rsid w:val="000C687E"/>
    <w:rsid w:val="000C691B"/>
    <w:rsid w:val="000C6935"/>
    <w:rsid w:val="000C69AB"/>
    <w:rsid w:val="000C6AEB"/>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6E"/>
    <w:rsid w:val="000D23A8"/>
    <w:rsid w:val="000D240E"/>
    <w:rsid w:val="000D2445"/>
    <w:rsid w:val="000D2467"/>
    <w:rsid w:val="000D2588"/>
    <w:rsid w:val="000D2756"/>
    <w:rsid w:val="000D2915"/>
    <w:rsid w:val="000D2C48"/>
    <w:rsid w:val="000D2E66"/>
    <w:rsid w:val="000D2FCD"/>
    <w:rsid w:val="000D3067"/>
    <w:rsid w:val="000D35BF"/>
    <w:rsid w:val="000D375A"/>
    <w:rsid w:val="000D3813"/>
    <w:rsid w:val="000D39D2"/>
    <w:rsid w:val="000D3B9E"/>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DF8"/>
    <w:rsid w:val="000D5E44"/>
    <w:rsid w:val="000D6073"/>
    <w:rsid w:val="000D6239"/>
    <w:rsid w:val="000D6582"/>
    <w:rsid w:val="000D65AB"/>
    <w:rsid w:val="000D669E"/>
    <w:rsid w:val="000D6994"/>
    <w:rsid w:val="000D69D7"/>
    <w:rsid w:val="000D69FF"/>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C31"/>
    <w:rsid w:val="000F0ED6"/>
    <w:rsid w:val="000F0FA5"/>
    <w:rsid w:val="000F131D"/>
    <w:rsid w:val="000F13A2"/>
    <w:rsid w:val="000F1480"/>
    <w:rsid w:val="000F1534"/>
    <w:rsid w:val="000F1557"/>
    <w:rsid w:val="000F184B"/>
    <w:rsid w:val="000F1A66"/>
    <w:rsid w:val="000F2186"/>
    <w:rsid w:val="000F21CE"/>
    <w:rsid w:val="000F2450"/>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E38"/>
    <w:rsid w:val="000F4FD2"/>
    <w:rsid w:val="000F50AB"/>
    <w:rsid w:val="000F52FA"/>
    <w:rsid w:val="000F5317"/>
    <w:rsid w:val="000F537E"/>
    <w:rsid w:val="000F53D3"/>
    <w:rsid w:val="000F5456"/>
    <w:rsid w:val="000F5639"/>
    <w:rsid w:val="000F5A65"/>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DF0"/>
    <w:rsid w:val="00103182"/>
    <w:rsid w:val="00103387"/>
    <w:rsid w:val="0010368E"/>
    <w:rsid w:val="0010387C"/>
    <w:rsid w:val="001038EA"/>
    <w:rsid w:val="00103DD1"/>
    <w:rsid w:val="00103F05"/>
    <w:rsid w:val="0010401E"/>
    <w:rsid w:val="00104095"/>
    <w:rsid w:val="001040C6"/>
    <w:rsid w:val="00104214"/>
    <w:rsid w:val="00104276"/>
    <w:rsid w:val="001043F6"/>
    <w:rsid w:val="00104443"/>
    <w:rsid w:val="001044A9"/>
    <w:rsid w:val="001046B3"/>
    <w:rsid w:val="001046EB"/>
    <w:rsid w:val="00104A16"/>
    <w:rsid w:val="00104B2B"/>
    <w:rsid w:val="00104B36"/>
    <w:rsid w:val="00104B84"/>
    <w:rsid w:val="00104C53"/>
    <w:rsid w:val="001050AE"/>
    <w:rsid w:val="00105370"/>
    <w:rsid w:val="00105676"/>
    <w:rsid w:val="00105BDE"/>
    <w:rsid w:val="00106329"/>
    <w:rsid w:val="001066C3"/>
    <w:rsid w:val="00106B86"/>
    <w:rsid w:val="00106C30"/>
    <w:rsid w:val="00106DCC"/>
    <w:rsid w:val="0010706E"/>
    <w:rsid w:val="001071BA"/>
    <w:rsid w:val="001071BD"/>
    <w:rsid w:val="00107449"/>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554"/>
    <w:rsid w:val="00114732"/>
    <w:rsid w:val="001149ED"/>
    <w:rsid w:val="00114BD1"/>
    <w:rsid w:val="00114E40"/>
    <w:rsid w:val="00114EFB"/>
    <w:rsid w:val="00115047"/>
    <w:rsid w:val="00115157"/>
    <w:rsid w:val="0011527F"/>
    <w:rsid w:val="0011539A"/>
    <w:rsid w:val="001156D0"/>
    <w:rsid w:val="00115838"/>
    <w:rsid w:val="001159D7"/>
    <w:rsid w:val="00115B7A"/>
    <w:rsid w:val="001163A5"/>
    <w:rsid w:val="001164CB"/>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30F"/>
    <w:rsid w:val="0012075B"/>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E70"/>
    <w:rsid w:val="001266B6"/>
    <w:rsid w:val="00126941"/>
    <w:rsid w:val="00126A99"/>
    <w:rsid w:val="00126B0C"/>
    <w:rsid w:val="00126BA3"/>
    <w:rsid w:val="00126C7B"/>
    <w:rsid w:val="00127138"/>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C1B"/>
    <w:rsid w:val="00141DDB"/>
    <w:rsid w:val="00141E19"/>
    <w:rsid w:val="00141F52"/>
    <w:rsid w:val="00142115"/>
    <w:rsid w:val="001421D1"/>
    <w:rsid w:val="00142793"/>
    <w:rsid w:val="00142800"/>
    <w:rsid w:val="00142AE7"/>
    <w:rsid w:val="00142CC1"/>
    <w:rsid w:val="00142D89"/>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95"/>
    <w:rsid w:val="00147CCB"/>
    <w:rsid w:val="00147E0F"/>
    <w:rsid w:val="00147E24"/>
    <w:rsid w:val="00147EB7"/>
    <w:rsid w:val="001502EE"/>
    <w:rsid w:val="001503AE"/>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98E"/>
    <w:rsid w:val="00151A4E"/>
    <w:rsid w:val="00151B13"/>
    <w:rsid w:val="00151C74"/>
    <w:rsid w:val="00151CB9"/>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D1E"/>
    <w:rsid w:val="00154E7C"/>
    <w:rsid w:val="00154F6E"/>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B"/>
    <w:rsid w:val="00157008"/>
    <w:rsid w:val="00157079"/>
    <w:rsid w:val="001570EE"/>
    <w:rsid w:val="00157526"/>
    <w:rsid w:val="00157ADE"/>
    <w:rsid w:val="00157CEC"/>
    <w:rsid w:val="00157FF6"/>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31"/>
    <w:rsid w:val="00162349"/>
    <w:rsid w:val="00162488"/>
    <w:rsid w:val="001625AD"/>
    <w:rsid w:val="00162A3C"/>
    <w:rsid w:val="00162C31"/>
    <w:rsid w:val="00162CD4"/>
    <w:rsid w:val="00162D10"/>
    <w:rsid w:val="00162DEB"/>
    <w:rsid w:val="00163089"/>
    <w:rsid w:val="001630B7"/>
    <w:rsid w:val="00163118"/>
    <w:rsid w:val="0016317C"/>
    <w:rsid w:val="00163205"/>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C2"/>
    <w:rsid w:val="001658EE"/>
    <w:rsid w:val="00165C74"/>
    <w:rsid w:val="00165D89"/>
    <w:rsid w:val="00165DD7"/>
    <w:rsid w:val="00165FD7"/>
    <w:rsid w:val="00166052"/>
    <w:rsid w:val="0016607A"/>
    <w:rsid w:val="0016628C"/>
    <w:rsid w:val="001663ED"/>
    <w:rsid w:val="001667E9"/>
    <w:rsid w:val="00166A3C"/>
    <w:rsid w:val="00166B48"/>
    <w:rsid w:val="00166F74"/>
    <w:rsid w:val="00166F84"/>
    <w:rsid w:val="0016718A"/>
    <w:rsid w:val="0016740A"/>
    <w:rsid w:val="0016741E"/>
    <w:rsid w:val="00167565"/>
    <w:rsid w:val="0016766C"/>
    <w:rsid w:val="00167797"/>
    <w:rsid w:val="00167822"/>
    <w:rsid w:val="00167AE2"/>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FAD"/>
    <w:rsid w:val="00171FEC"/>
    <w:rsid w:val="00172130"/>
    <w:rsid w:val="001721B2"/>
    <w:rsid w:val="00172213"/>
    <w:rsid w:val="001722D2"/>
    <w:rsid w:val="001723D1"/>
    <w:rsid w:val="00172855"/>
    <w:rsid w:val="001729DF"/>
    <w:rsid w:val="00172B51"/>
    <w:rsid w:val="00172C83"/>
    <w:rsid w:val="00172D3E"/>
    <w:rsid w:val="00172DAD"/>
    <w:rsid w:val="00173150"/>
    <w:rsid w:val="00173259"/>
    <w:rsid w:val="001732A3"/>
    <w:rsid w:val="0017343A"/>
    <w:rsid w:val="001735E3"/>
    <w:rsid w:val="0017392A"/>
    <w:rsid w:val="00173BB2"/>
    <w:rsid w:val="00173BE0"/>
    <w:rsid w:val="00173DE4"/>
    <w:rsid w:val="001740C2"/>
    <w:rsid w:val="0017414C"/>
    <w:rsid w:val="0017415E"/>
    <w:rsid w:val="00174350"/>
    <w:rsid w:val="001746E5"/>
    <w:rsid w:val="001748C4"/>
    <w:rsid w:val="00174BB3"/>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F1F"/>
    <w:rsid w:val="001850E5"/>
    <w:rsid w:val="001854DB"/>
    <w:rsid w:val="0018565C"/>
    <w:rsid w:val="00185A88"/>
    <w:rsid w:val="00185CE0"/>
    <w:rsid w:val="00185E29"/>
    <w:rsid w:val="00185FFE"/>
    <w:rsid w:val="00186109"/>
    <w:rsid w:val="00186254"/>
    <w:rsid w:val="001862B4"/>
    <w:rsid w:val="001863FD"/>
    <w:rsid w:val="0018647A"/>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C19"/>
    <w:rsid w:val="00195E03"/>
    <w:rsid w:val="00195E9F"/>
    <w:rsid w:val="00196111"/>
    <w:rsid w:val="001962EE"/>
    <w:rsid w:val="0019660A"/>
    <w:rsid w:val="0019666C"/>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60D"/>
    <w:rsid w:val="0019768B"/>
    <w:rsid w:val="0019776B"/>
    <w:rsid w:val="001978D5"/>
    <w:rsid w:val="00197997"/>
    <w:rsid w:val="00197B67"/>
    <w:rsid w:val="00197B97"/>
    <w:rsid w:val="00197C43"/>
    <w:rsid w:val="001A00F5"/>
    <w:rsid w:val="001A0313"/>
    <w:rsid w:val="001A04E0"/>
    <w:rsid w:val="001A04FF"/>
    <w:rsid w:val="001A05BF"/>
    <w:rsid w:val="001A0A23"/>
    <w:rsid w:val="001A0A96"/>
    <w:rsid w:val="001A0B8C"/>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DA"/>
    <w:rsid w:val="001A340D"/>
    <w:rsid w:val="001A34A6"/>
    <w:rsid w:val="001A36FB"/>
    <w:rsid w:val="001A38DE"/>
    <w:rsid w:val="001A3B2F"/>
    <w:rsid w:val="001A3DF1"/>
    <w:rsid w:val="001A418C"/>
    <w:rsid w:val="001A427E"/>
    <w:rsid w:val="001A48DD"/>
    <w:rsid w:val="001A4971"/>
    <w:rsid w:val="001A49B7"/>
    <w:rsid w:val="001A49DF"/>
    <w:rsid w:val="001A4B2F"/>
    <w:rsid w:val="001A4DCF"/>
    <w:rsid w:val="001A4EFF"/>
    <w:rsid w:val="001A4F83"/>
    <w:rsid w:val="001A5255"/>
    <w:rsid w:val="001A534D"/>
    <w:rsid w:val="001A5714"/>
    <w:rsid w:val="001A596B"/>
    <w:rsid w:val="001A597A"/>
    <w:rsid w:val="001A5A84"/>
    <w:rsid w:val="001A5AAE"/>
    <w:rsid w:val="001A5B09"/>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86A"/>
    <w:rsid w:val="001A7A3A"/>
    <w:rsid w:val="001B023C"/>
    <w:rsid w:val="001B029F"/>
    <w:rsid w:val="001B0504"/>
    <w:rsid w:val="001B0612"/>
    <w:rsid w:val="001B074F"/>
    <w:rsid w:val="001B0824"/>
    <w:rsid w:val="001B0843"/>
    <w:rsid w:val="001B08C7"/>
    <w:rsid w:val="001B0A7B"/>
    <w:rsid w:val="001B0A8D"/>
    <w:rsid w:val="001B0D17"/>
    <w:rsid w:val="001B0D18"/>
    <w:rsid w:val="001B0EE0"/>
    <w:rsid w:val="001B1006"/>
    <w:rsid w:val="001B108B"/>
    <w:rsid w:val="001B1137"/>
    <w:rsid w:val="001B1146"/>
    <w:rsid w:val="001B131E"/>
    <w:rsid w:val="001B161C"/>
    <w:rsid w:val="001B17D0"/>
    <w:rsid w:val="001B1828"/>
    <w:rsid w:val="001B1927"/>
    <w:rsid w:val="001B1D4B"/>
    <w:rsid w:val="001B1F40"/>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EA"/>
    <w:rsid w:val="001B61E0"/>
    <w:rsid w:val="001B65AE"/>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AC2"/>
    <w:rsid w:val="001C0C10"/>
    <w:rsid w:val="001C0CA8"/>
    <w:rsid w:val="001C0ED2"/>
    <w:rsid w:val="001C0F35"/>
    <w:rsid w:val="001C0F4A"/>
    <w:rsid w:val="001C0F67"/>
    <w:rsid w:val="001C0FD8"/>
    <w:rsid w:val="001C0FE7"/>
    <w:rsid w:val="001C1060"/>
    <w:rsid w:val="001C107A"/>
    <w:rsid w:val="001C1083"/>
    <w:rsid w:val="001C1112"/>
    <w:rsid w:val="001C1159"/>
    <w:rsid w:val="001C145E"/>
    <w:rsid w:val="001C182E"/>
    <w:rsid w:val="001C1932"/>
    <w:rsid w:val="001C19B2"/>
    <w:rsid w:val="001C1A16"/>
    <w:rsid w:val="001C1BC4"/>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C3E"/>
    <w:rsid w:val="001D3DE6"/>
    <w:rsid w:val="001D3F1B"/>
    <w:rsid w:val="001D401C"/>
    <w:rsid w:val="001D4114"/>
    <w:rsid w:val="001D41AB"/>
    <w:rsid w:val="001D4493"/>
    <w:rsid w:val="001D44DE"/>
    <w:rsid w:val="001D454B"/>
    <w:rsid w:val="001D4976"/>
    <w:rsid w:val="001D49BB"/>
    <w:rsid w:val="001D4A70"/>
    <w:rsid w:val="001D4C24"/>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361"/>
    <w:rsid w:val="001D678B"/>
    <w:rsid w:val="001D67A5"/>
    <w:rsid w:val="001D6F2B"/>
    <w:rsid w:val="001D7011"/>
    <w:rsid w:val="001D741D"/>
    <w:rsid w:val="001D7514"/>
    <w:rsid w:val="001D787C"/>
    <w:rsid w:val="001D7944"/>
    <w:rsid w:val="001D7C74"/>
    <w:rsid w:val="001D7D20"/>
    <w:rsid w:val="001D7E9E"/>
    <w:rsid w:val="001E0404"/>
    <w:rsid w:val="001E0425"/>
    <w:rsid w:val="001E049F"/>
    <w:rsid w:val="001E04A8"/>
    <w:rsid w:val="001E08C0"/>
    <w:rsid w:val="001E0A66"/>
    <w:rsid w:val="001E0B9A"/>
    <w:rsid w:val="001E0BCC"/>
    <w:rsid w:val="001E0E59"/>
    <w:rsid w:val="001E1098"/>
    <w:rsid w:val="001E130B"/>
    <w:rsid w:val="001E137A"/>
    <w:rsid w:val="001E145F"/>
    <w:rsid w:val="001E1573"/>
    <w:rsid w:val="001E1D4E"/>
    <w:rsid w:val="001E1D9A"/>
    <w:rsid w:val="001E2050"/>
    <w:rsid w:val="001E20EB"/>
    <w:rsid w:val="001E22C0"/>
    <w:rsid w:val="001E22CD"/>
    <w:rsid w:val="001E29C7"/>
    <w:rsid w:val="001E2B22"/>
    <w:rsid w:val="001E2C1B"/>
    <w:rsid w:val="001E2C6A"/>
    <w:rsid w:val="001E3019"/>
    <w:rsid w:val="001E3825"/>
    <w:rsid w:val="001E3947"/>
    <w:rsid w:val="001E3960"/>
    <w:rsid w:val="001E39C1"/>
    <w:rsid w:val="001E3B9D"/>
    <w:rsid w:val="001E3E08"/>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4041"/>
    <w:rsid w:val="0020412C"/>
    <w:rsid w:val="002041B7"/>
    <w:rsid w:val="002045CD"/>
    <w:rsid w:val="00204683"/>
    <w:rsid w:val="002048F0"/>
    <w:rsid w:val="002048F7"/>
    <w:rsid w:val="00204BE9"/>
    <w:rsid w:val="00204C47"/>
    <w:rsid w:val="00204DC5"/>
    <w:rsid w:val="00204EC9"/>
    <w:rsid w:val="002053BB"/>
    <w:rsid w:val="00205469"/>
    <w:rsid w:val="002054C8"/>
    <w:rsid w:val="00205789"/>
    <w:rsid w:val="002058C0"/>
    <w:rsid w:val="002058E6"/>
    <w:rsid w:val="00205A5B"/>
    <w:rsid w:val="00205D10"/>
    <w:rsid w:val="00205E26"/>
    <w:rsid w:val="0020635E"/>
    <w:rsid w:val="00206525"/>
    <w:rsid w:val="002066E9"/>
    <w:rsid w:val="002067ED"/>
    <w:rsid w:val="0020686D"/>
    <w:rsid w:val="00206C2B"/>
    <w:rsid w:val="00206D8C"/>
    <w:rsid w:val="00206FA9"/>
    <w:rsid w:val="0020727C"/>
    <w:rsid w:val="002072BC"/>
    <w:rsid w:val="002077CB"/>
    <w:rsid w:val="00207829"/>
    <w:rsid w:val="0020784D"/>
    <w:rsid w:val="00207905"/>
    <w:rsid w:val="00207A35"/>
    <w:rsid w:val="00210125"/>
    <w:rsid w:val="002101A6"/>
    <w:rsid w:val="002105EB"/>
    <w:rsid w:val="002108A0"/>
    <w:rsid w:val="002109B4"/>
    <w:rsid w:val="00210BF3"/>
    <w:rsid w:val="00210FCF"/>
    <w:rsid w:val="002110DC"/>
    <w:rsid w:val="002110DD"/>
    <w:rsid w:val="002110F3"/>
    <w:rsid w:val="00211715"/>
    <w:rsid w:val="002118CE"/>
    <w:rsid w:val="00211F79"/>
    <w:rsid w:val="00212012"/>
    <w:rsid w:val="0021219F"/>
    <w:rsid w:val="002123A4"/>
    <w:rsid w:val="002123B7"/>
    <w:rsid w:val="002123ED"/>
    <w:rsid w:val="00212718"/>
    <w:rsid w:val="00212791"/>
    <w:rsid w:val="002128D0"/>
    <w:rsid w:val="00212BCC"/>
    <w:rsid w:val="00212C61"/>
    <w:rsid w:val="00212DF2"/>
    <w:rsid w:val="00212FD0"/>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5014"/>
    <w:rsid w:val="0021548D"/>
    <w:rsid w:val="00215622"/>
    <w:rsid w:val="002156C4"/>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6"/>
    <w:rsid w:val="00224288"/>
    <w:rsid w:val="002242D8"/>
    <w:rsid w:val="002243C4"/>
    <w:rsid w:val="0022474C"/>
    <w:rsid w:val="002248E3"/>
    <w:rsid w:val="002249F5"/>
    <w:rsid w:val="00224A71"/>
    <w:rsid w:val="00224DD9"/>
    <w:rsid w:val="00224F29"/>
    <w:rsid w:val="00224F50"/>
    <w:rsid w:val="002251F0"/>
    <w:rsid w:val="0022549A"/>
    <w:rsid w:val="00225622"/>
    <w:rsid w:val="00225949"/>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39D"/>
    <w:rsid w:val="002374F9"/>
    <w:rsid w:val="002376DC"/>
    <w:rsid w:val="00237927"/>
    <w:rsid w:val="002379ED"/>
    <w:rsid w:val="00237AAD"/>
    <w:rsid w:val="00237AE2"/>
    <w:rsid w:val="00237B7A"/>
    <w:rsid w:val="00237C19"/>
    <w:rsid w:val="00237D4D"/>
    <w:rsid w:val="00237E30"/>
    <w:rsid w:val="00237F8F"/>
    <w:rsid w:val="00240001"/>
    <w:rsid w:val="002402AC"/>
    <w:rsid w:val="0024057E"/>
    <w:rsid w:val="00240595"/>
    <w:rsid w:val="002405C0"/>
    <w:rsid w:val="00240622"/>
    <w:rsid w:val="002407AD"/>
    <w:rsid w:val="002408D6"/>
    <w:rsid w:val="002408F7"/>
    <w:rsid w:val="00240A52"/>
    <w:rsid w:val="00240C24"/>
    <w:rsid w:val="00240C59"/>
    <w:rsid w:val="00240CC3"/>
    <w:rsid w:val="00240D79"/>
    <w:rsid w:val="00241187"/>
    <w:rsid w:val="002411F5"/>
    <w:rsid w:val="00241289"/>
    <w:rsid w:val="002414FA"/>
    <w:rsid w:val="0024160E"/>
    <w:rsid w:val="00241709"/>
    <w:rsid w:val="0024185F"/>
    <w:rsid w:val="00241A13"/>
    <w:rsid w:val="00241AF6"/>
    <w:rsid w:val="00241B28"/>
    <w:rsid w:val="00241D5B"/>
    <w:rsid w:val="00241DE8"/>
    <w:rsid w:val="00241F35"/>
    <w:rsid w:val="0024246B"/>
    <w:rsid w:val="002425C9"/>
    <w:rsid w:val="00242695"/>
    <w:rsid w:val="0024297F"/>
    <w:rsid w:val="0024298F"/>
    <w:rsid w:val="00242BBB"/>
    <w:rsid w:val="00242DEA"/>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546"/>
    <w:rsid w:val="002465D8"/>
    <w:rsid w:val="002466CE"/>
    <w:rsid w:val="00246719"/>
    <w:rsid w:val="00246A29"/>
    <w:rsid w:val="00246C80"/>
    <w:rsid w:val="002470B8"/>
    <w:rsid w:val="00247122"/>
    <w:rsid w:val="0024717C"/>
    <w:rsid w:val="00247391"/>
    <w:rsid w:val="00247475"/>
    <w:rsid w:val="0024765F"/>
    <w:rsid w:val="00247707"/>
    <w:rsid w:val="00247C16"/>
    <w:rsid w:val="00247C3D"/>
    <w:rsid w:val="00247E8F"/>
    <w:rsid w:val="002502AE"/>
    <w:rsid w:val="002502F1"/>
    <w:rsid w:val="00250449"/>
    <w:rsid w:val="002506F5"/>
    <w:rsid w:val="00250819"/>
    <w:rsid w:val="00250845"/>
    <w:rsid w:val="002508F9"/>
    <w:rsid w:val="002509DF"/>
    <w:rsid w:val="002509EE"/>
    <w:rsid w:val="00250D06"/>
    <w:rsid w:val="00250D1E"/>
    <w:rsid w:val="00250D3B"/>
    <w:rsid w:val="00250E17"/>
    <w:rsid w:val="002510D7"/>
    <w:rsid w:val="002510EF"/>
    <w:rsid w:val="00251117"/>
    <w:rsid w:val="00251124"/>
    <w:rsid w:val="00251596"/>
    <w:rsid w:val="002517AD"/>
    <w:rsid w:val="002518AF"/>
    <w:rsid w:val="00251B31"/>
    <w:rsid w:val="00251B8B"/>
    <w:rsid w:val="00251C33"/>
    <w:rsid w:val="00251DE1"/>
    <w:rsid w:val="00251DE7"/>
    <w:rsid w:val="00251E4B"/>
    <w:rsid w:val="00252068"/>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ED1"/>
    <w:rsid w:val="00253F4F"/>
    <w:rsid w:val="00253F9F"/>
    <w:rsid w:val="002543CC"/>
    <w:rsid w:val="002545A9"/>
    <w:rsid w:val="00254924"/>
    <w:rsid w:val="00254974"/>
    <w:rsid w:val="002552E9"/>
    <w:rsid w:val="0025549D"/>
    <w:rsid w:val="00255653"/>
    <w:rsid w:val="002556E2"/>
    <w:rsid w:val="00255803"/>
    <w:rsid w:val="002558DD"/>
    <w:rsid w:val="00255974"/>
    <w:rsid w:val="00255A58"/>
    <w:rsid w:val="00255C41"/>
    <w:rsid w:val="00255E68"/>
    <w:rsid w:val="0025608C"/>
    <w:rsid w:val="002561A4"/>
    <w:rsid w:val="00256247"/>
    <w:rsid w:val="00256626"/>
    <w:rsid w:val="00256652"/>
    <w:rsid w:val="00256683"/>
    <w:rsid w:val="00256BA1"/>
    <w:rsid w:val="00256C35"/>
    <w:rsid w:val="00256FC5"/>
    <w:rsid w:val="00257027"/>
    <w:rsid w:val="00257085"/>
    <w:rsid w:val="002570A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2E3"/>
    <w:rsid w:val="00263C7F"/>
    <w:rsid w:val="00263D53"/>
    <w:rsid w:val="00263E34"/>
    <w:rsid w:val="00263E85"/>
    <w:rsid w:val="00263FD8"/>
    <w:rsid w:val="00263FE8"/>
    <w:rsid w:val="002643F5"/>
    <w:rsid w:val="002646E8"/>
    <w:rsid w:val="002647D7"/>
    <w:rsid w:val="002649D4"/>
    <w:rsid w:val="00264A2C"/>
    <w:rsid w:val="00264C10"/>
    <w:rsid w:val="00264CEF"/>
    <w:rsid w:val="00264D14"/>
    <w:rsid w:val="00264DBF"/>
    <w:rsid w:val="00264E29"/>
    <w:rsid w:val="0026509C"/>
    <w:rsid w:val="002651BA"/>
    <w:rsid w:val="002657A2"/>
    <w:rsid w:val="00265C98"/>
    <w:rsid w:val="00266144"/>
    <w:rsid w:val="002663D5"/>
    <w:rsid w:val="0026642C"/>
    <w:rsid w:val="002664C9"/>
    <w:rsid w:val="00266543"/>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764"/>
    <w:rsid w:val="002768FF"/>
    <w:rsid w:val="00276976"/>
    <w:rsid w:val="00276D70"/>
    <w:rsid w:val="00276D94"/>
    <w:rsid w:val="00276F0A"/>
    <w:rsid w:val="0027711B"/>
    <w:rsid w:val="00277208"/>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59E"/>
    <w:rsid w:val="00293CC7"/>
    <w:rsid w:val="00293D98"/>
    <w:rsid w:val="00293EF0"/>
    <w:rsid w:val="0029408F"/>
    <w:rsid w:val="002941CC"/>
    <w:rsid w:val="00294371"/>
    <w:rsid w:val="00294382"/>
    <w:rsid w:val="002943BE"/>
    <w:rsid w:val="002943F5"/>
    <w:rsid w:val="00294403"/>
    <w:rsid w:val="002946C7"/>
    <w:rsid w:val="0029473C"/>
    <w:rsid w:val="00294888"/>
    <w:rsid w:val="002949E0"/>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4B2"/>
    <w:rsid w:val="00296526"/>
    <w:rsid w:val="0029652B"/>
    <w:rsid w:val="0029653C"/>
    <w:rsid w:val="0029671C"/>
    <w:rsid w:val="00296884"/>
    <w:rsid w:val="002969EF"/>
    <w:rsid w:val="00296B1D"/>
    <w:rsid w:val="00296DCB"/>
    <w:rsid w:val="00296E02"/>
    <w:rsid w:val="00297168"/>
    <w:rsid w:val="002972C0"/>
    <w:rsid w:val="00297394"/>
    <w:rsid w:val="002976DA"/>
    <w:rsid w:val="00297972"/>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10A"/>
    <w:rsid w:val="002A11E4"/>
    <w:rsid w:val="002A11F4"/>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A9E"/>
    <w:rsid w:val="002A2B16"/>
    <w:rsid w:val="002A2E50"/>
    <w:rsid w:val="002A3063"/>
    <w:rsid w:val="002A3241"/>
    <w:rsid w:val="002A324B"/>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93"/>
    <w:rsid w:val="002B043A"/>
    <w:rsid w:val="002B050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E4"/>
    <w:rsid w:val="002B24F5"/>
    <w:rsid w:val="002B2718"/>
    <w:rsid w:val="002B27F8"/>
    <w:rsid w:val="002B2956"/>
    <w:rsid w:val="002B2958"/>
    <w:rsid w:val="002B2ED4"/>
    <w:rsid w:val="002B3250"/>
    <w:rsid w:val="002B3478"/>
    <w:rsid w:val="002B37DA"/>
    <w:rsid w:val="002B3872"/>
    <w:rsid w:val="002B3A82"/>
    <w:rsid w:val="002B3AD6"/>
    <w:rsid w:val="002B3B99"/>
    <w:rsid w:val="002B3F6B"/>
    <w:rsid w:val="002B3F7C"/>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D92"/>
    <w:rsid w:val="002C0011"/>
    <w:rsid w:val="002C009A"/>
    <w:rsid w:val="002C01F8"/>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6C5"/>
    <w:rsid w:val="002C172B"/>
    <w:rsid w:val="002C19D9"/>
    <w:rsid w:val="002C1D71"/>
    <w:rsid w:val="002C1DE5"/>
    <w:rsid w:val="002C2018"/>
    <w:rsid w:val="002C203A"/>
    <w:rsid w:val="002C225E"/>
    <w:rsid w:val="002C2358"/>
    <w:rsid w:val="002C24AF"/>
    <w:rsid w:val="002C256C"/>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97A"/>
    <w:rsid w:val="002C799B"/>
    <w:rsid w:val="002C7E76"/>
    <w:rsid w:val="002C7F3E"/>
    <w:rsid w:val="002C7F8E"/>
    <w:rsid w:val="002D01B4"/>
    <w:rsid w:val="002D0315"/>
    <w:rsid w:val="002D03C5"/>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6D4"/>
    <w:rsid w:val="002D26E8"/>
    <w:rsid w:val="002D28C3"/>
    <w:rsid w:val="002D29D4"/>
    <w:rsid w:val="002D2C2B"/>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D40"/>
    <w:rsid w:val="002E4152"/>
    <w:rsid w:val="002E41DF"/>
    <w:rsid w:val="002E4297"/>
    <w:rsid w:val="002E42E8"/>
    <w:rsid w:val="002E459F"/>
    <w:rsid w:val="002E45F2"/>
    <w:rsid w:val="002E46A0"/>
    <w:rsid w:val="002E5273"/>
    <w:rsid w:val="002E5509"/>
    <w:rsid w:val="002E5591"/>
    <w:rsid w:val="002E57C5"/>
    <w:rsid w:val="002E58E0"/>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7E"/>
    <w:rsid w:val="002E731A"/>
    <w:rsid w:val="002E7338"/>
    <w:rsid w:val="002E7379"/>
    <w:rsid w:val="002E73C8"/>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8E"/>
    <w:rsid w:val="00300CAF"/>
    <w:rsid w:val="00300D9F"/>
    <w:rsid w:val="00300F2B"/>
    <w:rsid w:val="00300F43"/>
    <w:rsid w:val="00301091"/>
    <w:rsid w:val="003011EA"/>
    <w:rsid w:val="00301302"/>
    <w:rsid w:val="00301866"/>
    <w:rsid w:val="00301B78"/>
    <w:rsid w:val="00301D22"/>
    <w:rsid w:val="00301DD8"/>
    <w:rsid w:val="00301E1E"/>
    <w:rsid w:val="00302265"/>
    <w:rsid w:val="00302295"/>
    <w:rsid w:val="003025A7"/>
    <w:rsid w:val="003025CE"/>
    <w:rsid w:val="003025D5"/>
    <w:rsid w:val="00302684"/>
    <w:rsid w:val="003026C4"/>
    <w:rsid w:val="00302A22"/>
    <w:rsid w:val="00302BE1"/>
    <w:rsid w:val="00302BF1"/>
    <w:rsid w:val="00302C12"/>
    <w:rsid w:val="00302CE0"/>
    <w:rsid w:val="00302E8A"/>
    <w:rsid w:val="00302F2C"/>
    <w:rsid w:val="003030C7"/>
    <w:rsid w:val="0030318E"/>
    <w:rsid w:val="00303344"/>
    <w:rsid w:val="00303379"/>
    <w:rsid w:val="0030370C"/>
    <w:rsid w:val="00303782"/>
    <w:rsid w:val="00303997"/>
    <w:rsid w:val="00303A4F"/>
    <w:rsid w:val="00303E23"/>
    <w:rsid w:val="00303EA5"/>
    <w:rsid w:val="00303FB0"/>
    <w:rsid w:val="00304036"/>
    <w:rsid w:val="00304042"/>
    <w:rsid w:val="003040E3"/>
    <w:rsid w:val="00304104"/>
    <w:rsid w:val="0030445A"/>
    <w:rsid w:val="00304468"/>
    <w:rsid w:val="0030453A"/>
    <w:rsid w:val="0030455D"/>
    <w:rsid w:val="0030456E"/>
    <w:rsid w:val="00304BD4"/>
    <w:rsid w:val="00304BFD"/>
    <w:rsid w:val="00304E5C"/>
    <w:rsid w:val="00304E76"/>
    <w:rsid w:val="003050C0"/>
    <w:rsid w:val="003051C8"/>
    <w:rsid w:val="003051EE"/>
    <w:rsid w:val="00305568"/>
    <w:rsid w:val="003056C3"/>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1124"/>
    <w:rsid w:val="00311265"/>
    <w:rsid w:val="003113ED"/>
    <w:rsid w:val="00311673"/>
    <w:rsid w:val="003119E6"/>
    <w:rsid w:val="00311A46"/>
    <w:rsid w:val="00311D63"/>
    <w:rsid w:val="00311E57"/>
    <w:rsid w:val="00311EAC"/>
    <w:rsid w:val="00311EBD"/>
    <w:rsid w:val="00312232"/>
    <w:rsid w:val="00312452"/>
    <w:rsid w:val="00312465"/>
    <w:rsid w:val="003124B8"/>
    <w:rsid w:val="00312545"/>
    <w:rsid w:val="00312608"/>
    <w:rsid w:val="00312827"/>
    <w:rsid w:val="0031295A"/>
    <w:rsid w:val="00312AC7"/>
    <w:rsid w:val="00312BB6"/>
    <w:rsid w:val="00312C4A"/>
    <w:rsid w:val="00312D8E"/>
    <w:rsid w:val="00312E27"/>
    <w:rsid w:val="00312E86"/>
    <w:rsid w:val="003135A8"/>
    <w:rsid w:val="00313651"/>
    <w:rsid w:val="00313720"/>
    <w:rsid w:val="00313DAD"/>
    <w:rsid w:val="00313E10"/>
    <w:rsid w:val="00313FE9"/>
    <w:rsid w:val="00314091"/>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F6F"/>
    <w:rsid w:val="003201A1"/>
    <w:rsid w:val="003201CD"/>
    <w:rsid w:val="00320394"/>
    <w:rsid w:val="0032039F"/>
    <w:rsid w:val="003203F0"/>
    <w:rsid w:val="00320452"/>
    <w:rsid w:val="003205FE"/>
    <w:rsid w:val="00320800"/>
    <w:rsid w:val="00320804"/>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A28"/>
    <w:rsid w:val="00323DC3"/>
    <w:rsid w:val="00323E1B"/>
    <w:rsid w:val="00323E52"/>
    <w:rsid w:val="00323E54"/>
    <w:rsid w:val="00323EDB"/>
    <w:rsid w:val="00324065"/>
    <w:rsid w:val="003241DB"/>
    <w:rsid w:val="0032424A"/>
    <w:rsid w:val="00324508"/>
    <w:rsid w:val="00324753"/>
    <w:rsid w:val="003247A7"/>
    <w:rsid w:val="003249E3"/>
    <w:rsid w:val="00324B32"/>
    <w:rsid w:val="00324B46"/>
    <w:rsid w:val="00324B4D"/>
    <w:rsid w:val="00324B6C"/>
    <w:rsid w:val="00324E59"/>
    <w:rsid w:val="00324E84"/>
    <w:rsid w:val="00324F6C"/>
    <w:rsid w:val="00325113"/>
    <w:rsid w:val="00325136"/>
    <w:rsid w:val="00325171"/>
    <w:rsid w:val="00325441"/>
    <w:rsid w:val="0032545B"/>
    <w:rsid w:val="00325829"/>
    <w:rsid w:val="0032586E"/>
    <w:rsid w:val="003258BA"/>
    <w:rsid w:val="0032596D"/>
    <w:rsid w:val="00325A9B"/>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A97"/>
    <w:rsid w:val="00336C15"/>
    <w:rsid w:val="00336F65"/>
    <w:rsid w:val="00337552"/>
    <w:rsid w:val="00337584"/>
    <w:rsid w:val="0033761D"/>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AD"/>
    <w:rsid w:val="003474DD"/>
    <w:rsid w:val="003475C2"/>
    <w:rsid w:val="0034761D"/>
    <w:rsid w:val="0034768B"/>
    <w:rsid w:val="003476D9"/>
    <w:rsid w:val="0034774E"/>
    <w:rsid w:val="003477BE"/>
    <w:rsid w:val="0034786C"/>
    <w:rsid w:val="0034786F"/>
    <w:rsid w:val="00347E06"/>
    <w:rsid w:val="00347E1E"/>
    <w:rsid w:val="00347F9E"/>
    <w:rsid w:val="003504F3"/>
    <w:rsid w:val="00350A74"/>
    <w:rsid w:val="00350B49"/>
    <w:rsid w:val="00350B5B"/>
    <w:rsid w:val="00350F11"/>
    <w:rsid w:val="003513DB"/>
    <w:rsid w:val="0035146D"/>
    <w:rsid w:val="003514CF"/>
    <w:rsid w:val="003514F0"/>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51F8"/>
    <w:rsid w:val="0035580E"/>
    <w:rsid w:val="00355C19"/>
    <w:rsid w:val="00355D01"/>
    <w:rsid w:val="00356108"/>
    <w:rsid w:val="00356326"/>
    <w:rsid w:val="003565C0"/>
    <w:rsid w:val="0035677E"/>
    <w:rsid w:val="00356797"/>
    <w:rsid w:val="003568E2"/>
    <w:rsid w:val="0035698E"/>
    <w:rsid w:val="00356A01"/>
    <w:rsid w:val="00356D06"/>
    <w:rsid w:val="00356E92"/>
    <w:rsid w:val="00356F14"/>
    <w:rsid w:val="0035712F"/>
    <w:rsid w:val="00357379"/>
    <w:rsid w:val="003573A4"/>
    <w:rsid w:val="0035797C"/>
    <w:rsid w:val="00357E6D"/>
    <w:rsid w:val="00357EB1"/>
    <w:rsid w:val="0036050E"/>
    <w:rsid w:val="00360D2F"/>
    <w:rsid w:val="003610F0"/>
    <w:rsid w:val="003610FF"/>
    <w:rsid w:val="00361105"/>
    <w:rsid w:val="003619D1"/>
    <w:rsid w:val="00361A65"/>
    <w:rsid w:val="00361B55"/>
    <w:rsid w:val="00361BFA"/>
    <w:rsid w:val="00361C9F"/>
    <w:rsid w:val="00361E11"/>
    <w:rsid w:val="00361E3F"/>
    <w:rsid w:val="00361E97"/>
    <w:rsid w:val="00361F54"/>
    <w:rsid w:val="003621F7"/>
    <w:rsid w:val="00362223"/>
    <w:rsid w:val="0036228C"/>
    <w:rsid w:val="003622C2"/>
    <w:rsid w:val="003622F0"/>
    <w:rsid w:val="00362325"/>
    <w:rsid w:val="00362331"/>
    <w:rsid w:val="00362448"/>
    <w:rsid w:val="00362564"/>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A94"/>
    <w:rsid w:val="00366A9C"/>
    <w:rsid w:val="00366AD5"/>
    <w:rsid w:val="00366B94"/>
    <w:rsid w:val="00366C95"/>
    <w:rsid w:val="0036706A"/>
    <w:rsid w:val="003670BC"/>
    <w:rsid w:val="00367189"/>
    <w:rsid w:val="0036720B"/>
    <w:rsid w:val="003674B1"/>
    <w:rsid w:val="00367504"/>
    <w:rsid w:val="00367740"/>
    <w:rsid w:val="003678CD"/>
    <w:rsid w:val="00367B20"/>
    <w:rsid w:val="00367BEB"/>
    <w:rsid w:val="00367C0D"/>
    <w:rsid w:val="00367D3F"/>
    <w:rsid w:val="0037034B"/>
    <w:rsid w:val="00370506"/>
    <w:rsid w:val="0037052C"/>
    <w:rsid w:val="0037082C"/>
    <w:rsid w:val="0037084D"/>
    <w:rsid w:val="00370B09"/>
    <w:rsid w:val="00370B27"/>
    <w:rsid w:val="00370D31"/>
    <w:rsid w:val="00370F21"/>
    <w:rsid w:val="00370FB8"/>
    <w:rsid w:val="0037107A"/>
    <w:rsid w:val="00371084"/>
    <w:rsid w:val="0037110D"/>
    <w:rsid w:val="003713F4"/>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DC"/>
    <w:rsid w:val="0037660F"/>
    <w:rsid w:val="00376694"/>
    <w:rsid w:val="00376717"/>
    <w:rsid w:val="003767FC"/>
    <w:rsid w:val="003768F9"/>
    <w:rsid w:val="00376942"/>
    <w:rsid w:val="0037696E"/>
    <w:rsid w:val="00376D1C"/>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FE6"/>
    <w:rsid w:val="003841B4"/>
    <w:rsid w:val="003842A3"/>
    <w:rsid w:val="00384867"/>
    <w:rsid w:val="00384906"/>
    <w:rsid w:val="00384974"/>
    <w:rsid w:val="00384B66"/>
    <w:rsid w:val="00384D4F"/>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7B1"/>
    <w:rsid w:val="003918B9"/>
    <w:rsid w:val="003918FF"/>
    <w:rsid w:val="003922A5"/>
    <w:rsid w:val="0039243E"/>
    <w:rsid w:val="003925A2"/>
    <w:rsid w:val="0039273E"/>
    <w:rsid w:val="00392756"/>
    <w:rsid w:val="00392938"/>
    <w:rsid w:val="00392C1E"/>
    <w:rsid w:val="00392CB0"/>
    <w:rsid w:val="00392EA5"/>
    <w:rsid w:val="00393097"/>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B3"/>
    <w:rsid w:val="00397218"/>
    <w:rsid w:val="003972D6"/>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DBC"/>
    <w:rsid w:val="003A1E36"/>
    <w:rsid w:val="003A2171"/>
    <w:rsid w:val="003A23CA"/>
    <w:rsid w:val="003A2440"/>
    <w:rsid w:val="003A2489"/>
    <w:rsid w:val="003A26CB"/>
    <w:rsid w:val="003A2730"/>
    <w:rsid w:val="003A2A43"/>
    <w:rsid w:val="003A2C10"/>
    <w:rsid w:val="003A2D32"/>
    <w:rsid w:val="003A2D3C"/>
    <w:rsid w:val="003A2DE4"/>
    <w:rsid w:val="003A2F2F"/>
    <w:rsid w:val="003A31FE"/>
    <w:rsid w:val="003A3240"/>
    <w:rsid w:val="003A3275"/>
    <w:rsid w:val="003A344C"/>
    <w:rsid w:val="003A375F"/>
    <w:rsid w:val="003A37AF"/>
    <w:rsid w:val="003A39F7"/>
    <w:rsid w:val="003A3CC3"/>
    <w:rsid w:val="003A3D47"/>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AF5"/>
    <w:rsid w:val="003A5C88"/>
    <w:rsid w:val="003A5D2F"/>
    <w:rsid w:val="003A5DD1"/>
    <w:rsid w:val="003A5DE8"/>
    <w:rsid w:val="003A5E94"/>
    <w:rsid w:val="003A5FDD"/>
    <w:rsid w:val="003A6012"/>
    <w:rsid w:val="003A61D7"/>
    <w:rsid w:val="003A625C"/>
    <w:rsid w:val="003A62A9"/>
    <w:rsid w:val="003A63A7"/>
    <w:rsid w:val="003A6506"/>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CD6"/>
    <w:rsid w:val="003B104C"/>
    <w:rsid w:val="003B10AC"/>
    <w:rsid w:val="003B11B7"/>
    <w:rsid w:val="003B130C"/>
    <w:rsid w:val="003B1343"/>
    <w:rsid w:val="003B13ED"/>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BA"/>
    <w:rsid w:val="003C01EE"/>
    <w:rsid w:val="003C07A0"/>
    <w:rsid w:val="003C08D9"/>
    <w:rsid w:val="003C090F"/>
    <w:rsid w:val="003C0DBA"/>
    <w:rsid w:val="003C0F6D"/>
    <w:rsid w:val="003C1355"/>
    <w:rsid w:val="003C1C41"/>
    <w:rsid w:val="003C1D73"/>
    <w:rsid w:val="003C20EE"/>
    <w:rsid w:val="003C219E"/>
    <w:rsid w:val="003C22A9"/>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4056"/>
    <w:rsid w:val="003C4072"/>
    <w:rsid w:val="003C42E3"/>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613F"/>
    <w:rsid w:val="003C61F0"/>
    <w:rsid w:val="003C6A27"/>
    <w:rsid w:val="003C6B59"/>
    <w:rsid w:val="003C6BC6"/>
    <w:rsid w:val="003C6E4C"/>
    <w:rsid w:val="003C7037"/>
    <w:rsid w:val="003C71C1"/>
    <w:rsid w:val="003C7235"/>
    <w:rsid w:val="003C7244"/>
    <w:rsid w:val="003C731A"/>
    <w:rsid w:val="003C738C"/>
    <w:rsid w:val="003C74F6"/>
    <w:rsid w:val="003C785A"/>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E38"/>
    <w:rsid w:val="003D0F15"/>
    <w:rsid w:val="003D0F24"/>
    <w:rsid w:val="003D105C"/>
    <w:rsid w:val="003D1132"/>
    <w:rsid w:val="003D119B"/>
    <w:rsid w:val="003D12FE"/>
    <w:rsid w:val="003D13D7"/>
    <w:rsid w:val="003D15DC"/>
    <w:rsid w:val="003D17D4"/>
    <w:rsid w:val="003D18F1"/>
    <w:rsid w:val="003D1A74"/>
    <w:rsid w:val="003D1E6C"/>
    <w:rsid w:val="003D1EE0"/>
    <w:rsid w:val="003D1F59"/>
    <w:rsid w:val="003D2248"/>
    <w:rsid w:val="003D2303"/>
    <w:rsid w:val="003D26D4"/>
    <w:rsid w:val="003D288F"/>
    <w:rsid w:val="003D2A6B"/>
    <w:rsid w:val="003D2CE4"/>
    <w:rsid w:val="003D2FC2"/>
    <w:rsid w:val="003D307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8E5"/>
    <w:rsid w:val="003E11B3"/>
    <w:rsid w:val="003E1238"/>
    <w:rsid w:val="003E1243"/>
    <w:rsid w:val="003E1586"/>
    <w:rsid w:val="003E1655"/>
    <w:rsid w:val="003E1664"/>
    <w:rsid w:val="003E1B0B"/>
    <w:rsid w:val="003E1B0C"/>
    <w:rsid w:val="003E1B62"/>
    <w:rsid w:val="003E1CBD"/>
    <w:rsid w:val="003E1CC7"/>
    <w:rsid w:val="003E1D39"/>
    <w:rsid w:val="003E1FE7"/>
    <w:rsid w:val="003E219F"/>
    <w:rsid w:val="003E23D0"/>
    <w:rsid w:val="003E23F4"/>
    <w:rsid w:val="003E26E0"/>
    <w:rsid w:val="003E272D"/>
    <w:rsid w:val="003E27F6"/>
    <w:rsid w:val="003E2B02"/>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C5"/>
    <w:rsid w:val="003E3F18"/>
    <w:rsid w:val="003E3FF3"/>
    <w:rsid w:val="003E4071"/>
    <w:rsid w:val="003E47A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BD2"/>
    <w:rsid w:val="003E7C28"/>
    <w:rsid w:val="003E7D69"/>
    <w:rsid w:val="003E7D76"/>
    <w:rsid w:val="003E7E18"/>
    <w:rsid w:val="003F00E2"/>
    <w:rsid w:val="003F028D"/>
    <w:rsid w:val="003F030A"/>
    <w:rsid w:val="003F0388"/>
    <w:rsid w:val="003F0461"/>
    <w:rsid w:val="003F04CD"/>
    <w:rsid w:val="003F0512"/>
    <w:rsid w:val="003F0575"/>
    <w:rsid w:val="003F06E9"/>
    <w:rsid w:val="003F0C08"/>
    <w:rsid w:val="003F0C2B"/>
    <w:rsid w:val="003F0D45"/>
    <w:rsid w:val="003F0E45"/>
    <w:rsid w:val="003F103F"/>
    <w:rsid w:val="003F14A3"/>
    <w:rsid w:val="003F159F"/>
    <w:rsid w:val="003F15E8"/>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FC"/>
    <w:rsid w:val="003F494D"/>
    <w:rsid w:val="003F4B6B"/>
    <w:rsid w:val="003F4D44"/>
    <w:rsid w:val="003F4FD2"/>
    <w:rsid w:val="003F536D"/>
    <w:rsid w:val="003F53A5"/>
    <w:rsid w:val="003F5500"/>
    <w:rsid w:val="003F55A9"/>
    <w:rsid w:val="003F5788"/>
    <w:rsid w:val="003F58E6"/>
    <w:rsid w:val="003F5900"/>
    <w:rsid w:val="003F5B0B"/>
    <w:rsid w:val="003F5BE5"/>
    <w:rsid w:val="003F5CBD"/>
    <w:rsid w:val="003F5D8D"/>
    <w:rsid w:val="003F5EBE"/>
    <w:rsid w:val="003F5EC6"/>
    <w:rsid w:val="003F5F43"/>
    <w:rsid w:val="003F5F47"/>
    <w:rsid w:val="003F604D"/>
    <w:rsid w:val="003F60B9"/>
    <w:rsid w:val="003F612F"/>
    <w:rsid w:val="003F62AD"/>
    <w:rsid w:val="003F6397"/>
    <w:rsid w:val="003F650A"/>
    <w:rsid w:val="003F67DD"/>
    <w:rsid w:val="003F6823"/>
    <w:rsid w:val="003F684D"/>
    <w:rsid w:val="003F6C3F"/>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62"/>
    <w:rsid w:val="00403BCD"/>
    <w:rsid w:val="00403CC7"/>
    <w:rsid w:val="00403D9D"/>
    <w:rsid w:val="00403E8F"/>
    <w:rsid w:val="00403EE4"/>
    <w:rsid w:val="00403F5D"/>
    <w:rsid w:val="00403FD0"/>
    <w:rsid w:val="00404762"/>
    <w:rsid w:val="0040497B"/>
    <w:rsid w:val="0040499C"/>
    <w:rsid w:val="00404D66"/>
    <w:rsid w:val="00404D73"/>
    <w:rsid w:val="00404E64"/>
    <w:rsid w:val="00404F56"/>
    <w:rsid w:val="00405033"/>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9B"/>
    <w:rsid w:val="00407A16"/>
    <w:rsid w:val="00407B87"/>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EF"/>
    <w:rsid w:val="00420E20"/>
    <w:rsid w:val="004210A1"/>
    <w:rsid w:val="004212ED"/>
    <w:rsid w:val="0042167A"/>
    <w:rsid w:val="0042173E"/>
    <w:rsid w:val="00421788"/>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CD2"/>
    <w:rsid w:val="0042512F"/>
    <w:rsid w:val="00425265"/>
    <w:rsid w:val="00425508"/>
    <w:rsid w:val="00425540"/>
    <w:rsid w:val="0042573E"/>
    <w:rsid w:val="0042573F"/>
    <w:rsid w:val="004257F2"/>
    <w:rsid w:val="00425912"/>
    <w:rsid w:val="004259FF"/>
    <w:rsid w:val="00425AC2"/>
    <w:rsid w:val="00425BED"/>
    <w:rsid w:val="00425C0D"/>
    <w:rsid w:val="00426430"/>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138"/>
    <w:rsid w:val="00432184"/>
    <w:rsid w:val="00432702"/>
    <w:rsid w:val="0043298A"/>
    <w:rsid w:val="00432A9D"/>
    <w:rsid w:val="00432C42"/>
    <w:rsid w:val="00432D6B"/>
    <w:rsid w:val="00432DE0"/>
    <w:rsid w:val="00432EAF"/>
    <w:rsid w:val="00432EE5"/>
    <w:rsid w:val="00432F28"/>
    <w:rsid w:val="00432FF6"/>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35E"/>
    <w:rsid w:val="0043553F"/>
    <w:rsid w:val="0043554B"/>
    <w:rsid w:val="0043564C"/>
    <w:rsid w:val="0043566B"/>
    <w:rsid w:val="00435933"/>
    <w:rsid w:val="00435A14"/>
    <w:rsid w:val="00435AB1"/>
    <w:rsid w:val="00435B2C"/>
    <w:rsid w:val="00435B37"/>
    <w:rsid w:val="00435F54"/>
    <w:rsid w:val="00435F7D"/>
    <w:rsid w:val="004361F3"/>
    <w:rsid w:val="004362A9"/>
    <w:rsid w:val="00436343"/>
    <w:rsid w:val="004363CC"/>
    <w:rsid w:val="004366DD"/>
    <w:rsid w:val="00436722"/>
    <w:rsid w:val="0043679D"/>
    <w:rsid w:val="0043687D"/>
    <w:rsid w:val="00436F17"/>
    <w:rsid w:val="00437095"/>
    <w:rsid w:val="00437103"/>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98A"/>
    <w:rsid w:val="004439C1"/>
    <w:rsid w:val="00443AB9"/>
    <w:rsid w:val="00443EAC"/>
    <w:rsid w:val="00443F46"/>
    <w:rsid w:val="00444099"/>
    <w:rsid w:val="004442E7"/>
    <w:rsid w:val="004446A9"/>
    <w:rsid w:val="00444798"/>
    <w:rsid w:val="0044487F"/>
    <w:rsid w:val="004449FC"/>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428"/>
    <w:rsid w:val="0044773E"/>
    <w:rsid w:val="0044791B"/>
    <w:rsid w:val="00447B4C"/>
    <w:rsid w:val="00447B80"/>
    <w:rsid w:val="00447BC9"/>
    <w:rsid w:val="00447C6C"/>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209"/>
    <w:rsid w:val="00452364"/>
    <w:rsid w:val="004523C1"/>
    <w:rsid w:val="004525C8"/>
    <w:rsid w:val="004525FA"/>
    <w:rsid w:val="004529FE"/>
    <w:rsid w:val="00452A43"/>
    <w:rsid w:val="00452B69"/>
    <w:rsid w:val="00452E1B"/>
    <w:rsid w:val="00452EDC"/>
    <w:rsid w:val="004530D7"/>
    <w:rsid w:val="004531D0"/>
    <w:rsid w:val="004532F7"/>
    <w:rsid w:val="004534D2"/>
    <w:rsid w:val="00453665"/>
    <w:rsid w:val="004536BB"/>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40A"/>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E09"/>
    <w:rsid w:val="00461E36"/>
    <w:rsid w:val="00461E44"/>
    <w:rsid w:val="00461EB8"/>
    <w:rsid w:val="004620C1"/>
    <w:rsid w:val="0046213A"/>
    <w:rsid w:val="00462211"/>
    <w:rsid w:val="00462292"/>
    <w:rsid w:val="004624DB"/>
    <w:rsid w:val="00462517"/>
    <w:rsid w:val="004625AA"/>
    <w:rsid w:val="004625D9"/>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428"/>
    <w:rsid w:val="0046665A"/>
    <w:rsid w:val="004669A0"/>
    <w:rsid w:val="00466AF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D5"/>
    <w:rsid w:val="00482B6C"/>
    <w:rsid w:val="00482D54"/>
    <w:rsid w:val="00483047"/>
    <w:rsid w:val="00483122"/>
    <w:rsid w:val="0048321C"/>
    <w:rsid w:val="0048344F"/>
    <w:rsid w:val="00483735"/>
    <w:rsid w:val="0048412D"/>
    <w:rsid w:val="00484292"/>
    <w:rsid w:val="0048431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768"/>
    <w:rsid w:val="00490AA7"/>
    <w:rsid w:val="00490AB8"/>
    <w:rsid w:val="00490CAE"/>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31DB"/>
    <w:rsid w:val="0049326D"/>
    <w:rsid w:val="00493388"/>
    <w:rsid w:val="004933E1"/>
    <w:rsid w:val="0049358B"/>
    <w:rsid w:val="004936BF"/>
    <w:rsid w:val="004936E2"/>
    <w:rsid w:val="00493B08"/>
    <w:rsid w:val="00493B4D"/>
    <w:rsid w:val="00493C1F"/>
    <w:rsid w:val="00493C91"/>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BD8"/>
    <w:rsid w:val="00495DDA"/>
    <w:rsid w:val="00495E15"/>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92"/>
    <w:rsid w:val="00497D55"/>
    <w:rsid w:val="00497F20"/>
    <w:rsid w:val="00497FD9"/>
    <w:rsid w:val="004A0134"/>
    <w:rsid w:val="004A050E"/>
    <w:rsid w:val="004A084E"/>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EC5"/>
    <w:rsid w:val="004A5F06"/>
    <w:rsid w:val="004A604B"/>
    <w:rsid w:val="004A61D2"/>
    <w:rsid w:val="004A6211"/>
    <w:rsid w:val="004A6405"/>
    <w:rsid w:val="004A64C2"/>
    <w:rsid w:val="004A667C"/>
    <w:rsid w:val="004A6765"/>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A2F"/>
    <w:rsid w:val="004B0AC0"/>
    <w:rsid w:val="004B0B29"/>
    <w:rsid w:val="004B0B9D"/>
    <w:rsid w:val="004B10DF"/>
    <w:rsid w:val="004B1194"/>
    <w:rsid w:val="004B155F"/>
    <w:rsid w:val="004B1562"/>
    <w:rsid w:val="004B16C4"/>
    <w:rsid w:val="004B1883"/>
    <w:rsid w:val="004B1A1B"/>
    <w:rsid w:val="004B1A28"/>
    <w:rsid w:val="004B1B11"/>
    <w:rsid w:val="004B20B9"/>
    <w:rsid w:val="004B21EB"/>
    <w:rsid w:val="004B2365"/>
    <w:rsid w:val="004B27E1"/>
    <w:rsid w:val="004B2972"/>
    <w:rsid w:val="004B2A28"/>
    <w:rsid w:val="004B2A75"/>
    <w:rsid w:val="004B2AF5"/>
    <w:rsid w:val="004B2B66"/>
    <w:rsid w:val="004B2BDC"/>
    <w:rsid w:val="004B2C3C"/>
    <w:rsid w:val="004B2E8D"/>
    <w:rsid w:val="004B3401"/>
    <w:rsid w:val="004B3770"/>
    <w:rsid w:val="004B383E"/>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580"/>
    <w:rsid w:val="004B5692"/>
    <w:rsid w:val="004B586A"/>
    <w:rsid w:val="004B5A53"/>
    <w:rsid w:val="004B5CC4"/>
    <w:rsid w:val="004B5FBD"/>
    <w:rsid w:val="004B644E"/>
    <w:rsid w:val="004B65D8"/>
    <w:rsid w:val="004B6719"/>
    <w:rsid w:val="004B6B89"/>
    <w:rsid w:val="004B6F0C"/>
    <w:rsid w:val="004B6F2D"/>
    <w:rsid w:val="004B7192"/>
    <w:rsid w:val="004B720B"/>
    <w:rsid w:val="004B7396"/>
    <w:rsid w:val="004B7419"/>
    <w:rsid w:val="004B746E"/>
    <w:rsid w:val="004B74D2"/>
    <w:rsid w:val="004B7764"/>
    <w:rsid w:val="004B790F"/>
    <w:rsid w:val="004B7D2E"/>
    <w:rsid w:val="004B7D7D"/>
    <w:rsid w:val="004B7F87"/>
    <w:rsid w:val="004C0009"/>
    <w:rsid w:val="004C0141"/>
    <w:rsid w:val="004C05BC"/>
    <w:rsid w:val="004C06DD"/>
    <w:rsid w:val="004C0797"/>
    <w:rsid w:val="004C083F"/>
    <w:rsid w:val="004C0B66"/>
    <w:rsid w:val="004C0BDD"/>
    <w:rsid w:val="004C0CBD"/>
    <w:rsid w:val="004C1673"/>
    <w:rsid w:val="004C1926"/>
    <w:rsid w:val="004C1A39"/>
    <w:rsid w:val="004C1AA0"/>
    <w:rsid w:val="004C1ACD"/>
    <w:rsid w:val="004C1B74"/>
    <w:rsid w:val="004C1BF5"/>
    <w:rsid w:val="004C1C19"/>
    <w:rsid w:val="004C1E41"/>
    <w:rsid w:val="004C1E99"/>
    <w:rsid w:val="004C1FC9"/>
    <w:rsid w:val="004C2032"/>
    <w:rsid w:val="004C2087"/>
    <w:rsid w:val="004C20A4"/>
    <w:rsid w:val="004C20A7"/>
    <w:rsid w:val="004C2420"/>
    <w:rsid w:val="004C2591"/>
    <w:rsid w:val="004C267A"/>
    <w:rsid w:val="004C2A5F"/>
    <w:rsid w:val="004C2B8B"/>
    <w:rsid w:val="004C2E35"/>
    <w:rsid w:val="004C2E65"/>
    <w:rsid w:val="004C2F58"/>
    <w:rsid w:val="004C3106"/>
    <w:rsid w:val="004C31E7"/>
    <w:rsid w:val="004C33FE"/>
    <w:rsid w:val="004C3605"/>
    <w:rsid w:val="004C3609"/>
    <w:rsid w:val="004C36C9"/>
    <w:rsid w:val="004C37E4"/>
    <w:rsid w:val="004C38F4"/>
    <w:rsid w:val="004C3CF2"/>
    <w:rsid w:val="004C3DD7"/>
    <w:rsid w:val="004C44AF"/>
    <w:rsid w:val="004C45C3"/>
    <w:rsid w:val="004C4686"/>
    <w:rsid w:val="004C479E"/>
    <w:rsid w:val="004C47F1"/>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913"/>
    <w:rsid w:val="004D1CBE"/>
    <w:rsid w:val="004D1D00"/>
    <w:rsid w:val="004D1E1F"/>
    <w:rsid w:val="004D1E72"/>
    <w:rsid w:val="004D1EBA"/>
    <w:rsid w:val="004D1F1E"/>
    <w:rsid w:val="004D2112"/>
    <w:rsid w:val="004D2387"/>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537"/>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90"/>
    <w:rsid w:val="004E00E6"/>
    <w:rsid w:val="004E040F"/>
    <w:rsid w:val="004E059A"/>
    <w:rsid w:val="004E06C8"/>
    <w:rsid w:val="004E0890"/>
    <w:rsid w:val="004E09A2"/>
    <w:rsid w:val="004E0CBF"/>
    <w:rsid w:val="004E0EC2"/>
    <w:rsid w:val="004E0F2B"/>
    <w:rsid w:val="004E1074"/>
    <w:rsid w:val="004E1155"/>
    <w:rsid w:val="004E1272"/>
    <w:rsid w:val="004E15C6"/>
    <w:rsid w:val="004E1892"/>
    <w:rsid w:val="004E1A75"/>
    <w:rsid w:val="004E1D3B"/>
    <w:rsid w:val="004E1FEF"/>
    <w:rsid w:val="004E2334"/>
    <w:rsid w:val="004E2609"/>
    <w:rsid w:val="004E292F"/>
    <w:rsid w:val="004E2A23"/>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40B6"/>
    <w:rsid w:val="004E411D"/>
    <w:rsid w:val="004E41E6"/>
    <w:rsid w:val="004E460E"/>
    <w:rsid w:val="004E4622"/>
    <w:rsid w:val="004E471A"/>
    <w:rsid w:val="004E4865"/>
    <w:rsid w:val="004E4A5E"/>
    <w:rsid w:val="004E4B81"/>
    <w:rsid w:val="004E5041"/>
    <w:rsid w:val="004E50EA"/>
    <w:rsid w:val="004E512B"/>
    <w:rsid w:val="004E52A7"/>
    <w:rsid w:val="004E52E8"/>
    <w:rsid w:val="004E59D2"/>
    <w:rsid w:val="004E5A47"/>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EA6"/>
    <w:rsid w:val="004F00E0"/>
    <w:rsid w:val="004F0188"/>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A02"/>
    <w:rsid w:val="004F1AB1"/>
    <w:rsid w:val="004F1B74"/>
    <w:rsid w:val="004F1E12"/>
    <w:rsid w:val="004F1E9A"/>
    <w:rsid w:val="004F1FDD"/>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B3C"/>
    <w:rsid w:val="004F4C7B"/>
    <w:rsid w:val="004F51DA"/>
    <w:rsid w:val="004F5640"/>
    <w:rsid w:val="004F5881"/>
    <w:rsid w:val="004F58FF"/>
    <w:rsid w:val="004F597F"/>
    <w:rsid w:val="004F5C5A"/>
    <w:rsid w:val="004F5DDF"/>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5C"/>
    <w:rsid w:val="00503974"/>
    <w:rsid w:val="00504270"/>
    <w:rsid w:val="005042D2"/>
    <w:rsid w:val="0050435F"/>
    <w:rsid w:val="00504498"/>
    <w:rsid w:val="00504556"/>
    <w:rsid w:val="005045C7"/>
    <w:rsid w:val="00504638"/>
    <w:rsid w:val="00504680"/>
    <w:rsid w:val="005047C7"/>
    <w:rsid w:val="00504BB1"/>
    <w:rsid w:val="00504BB2"/>
    <w:rsid w:val="00504DD4"/>
    <w:rsid w:val="00505061"/>
    <w:rsid w:val="005051A0"/>
    <w:rsid w:val="005052CC"/>
    <w:rsid w:val="00505369"/>
    <w:rsid w:val="00505383"/>
    <w:rsid w:val="00505394"/>
    <w:rsid w:val="005055B1"/>
    <w:rsid w:val="005056E2"/>
    <w:rsid w:val="0050596D"/>
    <w:rsid w:val="00505BDE"/>
    <w:rsid w:val="00505E40"/>
    <w:rsid w:val="00505E81"/>
    <w:rsid w:val="00505FA3"/>
    <w:rsid w:val="00506186"/>
    <w:rsid w:val="005063D0"/>
    <w:rsid w:val="005064DB"/>
    <w:rsid w:val="005068E7"/>
    <w:rsid w:val="00506926"/>
    <w:rsid w:val="00506ABA"/>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20E4"/>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602E"/>
    <w:rsid w:val="005160E3"/>
    <w:rsid w:val="0051620F"/>
    <w:rsid w:val="005164A2"/>
    <w:rsid w:val="005164D0"/>
    <w:rsid w:val="005165BF"/>
    <w:rsid w:val="0051660C"/>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33D"/>
    <w:rsid w:val="00527409"/>
    <w:rsid w:val="005274E1"/>
    <w:rsid w:val="005275BD"/>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D6"/>
    <w:rsid w:val="005327E6"/>
    <w:rsid w:val="005329E2"/>
    <w:rsid w:val="00532A36"/>
    <w:rsid w:val="00532BC8"/>
    <w:rsid w:val="00532D1A"/>
    <w:rsid w:val="005330DD"/>
    <w:rsid w:val="00533210"/>
    <w:rsid w:val="005332BA"/>
    <w:rsid w:val="005332FF"/>
    <w:rsid w:val="0053342E"/>
    <w:rsid w:val="0053350A"/>
    <w:rsid w:val="00533542"/>
    <w:rsid w:val="005337A4"/>
    <w:rsid w:val="005337A9"/>
    <w:rsid w:val="005337BA"/>
    <w:rsid w:val="00533D4E"/>
    <w:rsid w:val="00533DB5"/>
    <w:rsid w:val="00533F5D"/>
    <w:rsid w:val="00533F69"/>
    <w:rsid w:val="00533FA1"/>
    <w:rsid w:val="00534130"/>
    <w:rsid w:val="0053431C"/>
    <w:rsid w:val="005344EA"/>
    <w:rsid w:val="00535032"/>
    <w:rsid w:val="005352DC"/>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93"/>
    <w:rsid w:val="00540388"/>
    <w:rsid w:val="0054039F"/>
    <w:rsid w:val="005405B5"/>
    <w:rsid w:val="00540804"/>
    <w:rsid w:val="005408F2"/>
    <w:rsid w:val="00540A02"/>
    <w:rsid w:val="00540A1D"/>
    <w:rsid w:val="00540A9F"/>
    <w:rsid w:val="00540D69"/>
    <w:rsid w:val="00540D7C"/>
    <w:rsid w:val="005412F3"/>
    <w:rsid w:val="00541601"/>
    <w:rsid w:val="0054167F"/>
    <w:rsid w:val="0054192A"/>
    <w:rsid w:val="00541AFF"/>
    <w:rsid w:val="00541B30"/>
    <w:rsid w:val="00541C46"/>
    <w:rsid w:val="00541C5C"/>
    <w:rsid w:val="00541F54"/>
    <w:rsid w:val="00542325"/>
    <w:rsid w:val="0054241A"/>
    <w:rsid w:val="005424E9"/>
    <w:rsid w:val="00542802"/>
    <w:rsid w:val="00542D6C"/>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115"/>
    <w:rsid w:val="0055760A"/>
    <w:rsid w:val="0055780F"/>
    <w:rsid w:val="00557953"/>
    <w:rsid w:val="005601E4"/>
    <w:rsid w:val="005603A0"/>
    <w:rsid w:val="005605EA"/>
    <w:rsid w:val="005606A6"/>
    <w:rsid w:val="005606C4"/>
    <w:rsid w:val="005607D3"/>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9"/>
    <w:rsid w:val="00563409"/>
    <w:rsid w:val="005635BF"/>
    <w:rsid w:val="00563670"/>
    <w:rsid w:val="0056377F"/>
    <w:rsid w:val="00563C0B"/>
    <w:rsid w:val="00563D60"/>
    <w:rsid w:val="00563FC2"/>
    <w:rsid w:val="005640E0"/>
    <w:rsid w:val="005642D0"/>
    <w:rsid w:val="005644EF"/>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7DB"/>
    <w:rsid w:val="005678D1"/>
    <w:rsid w:val="00567CD4"/>
    <w:rsid w:val="00567ED0"/>
    <w:rsid w:val="00567EFE"/>
    <w:rsid w:val="005702A2"/>
    <w:rsid w:val="00570405"/>
    <w:rsid w:val="00570652"/>
    <w:rsid w:val="00570662"/>
    <w:rsid w:val="005707E8"/>
    <w:rsid w:val="005708E5"/>
    <w:rsid w:val="00570B61"/>
    <w:rsid w:val="00570BA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744"/>
    <w:rsid w:val="0057575E"/>
    <w:rsid w:val="0057580B"/>
    <w:rsid w:val="00575B24"/>
    <w:rsid w:val="00575C45"/>
    <w:rsid w:val="00575CE0"/>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9D4"/>
    <w:rsid w:val="00592BF0"/>
    <w:rsid w:val="00592C4F"/>
    <w:rsid w:val="00592D11"/>
    <w:rsid w:val="00592F4E"/>
    <w:rsid w:val="005930F0"/>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D6"/>
    <w:rsid w:val="005968D0"/>
    <w:rsid w:val="00596A66"/>
    <w:rsid w:val="00596CDA"/>
    <w:rsid w:val="00596EC9"/>
    <w:rsid w:val="00596F27"/>
    <w:rsid w:val="00596FE8"/>
    <w:rsid w:val="0059701B"/>
    <w:rsid w:val="005972C7"/>
    <w:rsid w:val="005973EA"/>
    <w:rsid w:val="005975CF"/>
    <w:rsid w:val="00597BE5"/>
    <w:rsid w:val="00597CE1"/>
    <w:rsid w:val="00597F90"/>
    <w:rsid w:val="00597FBD"/>
    <w:rsid w:val="005A01E9"/>
    <w:rsid w:val="005A01EF"/>
    <w:rsid w:val="005A0205"/>
    <w:rsid w:val="005A0414"/>
    <w:rsid w:val="005A0419"/>
    <w:rsid w:val="005A0562"/>
    <w:rsid w:val="005A080F"/>
    <w:rsid w:val="005A08E0"/>
    <w:rsid w:val="005A0B95"/>
    <w:rsid w:val="005A0CFD"/>
    <w:rsid w:val="005A0EB3"/>
    <w:rsid w:val="005A0FBE"/>
    <w:rsid w:val="005A1031"/>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D2F"/>
    <w:rsid w:val="005A2E7C"/>
    <w:rsid w:val="005A2E82"/>
    <w:rsid w:val="005A2F08"/>
    <w:rsid w:val="005A2FD9"/>
    <w:rsid w:val="005A314E"/>
    <w:rsid w:val="005A36C6"/>
    <w:rsid w:val="005A3742"/>
    <w:rsid w:val="005A3DA6"/>
    <w:rsid w:val="005A3DC5"/>
    <w:rsid w:val="005A3DFE"/>
    <w:rsid w:val="005A3F11"/>
    <w:rsid w:val="005A40E5"/>
    <w:rsid w:val="005A41A9"/>
    <w:rsid w:val="005A4372"/>
    <w:rsid w:val="005A447B"/>
    <w:rsid w:val="005A47C4"/>
    <w:rsid w:val="005A4A8B"/>
    <w:rsid w:val="005A4AC2"/>
    <w:rsid w:val="005A4AD1"/>
    <w:rsid w:val="005A4D81"/>
    <w:rsid w:val="005A50CB"/>
    <w:rsid w:val="005A51BE"/>
    <w:rsid w:val="005A537D"/>
    <w:rsid w:val="005A5421"/>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ED4"/>
    <w:rsid w:val="005B1F01"/>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B41"/>
    <w:rsid w:val="005B3DCB"/>
    <w:rsid w:val="005B3E6E"/>
    <w:rsid w:val="005B413C"/>
    <w:rsid w:val="005B4154"/>
    <w:rsid w:val="005B4328"/>
    <w:rsid w:val="005B4491"/>
    <w:rsid w:val="005B4533"/>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E"/>
    <w:rsid w:val="005C413C"/>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B32"/>
    <w:rsid w:val="005E00BB"/>
    <w:rsid w:val="005E0A2C"/>
    <w:rsid w:val="005E0AE7"/>
    <w:rsid w:val="005E0D52"/>
    <w:rsid w:val="005E0E96"/>
    <w:rsid w:val="005E0FD8"/>
    <w:rsid w:val="005E1160"/>
    <w:rsid w:val="005E148F"/>
    <w:rsid w:val="005E14E5"/>
    <w:rsid w:val="005E1646"/>
    <w:rsid w:val="005E16B7"/>
    <w:rsid w:val="005E182C"/>
    <w:rsid w:val="005E1B8C"/>
    <w:rsid w:val="005E1BCB"/>
    <w:rsid w:val="005E1C9F"/>
    <w:rsid w:val="005E1FA0"/>
    <w:rsid w:val="005E223E"/>
    <w:rsid w:val="005E23A8"/>
    <w:rsid w:val="005E26D8"/>
    <w:rsid w:val="005E2707"/>
    <w:rsid w:val="005E2813"/>
    <w:rsid w:val="005E2A80"/>
    <w:rsid w:val="005E2C87"/>
    <w:rsid w:val="005E2D11"/>
    <w:rsid w:val="005E2EF2"/>
    <w:rsid w:val="005E3144"/>
    <w:rsid w:val="005E3702"/>
    <w:rsid w:val="005E398D"/>
    <w:rsid w:val="005E3AB9"/>
    <w:rsid w:val="005E3BBF"/>
    <w:rsid w:val="005E3C1C"/>
    <w:rsid w:val="005E3FF6"/>
    <w:rsid w:val="005E41A4"/>
    <w:rsid w:val="005E42E3"/>
    <w:rsid w:val="005E4650"/>
    <w:rsid w:val="005E466D"/>
    <w:rsid w:val="005E471F"/>
    <w:rsid w:val="005E47B4"/>
    <w:rsid w:val="005E4885"/>
    <w:rsid w:val="005E4B14"/>
    <w:rsid w:val="005E4E5F"/>
    <w:rsid w:val="005E51FC"/>
    <w:rsid w:val="005E5383"/>
    <w:rsid w:val="005E53C1"/>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5"/>
    <w:rsid w:val="005F07F7"/>
    <w:rsid w:val="005F0B72"/>
    <w:rsid w:val="005F0D62"/>
    <w:rsid w:val="005F1077"/>
    <w:rsid w:val="005F10AC"/>
    <w:rsid w:val="005F12D6"/>
    <w:rsid w:val="005F1414"/>
    <w:rsid w:val="005F15F5"/>
    <w:rsid w:val="005F1737"/>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57D"/>
    <w:rsid w:val="006237AD"/>
    <w:rsid w:val="00623B54"/>
    <w:rsid w:val="00623C02"/>
    <w:rsid w:val="00624007"/>
    <w:rsid w:val="006242A7"/>
    <w:rsid w:val="006242B5"/>
    <w:rsid w:val="00624851"/>
    <w:rsid w:val="0062491F"/>
    <w:rsid w:val="0062496A"/>
    <w:rsid w:val="006249D0"/>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85B"/>
    <w:rsid w:val="00635921"/>
    <w:rsid w:val="00635A55"/>
    <w:rsid w:val="00635C3C"/>
    <w:rsid w:val="00636116"/>
    <w:rsid w:val="0063612B"/>
    <w:rsid w:val="0063615B"/>
    <w:rsid w:val="006363CF"/>
    <w:rsid w:val="0063650A"/>
    <w:rsid w:val="0063673B"/>
    <w:rsid w:val="006367DC"/>
    <w:rsid w:val="006368F5"/>
    <w:rsid w:val="006369C4"/>
    <w:rsid w:val="006369CE"/>
    <w:rsid w:val="00636E7B"/>
    <w:rsid w:val="00636F2E"/>
    <w:rsid w:val="0063706D"/>
    <w:rsid w:val="00637146"/>
    <w:rsid w:val="006371AE"/>
    <w:rsid w:val="00637218"/>
    <w:rsid w:val="00637243"/>
    <w:rsid w:val="0063724A"/>
    <w:rsid w:val="0063760F"/>
    <w:rsid w:val="0063764A"/>
    <w:rsid w:val="00637950"/>
    <w:rsid w:val="00637B17"/>
    <w:rsid w:val="00637CD0"/>
    <w:rsid w:val="00637D6A"/>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76"/>
    <w:rsid w:val="0064300E"/>
    <w:rsid w:val="00643040"/>
    <w:rsid w:val="006430C6"/>
    <w:rsid w:val="006430EB"/>
    <w:rsid w:val="00643126"/>
    <w:rsid w:val="0064325F"/>
    <w:rsid w:val="00643277"/>
    <w:rsid w:val="00643976"/>
    <w:rsid w:val="006439AF"/>
    <w:rsid w:val="00643DCE"/>
    <w:rsid w:val="00644042"/>
    <w:rsid w:val="0064405F"/>
    <w:rsid w:val="0064441B"/>
    <w:rsid w:val="00644479"/>
    <w:rsid w:val="0064478D"/>
    <w:rsid w:val="00644D54"/>
    <w:rsid w:val="00644DD7"/>
    <w:rsid w:val="00644E88"/>
    <w:rsid w:val="00644F3A"/>
    <w:rsid w:val="00644F68"/>
    <w:rsid w:val="00644FAF"/>
    <w:rsid w:val="00645A55"/>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3D7"/>
    <w:rsid w:val="0065560C"/>
    <w:rsid w:val="00655769"/>
    <w:rsid w:val="00655962"/>
    <w:rsid w:val="00655A9F"/>
    <w:rsid w:val="00655CA8"/>
    <w:rsid w:val="00655CBE"/>
    <w:rsid w:val="00655DA9"/>
    <w:rsid w:val="0065607C"/>
    <w:rsid w:val="006560CF"/>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66"/>
    <w:rsid w:val="006577AC"/>
    <w:rsid w:val="00657B74"/>
    <w:rsid w:val="00657BA2"/>
    <w:rsid w:val="00657BFF"/>
    <w:rsid w:val="00657D84"/>
    <w:rsid w:val="00657DAA"/>
    <w:rsid w:val="00657E06"/>
    <w:rsid w:val="00657E5F"/>
    <w:rsid w:val="00657E96"/>
    <w:rsid w:val="00660055"/>
    <w:rsid w:val="006601D3"/>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B20"/>
    <w:rsid w:val="00665C07"/>
    <w:rsid w:val="00665CBD"/>
    <w:rsid w:val="00665D92"/>
    <w:rsid w:val="00666006"/>
    <w:rsid w:val="00666221"/>
    <w:rsid w:val="00666272"/>
    <w:rsid w:val="0066627C"/>
    <w:rsid w:val="00666389"/>
    <w:rsid w:val="006663CD"/>
    <w:rsid w:val="006663DD"/>
    <w:rsid w:val="0066674D"/>
    <w:rsid w:val="00666788"/>
    <w:rsid w:val="006669D7"/>
    <w:rsid w:val="00666B60"/>
    <w:rsid w:val="00666BFA"/>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34E"/>
    <w:rsid w:val="006803CD"/>
    <w:rsid w:val="00680596"/>
    <w:rsid w:val="006808C0"/>
    <w:rsid w:val="00680949"/>
    <w:rsid w:val="00680CDF"/>
    <w:rsid w:val="00680E32"/>
    <w:rsid w:val="00680E5E"/>
    <w:rsid w:val="00681855"/>
    <w:rsid w:val="006818A6"/>
    <w:rsid w:val="006818C9"/>
    <w:rsid w:val="0068198D"/>
    <w:rsid w:val="00681A02"/>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D"/>
    <w:rsid w:val="0069002E"/>
    <w:rsid w:val="00690111"/>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AA7"/>
    <w:rsid w:val="00694C11"/>
    <w:rsid w:val="00694D02"/>
    <w:rsid w:val="00694DCA"/>
    <w:rsid w:val="00694E33"/>
    <w:rsid w:val="00694ED8"/>
    <w:rsid w:val="00694EF2"/>
    <w:rsid w:val="00695044"/>
    <w:rsid w:val="0069514A"/>
    <w:rsid w:val="0069516E"/>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C06"/>
    <w:rsid w:val="00697E77"/>
    <w:rsid w:val="00697F42"/>
    <w:rsid w:val="006A0049"/>
    <w:rsid w:val="006A03C3"/>
    <w:rsid w:val="006A03D4"/>
    <w:rsid w:val="006A04E6"/>
    <w:rsid w:val="006A059B"/>
    <w:rsid w:val="006A08C9"/>
    <w:rsid w:val="006A0ADF"/>
    <w:rsid w:val="006A0B50"/>
    <w:rsid w:val="006A0D09"/>
    <w:rsid w:val="006A0D5D"/>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A4F"/>
    <w:rsid w:val="006A2B01"/>
    <w:rsid w:val="006A2C69"/>
    <w:rsid w:val="006A2D61"/>
    <w:rsid w:val="006A2E6F"/>
    <w:rsid w:val="006A2FFD"/>
    <w:rsid w:val="006A3170"/>
    <w:rsid w:val="006A3222"/>
    <w:rsid w:val="006A32E7"/>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5AE"/>
    <w:rsid w:val="006A5B52"/>
    <w:rsid w:val="006A5BFC"/>
    <w:rsid w:val="006A5C49"/>
    <w:rsid w:val="006A5D05"/>
    <w:rsid w:val="006A5E61"/>
    <w:rsid w:val="006A5FAD"/>
    <w:rsid w:val="006A601F"/>
    <w:rsid w:val="006A6063"/>
    <w:rsid w:val="006A6211"/>
    <w:rsid w:val="006A6430"/>
    <w:rsid w:val="006A677C"/>
    <w:rsid w:val="006A6791"/>
    <w:rsid w:val="006A6935"/>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B5B"/>
    <w:rsid w:val="006B1C8D"/>
    <w:rsid w:val="006B1CED"/>
    <w:rsid w:val="006B1EB2"/>
    <w:rsid w:val="006B1F8A"/>
    <w:rsid w:val="006B1FFF"/>
    <w:rsid w:val="006B214E"/>
    <w:rsid w:val="006B21BD"/>
    <w:rsid w:val="006B23C4"/>
    <w:rsid w:val="006B24DD"/>
    <w:rsid w:val="006B25B9"/>
    <w:rsid w:val="006B276C"/>
    <w:rsid w:val="006B290B"/>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DAD"/>
    <w:rsid w:val="006C5EF5"/>
    <w:rsid w:val="006C6398"/>
    <w:rsid w:val="006C6436"/>
    <w:rsid w:val="006C66F7"/>
    <w:rsid w:val="006C6C6A"/>
    <w:rsid w:val="006C6E48"/>
    <w:rsid w:val="006C6EE6"/>
    <w:rsid w:val="006C700C"/>
    <w:rsid w:val="006C72E0"/>
    <w:rsid w:val="006C748A"/>
    <w:rsid w:val="006C791D"/>
    <w:rsid w:val="006C7CAB"/>
    <w:rsid w:val="006C7E42"/>
    <w:rsid w:val="006C7F28"/>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BE4"/>
    <w:rsid w:val="006D3CF2"/>
    <w:rsid w:val="006D3DAB"/>
    <w:rsid w:val="006D3E53"/>
    <w:rsid w:val="006D3FD9"/>
    <w:rsid w:val="006D41A1"/>
    <w:rsid w:val="006D4866"/>
    <w:rsid w:val="006D48B7"/>
    <w:rsid w:val="006D4A9B"/>
    <w:rsid w:val="006D4BBF"/>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F9"/>
    <w:rsid w:val="006E6F37"/>
    <w:rsid w:val="006E739A"/>
    <w:rsid w:val="006E7428"/>
    <w:rsid w:val="006E749F"/>
    <w:rsid w:val="006E78D2"/>
    <w:rsid w:val="006E7978"/>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80D"/>
    <w:rsid w:val="006F2927"/>
    <w:rsid w:val="006F29E2"/>
    <w:rsid w:val="006F2B8B"/>
    <w:rsid w:val="006F2E3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DF"/>
    <w:rsid w:val="006F69CD"/>
    <w:rsid w:val="006F6B3F"/>
    <w:rsid w:val="006F7073"/>
    <w:rsid w:val="006F70D1"/>
    <w:rsid w:val="006F72DE"/>
    <w:rsid w:val="006F74C8"/>
    <w:rsid w:val="006F7826"/>
    <w:rsid w:val="006F7ABD"/>
    <w:rsid w:val="006F7C7B"/>
    <w:rsid w:val="006F7DE5"/>
    <w:rsid w:val="006F7FC2"/>
    <w:rsid w:val="0070034E"/>
    <w:rsid w:val="007003C4"/>
    <w:rsid w:val="00700584"/>
    <w:rsid w:val="00700735"/>
    <w:rsid w:val="0070085B"/>
    <w:rsid w:val="007008B6"/>
    <w:rsid w:val="007009BD"/>
    <w:rsid w:val="00700AA1"/>
    <w:rsid w:val="00700D67"/>
    <w:rsid w:val="00700D8F"/>
    <w:rsid w:val="00700E6D"/>
    <w:rsid w:val="00700F7F"/>
    <w:rsid w:val="00700FED"/>
    <w:rsid w:val="00701084"/>
    <w:rsid w:val="0070116F"/>
    <w:rsid w:val="007011A5"/>
    <w:rsid w:val="0070124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751"/>
    <w:rsid w:val="00703940"/>
    <w:rsid w:val="00703CFC"/>
    <w:rsid w:val="007040A3"/>
    <w:rsid w:val="00704149"/>
    <w:rsid w:val="00704202"/>
    <w:rsid w:val="00704465"/>
    <w:rsid w:val="00704623"/>
    <w:rsid w:val="00704706"/>
    <w:rsid w:val="0070472A"/>
    <w:rsid w:val="00704782"/>
    <w:rsid w:val="00704ADD"/>
    <w:rsid w:val="00704B4B"/>
    <w:rsid w:val="00704B7F"/>
    <w:rsid w:val="00704C1B"/>
    <w:rsid w:val="00704FB6"/>
    <w:rsid w:val="00705070"/>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E71"/>
    <w:rsid w:val="00711F05"/>
    <w:rsid w:val="007126E9"/>
    <w:rsid w:val="0071279A"/>
    <w:rsid w:val="007127DD"/>
    <w:rsid w:val="00712935"/>
    <w:rsid w:val="0071298D"/>
    <w:rsid w:val="00712C3D"/>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34A"/>
    <w:rsid w:val="00720717"/>
    <w:rsid w:val="0072083F"/>
    <w:rsid w:val="007208C2"/>
    <w:rsid w:val="0072090F"/>
    <w:rsid w:val="00720A6A"/>
    <w:rsid w:val="00720B6F"/>
    <w:rsid w:val="00720BFC"/>
    <w:rsid w:val="00720FDA"/>
    <w:rsid w:val="007210EA"/>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F3D"/>
    <w:rsid w:val="00723FEC"/>
    <w:rsid w:val="00724011"/>
    <w:rsid w:val="007240D7"/>
    <w:rsid w:val="007241FE"/>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A9"/>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F4"/>
    <w:rsid w:val="00727886"/>
    <w:rsid w:val="00727957"/>
    <w:rsid w:val="007279FB"/>
    <w:rsid w:val="00727A78"/>
    <w:rsid w:val="00727D03"/>
    <w:rsid w:val="00727D09"/>
    <w:rsid w:val="00727F1B"/>
    <w:rsid w:val="00730218"/>
    <w:rsid w:val="00730411"/>
    <w:rsid w:val="0073068D"/>
    <w:rsid w:val="00730782"/>
    <w:rsid w:val="0073095A"/>
    <w:rsid w:val="007309A2"/>
    <w:rsid w:val="00730A61"/>
    <w:rsid w:val="00730AB1"/>
    <w:rsid w:val="00730B68"/>
    <w:rsid w:val="00730D4B"/>
    <w:rsid w:val="00730DCB"/>
    <w:rsid w:val="00730E54"/>
    <w:rsid w:val="00731026"/>
    <w:rsid w:val="0073111F"/>
    <w:rsid w:val="007311B2"/>
    <w:rsid w:val="007312A2"/>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ED7"/>
    <w:rsid w:val="00735FA9"/>
    <w:rsid w:val="00735FCF"/>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D75"/>
    <w:rsid w:val="00737DD5"/>
    <w:rsid w:val="00740237"/>
    <w:rsid w:val="00740348"/>
    <w:rsid w:val="007403C7"/>
    <w:rsid w:val="0074044B"/>
    <w:rsid w:val="007404DC"/>
    <w:rsid w:val="0074057A"/>
    <w:rsid w:val="00740765"/>
    <w:rsid w:val="007409AA"/>
    <w:rsid w:val="00740A4A"/>
    <w:rsid w:val="00740C0D"/>
    <w:rsid w:val="00740C6F"/>
    <w:rsid w:val="00740D6E"/>
    <w:rsid w:val="00740DA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4"/>
    <w:rsid w:val="00751541"/>
    <w:rsid w:val="00751803"/>
    <w:rsid w:val="00751B8E"/>
    <w:rsid w:val="00751E24"/>
    <w:rsid w:val="00751E72"/>
    <w:rsid w:val="00751EEB"/>
    <w:rsid w:val="00752317"/>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D5F"/>
    <w:rsid w:val="00761F54"/>
    <w:rsid w:val="00761F63"/>
    <w:rsid w:val="00761FCE"/>
    <w:rsid w:val="0076204A"/>
    <w:rsid w:val="0076206E"/>
    <w:rsid w:val="00762512"/>
    <w:rsid w:val="00762806"/>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438"/>
    <w:rsid w:val="007674E5"/>
    <w:rsid w:val="00767CC8"/>
    <w:rsid w:val="00767D16"/>
    <w:rsid w:val="00767D89"/>
    <w:rsid w:val="00767E88"/>
    <w:rsid w:val="00767F47"/>
    <w:rsid w:val="0077044E"/>
    <w:rsid w:val="0077076D"/>
    <w:rsid w:val="00770908"/>
    <w:rsid w:val="00770A03"/>
    <w:rsid w:val="00770A2C"/>
    <w:rsid w:val="00770C50"/>
    <w:rsid w:val="00770F89"/>
    <w:rsid w:val="0077101B"/>
    <w:rsid w:val="007710F9"/>
    <w:rsid w:val="00771149"/>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42CE"/>
    <w:rsid w:val="00774383"/>
    <w:rsid w:val="00774388"/>
    <w:rsid w:val="007743EF"/>
    <w:rsid w:val="00774456"/>
    <w:rsid w:val="007744C8"/>
    <w:rsid w:val="00774A31"/>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F74"/>
    <w:rsid w:val="00787136"/>
    <w:rsid w:val="007872A2"/>
    <w:rsid w:val="007872A6"/>
    <w:rsid w:val="007874A2"/>
    <w:rsid w:val="00787948"/>
    <w:rsid w:val="007879DC"/>
    <w:rsid w:val="00787A44"/>
    <w:rsid w:val="00787A89"/>
    <w:rsid w:val="00787AF0"/>
    <w:rsid w:val="00787C2C"/>
    <w:rsid w:val="00787C54"/>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A01D3"/>
    <w:rsid w:val="007A025B"/>
    <w:rsid w:val="007A02A5"/>
    <w:rsid w:val="007A02E3"/>
    <w:rsid w:val="007A032A"/>
    <w:rsid w:val="007A03B9"/>
    <w:rsid w:val="007A0448"/>
    <w:rsid w:val="007A055E"/>
    <w:rsid w:val="007A0654"/>
    <w:rsid w:val="007A0656"/>
    <w:rsid w:val="007A072A"/>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1D1"/>
    <w:rsid w:val="007A424F"/>
    <w:rsid w:val="007A4254"/>
    <w:rsid w:val="007A426E"/>
    <w:rsid w:val="007A44D3"/>
    <w:rsid w:val="007A44FE"/>
    <w:rsid w:val="007A4666"/>
    <w:rsid w:val="007A46A1"/>
    <w:rsid w:val="007A47D4"/>
    <w:rsid w:val="007A4854"/>
    <w:rsid w:val="007A49D6"/>
    <w:rsid w:val="007A4C72"/>
    <w:rsid w:val="007A5047"/>
    <w:rsid w:val="007A50FE"/>
    <w:rsid w:val="007A53A7"/>
    <w:rsid w:val="007A5413"/>
    <w:rsid w:val="007A548E"/>
    <w:rsid w:val="007A54B2"/>
    <w:rsid w:val="007A5822"/>
    <w:rsid w:val="007A5920"/>
    <w:rsid w:val="007A5C79"/>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1B1"/>
    <w:rsid w:val="007B2218"/>
    <w:rsid w:val="007B2298"/>
    <w:rsid w:val="007B22D5"/>
    <w:rsid w:val="007B24EE"/>
    <w:rsid w:val="007B293B"/>
    <w:rsid w:val="007B2A34"/>
    <w:rsid w:val="007B2E04"/>
    <w:rsid w:val="007B301F"/>
    <w:rsid w:val="007B310B"/>
    <w:rsid w:val="007B33A3"/>
    <w:rsid w:val="007B3557"/>
    <w:rsid w:val="007B3608"/>
    <w:rsid w:val="007B3845"/>
    <w:rsid w:val="007B38BF"/>
    <w:rsid w:val="007B38D3"/>
    <w:rsid w:val="007B3E6D"/>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543"/>
    <w:rsid w:val="007C15E7"/>
    <w:rsid w:val="007C16A1"/>
    <w:rsid w:val="007C1784"/>
    <w:rsid w:val="007C180C"/>
    <w:rsid w:val="007C1897"/>
    <w:rsid w:val="007C1906"/>
    <w:rsid w:val="007C1A0A"/>
    <w:rsid w:val="007C1B79"/>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64F"/>
    <w:rsid w:val="007C5650"/>
    <w:rsid w:val="007C5664"/>
    <w:rsid w:val="007C5686"/>
    <w:rsid w:val="007C5835"/>
    <w:rsid w:val="007C58AD"/>
    <w:rsid w:val="007C59DD"/>
    <w:rsid w:val="007C5AD2"/>
    <w:rsid w:val="007C5D9D"/>
    <w:rsid w:val="007C6103"/>
    <w:rsid w:val="007C610D"/>
    <w:rsid w:val="007C650A"/>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406"/>
    <w:rsid w:val="007E158E"/>
    <w:rsid w:val="007E15AB"/>
    <w:rsid w:val="007E15D0"/>
    <w:rsid w:val="007E16D4"/>
    <w:rsid w:val="007E16D6"/>
    <w:rsid w:val="007E1845"/>
    <w:rsid w:val="007E1B12"/>
    <w:rsid w:val="007E1D0A"/>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FA0"/>
    <w:rsid w:val="00800228"/>
    <w:rsid w:val="00800345"/>
    <w:rsid w:val="00800521"/>
    <w:rsid w:val="00800541"/>
    <w:rsid w:val="008005FC"/>
    <w:rsid w:val="00800AC5"/>
    <w:rsid w:val="00800B26"/>
    <w:rsid w:val="00800B93"/>
    <w:rsid w:val="00800CA2"/>
    <w:rsid w:val="00800EE2"/>
    <w:rsid w:val="008012C4"/>
    <w:rsid w:val="008012E7"/>
    <w:rsid w:val="008014A3"/>
    <w:rsid w:val="008014F0"/>
    <w:rsid w:val="008016BA"/>
    <w:rsid w:val="00801C52"/>
    <w:rsid w:val="00801D2B"/>
    <w:rsid w:val="0080216F"/>
    <w:rsid w:val="0080220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EA"/>
    <w:rsid w:val="00803D36"/>
    <w:rsid w:val="00803E33"/>
    <w:rsid w:val="00803FDF"/>
    <w:rsid w:val="008040C4"/>
    <w:rsid w:val="0080444E"/>
    <w:rsid w:val="008044EF"/>
    <w:rsid w:val="00804CF5"/>
    <w:rsid w:val="00805000"/>
    <w:rsid w:val="008051AB"/>
    <w:rsid w:val="008055C8"/>
    <w:rsid w:val="00805660"/>
    <w:rsid w:val="008056C9"/>
    <w:rsid w:val="00805922"/>
    <w:rsid w:val="00805941"/>
    <w:rsid w:val="00805972"/>
    <w:rsid w:val="00805A97"/>
    <w:rsid w:val="00805D0C"/>
    <w:rsid w:val="00805F40"/>
    <w:rsid w:val="0080614E"/>
    <w:rsid w:val="0080621B"/>
    <w:rsid w:val="00806554"/>
    <w:rsid w:val="00806591"/>
    <w:rsid w:val="00806791"/>
    <w:rsid w:val="00806A74"/>
    <w:rsid w:val="00806AC1"/>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E2"/>
    <w:rsid w:val="00813B46"/>
    <w:rsid w:val="00813D01"/>
    <w:rsid w:val="0081414F"/>
    <w:rsid w:val="008141BF"/>
    <w:rsid w:val="008146AD"/>
    <w:rsid w:val="008146C0"/>
    <w:rsid w:val="00814949"/>
    <w:rsid w:val="008149C7"/>
    <w:rsid w:val="00814BC2"/>
    <w:rsid w:val="00814C29"/>
    <w:rsid w:val="00814F51"/>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632D"/>
    <w:rsid w:val="008164A9"/>
    <w:rsid w:val="00816571"/>
    <w:rsid w:val="008165F0"/>
    <w:rsid w:val="0081668B"/>
    <w:rsid w:val="00816A12"/>
    <w:rsid w:val="00816A61"/>
    <w:rsid w:val="00816AFC"/>
    <w:rsid w:val="00816B56"/>
    <w:rsid w:val="00816E8C"/>
    <w:rsid w:val="00816FAA"/>
    <w:rsid w:val="00816FF1"/>
    <w:rsid w:val="008171ED"/>
    <w:rsid w:val="00817525"/>
    <w:rsid w:val="00817528"/>
    <w:rsid w:val="008178A5"/>
    <w:rsid w:val="00817A0C"/>
    <w:rsid w:val="00817A23"/>
    <w:rsid w:val="00817C67"/>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361"/>
    <w:rsid w:val="0082638F"/>
    <w:rsid w:val="008264A6"/>
    <w:rsid w:val="008265EE"/>
    <w:rsid w:val="00826720"/>
    <w:rsid w:val="008267E5"/>
    <w:rsid w:val="008269FF"/>
    <w:rsid w:val="00826B55"/>
    <w:rsid w:val="00826C78"/>
    <w:rsid w:val="00826D36"/>
    <w:rsid w:val="00826ED4"/>
    <w:rsid w:val="0082712E"/>
    <w:rsid w:val="00827366"/>
    <w:rsid w:val="008273A3"/>
    <w:rsid w:val="00827607"/>
    <w:rsid w:val="00827833"/>
    <w:rsid w:val="008279B9"/>
    <w:rsid w:val="00827B0F"/>
    <w:rsid w:val="00827D64"/>
    <w:rsid w:val="00827DB2"/>
    <w:rsid w:val="00827F3A"/>
    <w:rsid w:val="00830024"/>
    <w:rsid w:val="0083003E"/>
    <w:rsid w:val="00830226"/>
    <w:rsid w:val="008302CE"/>
    <w:rsid w:val="0083036A"/>
    <w:rsid w:val="0083047E"/>
    <w:rsid w:val="008309BD"/>
    <w:rsid w:val="00830AF9"/>
    <w:rsid w:val="00830B33"/>
    <w:rsid w:val="00831033"/>
    <w:rsid w:val="008312AF"/>
    <w:rsid w:val="008313AD"/>
    <w:rsid w:val="0083154E"/>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AC0"/>
    <w:rsid w:val="00835D18"/>
    <w:rsid w:val="00835D32"/>
    <w:rsid w:val="00835E64"/>
    <w:rsid w:val="00835FA2"/>
    <w:rsid w:val="00836153"/>
    <w:rsid w:val="008361DC"/>
    <w:rsid w:val="008363E8"/>
    <w:rsid w:val="00836512"/>
    <w:rsid w:val="00836677"/>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7C8"/>
    <w:rsid w:val="0084099A"/>
    <w:rsid w:val="00840B8E"/>
    <w:rsid w:val="00840CC2"/>
    <w:rsid w:val="00840EF1"/>
    <w:rsid w:val="00840FDC"/>
    <w:rsid w:val="00841068"/>
    <w:rsid w:val="00841230"/>
    <w:rsid w:val="00841251"/>
    <w:rsid w:val="008412A5"/>
    <w:rsid w:val="00841758"/>
    <w:rsid w:val="0084183D"/>
    <w:rsid w:val="0084187D"/>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851"/>
    <w:rsid w:val="00844892"/>
    <w:rsid w:val="00844C78"/>
    <w:rsid w:val="00844C7A"/>
    <w:rsid w:val="008451B1"/>
    <w:rsid w:val="00845664"/>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E63"/>
    <w:rsid w:val="00850822"/>
    <w:rsid w:val="008509AB"/>
    <w:rsid w:val="00850D8A"/>
    <w:rsid w:val="0085134D"/>
    <w:rsid w:val="0085155E"/>
    <w:rsid w:val="008515A4"/>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1A7"/>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E6C"/>
    <w:rsid w:val="00855FA4"/>
    <w:rsid w:val="008560C4"/>
    <w:rsid w:val="00856213"/>
    <w:rsid w:val="00856311"/>
    <w:rsid w:val="008563E5"/>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1AE"/>
    <w:rsid w:val="008604FE"/>
    <w:rsid w:val="008607E1"/>
    <w:rsid w:val="00860BDB"/>
    <w:rsid w:val="00860D95"/>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37B"/>
    <w:rsid w:val="008634FD"/>
    <w:rsid w:val="00863509"/>
    <w:rsid w:val="00863AF8"/>
    <w:rsid w:val="00863CA0"/>
    <w:rsid w:val="00863F9E"/>
    <w:rsid w:val="0086412C"/>
    <w:rsid w:val="008641EE"/>
    <w:rsid w:val="00864235"/>
    <w:rsid w:val="0086428D"/>
    <w:rsid w:val="00864412"/>
    <w:rsid w:val="00864415"/>
    <w:rsid w:val="008644E6"/>
    <w:rsid w:val="0086471A"/>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E18"/>
    <w:rsid w:val="00873E66"/>
    <w:rsid w:val="00873E8F"/>
    <w:rsid w:val="008740FA"/>
    <w:rsid w:val="0087456B"/>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425"/>
    <w:rsid w:val="008855CB"/>
    <w:rsid w:val="008855F9"/>
    <w:rsid w:val="00885688"/>
    <w:rsid w:val="00885805"/>
    <w:rsid w:val="0088586E"/>
    <w:rsid w:val="00885F46"/>
    <w:rsid w:val="00885F4B"/>
    <w:rsid w:val="00885F86"/>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B6"/>
    <w:rsid w:val="00893502"/>
    <w:rsid w:val="008935D9"/>
    <w:rsid w:val="00893656"/>
    <w:rsid w:val="0089367A"/>
    <w:rsid w:val="0089371A"/>
    <w:rsid w:val="00893B4E"/>
    <w:rsid w:val="00893C76"/>
    <w:rsid w:val="00893C95"/>
    <w:rsid w:val="00893FAE"/>
    <w:rsid w:val="008941CC"/>
    <w:rsid w:val="008942E3"/>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721"/>
    <w:rsid w:val="008C180C"/>
    <w:rsid w:val="008C1913"/>
    <w:rsid w:val="008C196A"/>
    <w:rsid w:val="008C196E"/>
    <w:rsid w:val="008C1B0E"/>
    <w:rsid w:val="008C1E18"/>
    <w:rsid w:val="008C245D"/>
    <w:rsid w:val="008C26FC"/>
    <w:rsid w:val="008C28FF"/>
    <w:rsid w:val="008C2F17"/>
    <w:rsid w:val="008C34BA"/>
    <w:rsid w:val="008C353A"/>
    <w:rsid w:val="008C3636"/>
    <w:rsid w:val="008C3688"/>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93"/>
    <w:rsid w:val="008D1C22"/>
    <w:rsid w:val="008D1D8F"/>
    <w:rsid w:val="008D21D3"/>
    <w:rsid w:val="008D220E"/>
    <w:rsid w:val="008D22FE"/>
    <w:rsid w:val="008D2411"/>
    <w:rsid w:val="008D28C2"/>
    <w:rsid w:val="008D2A1D"/>
    <w:rsid w:val="008D2AC8"/>
    <w:rsid w:val="008D2B8E"/>
    <w:rsid w:val="008D2CD8"/>
    <w:rsid w:val="008D2F1C"/>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901"/>
    <w:rsid w:val="008D6AE4"/>
    <w:rsid w:val="008D6E81"/>
    <w:rsid w:val="008D6E88"/>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51C"/>
    <w:rsid w:val="008E67B4"/>
    <w:rsid w:val="008E6880"/>
    <w:rsid w:val="008E6892"/>
    <w:rsid w:val="008E7023"/>
    <w:rsid w:val="008E7158"/>
    <w:rsid w:val="008E7362"/>
    <w:rsid w:val="008E746E"/>
    <w:rsid w:val="008E76F4"/>
    <w:rsid w:val="008E7A00"/>
    <w:rsid w:val="008E7C53"/>
    <w:rsid w:val="008E7D3B"/>
    <w:rsid w:val="008E7E25"/>
    <w:rsid w:val="008F0175"/>
    <w:rsid w:val="008F01F1"/>
    <w:rsid w:val="008F02BC"/>
    <w:rsid w:val="008F0518"/>
    <w:rsid w:val="008F05C2"/>
    <w:rsid w:val="008F05DD"/>
    <w:rsid w:val="008F05FD"/>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4ED"/>
    <w:rsid w:val="008F75E3"/>
    <w:rsid w:val="008F7A68"/>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193E"/>
    <w:rsid w:val="00901949"/>
    <w:rsid w:val="00901A39"/>
    <w:rsid w:val="00901C1E"/>
    <w:rsid w:val="00901CF8"/>
    <w:rsid w:val="00901D23"/>
    <w:rsid w:val="00901D3A"/>
    <w:rsid w:val="0090202A"/>
    <w:rsid w:val="0090208A"/>
    <w:rsid w:val="009021F0"/>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6104"/>
    <w:rsid w:val="00916108"/>
    <w:rsid w:val="00916151"/>
    <w:rsid w:val="009161A0"/>
    <w:rsid w:val="009161D3"/>
    <w:rsid w:val="00916686"/>
    <w:rsid w:val="00916806"/>
    <w:rsid w:val="00916910"/>
    <w:rsid w:val="009169B8"/>
    <w:rsid w:val="00916C17"/>
    <w:rsid w:val="00916FDD"/>
    <w:rsid w:val="009171B6"/>
    <w:rsid w:val="009171FF"/>
    <w:rsid w:val="0091749C"/>
    <w:rsid w:val="009174C3"/>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12B5"/>
    <w:rsid w:val="009213D4"/>
    <w:rsid w:val="0092140A"/>
    <w:rsid w:val="0092146C"/>
    <w:rsid w:val="009215F3"/>
    <w:rsid w:val="009216A0"/>
    <w:rsid w:val="00921A43"/>
    <w:rsid w:val="00921EF1"/>
    <w:rsid w:val="00922052"/>
    <w:rsid w:val="00922077"/>
    <w:rsid w:val="009222ED"/>
    <w:rsid w:val="0092236D"/>
    <w:rsid w:val="00922733"/>
    <w:rsid w:val="00922F71"/>
    <w:rsid w:val="009230AF"/>
    <w:rsid w:val="00923113"/>
    <w:rsid w:val="00923565"/>
    <w:rsid w:val="0092359D"/>
    <w:rsid w:val="00923657"/>
    <w:rsid w:val="009236AE"/>
    <w:rsid w:val="009236C6"/>
    <w:rsid w:val="009236CB"/>
    <w:rsid w:val="00923756"/>
    <w:rsid w:val="0092382E"/>
    <w:rsid w:val="009239BC"/>
    <w:rsid w:val="00923B07"/>
    <w:rsid w:val="00923C57"/>
    <w:rsid w:val="00923D0D"/>
    <w:rsid w:val="00923D4B"/>
    <w:rsid w:val="00923E4C"/>
    <w:rsid w:val="00923F95"/>
    <w:rsid w:val="00924086"/>
    <w:rsid w:val="009240E7"/>
    <w:rsid w:val="0092412D"/>
    <w:rsid w:val="00924136"/>
    <w:rsid w:val="009243D5"/>
    <w:rsid w:val="00924484"/>
    <w:rsid w:val="009247A2"/>
    <w:rsid w:val="00924A39"/>
    <w:rsid w:val="00924CBE"/>
    <w:rsid w:val="00924CFE"/>
    <w:rsid w:val="00924F55"/>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8EC"/>
    <w:rsid w:val="00926CE0"/>
    <w:rsid w:val="00926D3C"/>
    <w:rsid w:val="00926D84"/>
    <w:rsid w:val="00926DC3"/>
    <w:rsid w:val="00926FCC"/>
    <w:rsid w:val="009270CF"/>
    <w:rsid w:val="00927107"/>
    <w:rsid w:val="00927401"/>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D82"/>
    <w:rsid w:val="00932DE9"/>
    <w:rsid w:val="00932E6B"/>
    <w:rsid w:val="00932E7D"/>
    <w:rsid w:val="00933004"/>
    <w:rsid w:val="009332A4"/>
    <w:rsid w:val="00933312"/>
    <w:rsid w:val="009333A1"/>
    <w:rsid w:val="0093340C"/>
    <w:rsid w:val="00933514"/>
    <w:rsid w:val="00933EE5"/>
    <w:rsid w:val="00934002"/>
    <w:rsid w:val="0093455C"/>
    <w:rsid w:val="00934890"/>
    <w:rsid w:val="0093489D"/>
    <w:rsid w:val="0093496A"/>
    <w:rsid w:val="00934974"/>
    <w:rsid w:val="0093498A"/>
    <w:rsid w:val="00934B47"/>
    <w:rsid w:val="00934D8F"/>
    <w:rsid w:val="00934DE6"/>
    <w:rsid w:val="00934E86"/>
    <w:rsid w:val="0093560E"/>
    <w:rsid w:val="0093561B"/>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7"/>
    <w:rsid w:val="00943631"/>
    <w:rsid w:val="00943914"/>
    <w:rsid w:val="00943A6C"/>
    <w:rsid w:val="00943AA0"/>
    <w:rsid w:val="00943C3E"/>
    <w:rsid w:val="00943F0E"/>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AE"/>
    <w:rsid w:val="009456C3"/>
    <w:rsid w:val="009456DC"/>
    <w:rsid w:val="0094570B"/>
    <w:rsid w:val="00945812"/>
    <w:rsid w:val="00945900"/>
    <w:rsid w:val="0094597E"/>
    <w:rsid w:val="00945BBC"/>
    <w:rsid w:val="00945CB8"/>
    <w:rsid w:val="00945E9E"/>
    <w:rsid w:val="0094619A"/>
    <w:rsid w:val="009461FA"/>
    <w:rsid w:val="0094620E"/>
    <w:rsid w:val="00946583"/>
    <w:rsid w:val="0094660C"/>
    <w:rsid w:val="00946888"/>
    <w:rsid w:val="00946998"/>
    <w:rsid w:val="00947229"/>
    <w:rsid w:val="0094796C"/>
    <w:rsid w:val="00947CF4"/>
    <w:rsid w:val="0095005F"/>
    <w:rsid w:val="00950152"/>
    <w:rsid w:val="009502FB"/>
    <w:rsid w:val="009502FD"/>
    <w:rsid w:val="00950997"/>
    <w:rsid w:val="00950B10"/>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F60"/>
    <w:rsid w:val="0095719B"/>
    <w:rsid w:val="00957475"/>
    <w:rsid w:val="0095763F"/>
    <w:rsid w:val="00957711"/>
    <w:rsid w:val="00957716"/>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EE"/>
    <w:rsid w:val="00965A29"/>
    <w:rsid w:val="00965B1A"/>
    <w:rsid w:val="00965BF9"/>
    <w:rsid w:val="00965E21"/>
    <w:rsid w:val="009660B3"/>
    <w:rsid w:val="00966163"/>
    <w:rsid w:val="00966479"/>
    <w:rsid w:val="009667F0"/>
    <w:rsid w:val="00966859"/>
    <w:rsid w:val="00966F0B"/>
    <w:rsid w:val="00967004"/>
    <w:rsid w:val="00967133"/>
    <w:rsid w:val="0096723B"/>
    <w:rsid w:val="00967440"/>
    <w:rsid w:val="00967517"/>
    <w:rsid w:val="009678C6"/>
    <w:rsid w:val="00967ACF"/>
    <w:rsid w:val="00967BE5"/>
    <w:rsid w:val="00970272"/>
    <w:rsid w:val="009707E3"/>
    <w:rsid w:val="00970880"/>
    <w:rsid w:val="00970FAF"/>
    <w:rsid w:val="00971255"/>
    <w:rsid w:val="00971291"/>
    <w:rsid w:val="009712D3"/>
    <w:rsid w:val="0097136F"/>
    <w:rsid w:val="00971645"/>
    <w:rsid w:val="0097179C"/>
    <w:rsid w:val="009717CC"/>
    <w:rsid w:val="00971914"/>
    <w:rsid w:val="00971AAB"/>
    <w:rsid w:val="00971B68"/>
    <w:rsid w:val="00971BEF"/>
    <w:rsid w:val="00971C60"/>
    <w:rsid w:val="00971E3D"/>
    <w:rsid w:val="00971FFC"/>
    <w:rsid w:val="00972065"/>
    <w:rsid w:val="009721B4"/>
    <w:rsid w:val="00972500"/>
    <w:rsid w:val="00972554"/>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A5"/>
    <w:rsid w:val="0098093F"/>
    <w:rsid w:val="00980982"/>
    <w:rsid w:val="00980B2F"/>
    <w:rsid w:val="00980BC7"/>
    <w:rsid w:val="00980BCA"/>
    <w:rsid w:val="00980BFD"/>
    <w:rsid w:val="00980C5E"/>
    <w:rsid w:val="00980D6C"/>
    <w:rsid w:val="00980DAF"/>
    <w:rsid w:val="00980E18"/>
    <w:rsid w:val="00980EC8"/>
    <w:rsid w:val="0098129B"/>
    <w:rsid w:val="0098184A"/>
    <w:rsid w:val="009818DA"/>
    <w:rsid w:val="009819C3"/>
    <w:rsid w:val="00981E9B"/>
    <w:rsid w:val="009820B7"/>
    <w:rsid w:val="0098213E"/>
    <w:rsid w:val="00982224"/>
    <w:rsid w:val="00982356"/>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ADE"/>
    <w:rsid w:val="00985AFE"/>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EBB"/>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DB5"/>
    <w:rsid w:val="00996FAD"/>
    <w:rsid w:val="00997265"/>
    <w:rsid w:val="009972E0"/>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4E4"/>
    <w:rsid w:val="009A0658"/>
    <w:rsid w:val="009A0761"/>
    <w:rsid w:val="009A0767"/>
    <w:rsid w:val="009A0932"/>
    <w:rsid w:val="009A0A0A"/>
    <w:rsid w:val="009A0B66"/>
    <w:rsid w:val="009A0C0C"/>
    <w:rsid w:val="009A0E8A"/>
    <w:rsid w:val="009A0EB0"/>
    <w:rsid w:val="009A0F17"/>
    <w:rsid w:val="009A0FC4"/>
    <w:rsid w:val="009A101D"/>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EF"/>
    <w:rsid w:val="009A2919"/>
    <w:rsid w:val="009A2AA2"/>
    <w:rsid w:val="009A2AEE"/>
    <w:rsid w:val="009A2C39"/>
    <w:rsid w:val="009A30BF"/>
    <w:rsid w:val="009A321E"/>
    <w:rsid w:val="009A3395"/>
    <w:rsid w:val="009A379B"/>
    <w:rsid w:val="009A3C57"/>
    <w:rsid w:val="009A3CE2"/>
    <w:rsid w:val="009A4104"/>
    <w:rsid w:val="009A415F"/>
    <w:rsid w:val="009A4206"/>
    <w:rsid w:val="009A44F4"/>
    <w:rsid w:val="009A46A2"/>
    <w:rsid w:val="009A473A"/>
    <w:rsid w:val="009A494A"/>
    <w:rsid w:val="009A4A7F"/>
    <w:rsid w:val="009A4B33"/>
    <w:rsid w:val="009A4D13"/>
    <w:rsid w:val="009A4DC7"/>
    <w:rsid w:val="009A4EEC"/>
    <w:rsid w:val="009A51FA"/>
    <w:rsid w:val="009A52D1"/>
    <w:rsid w:val="009A54A9"/>
    <w:rsid w:val="009A54CE"/>
    <w:rsid w:val="009A55BA"/>
    <w:rsid w:val="009A594D"/>
    <w:rsid w:val="009A5B0C"/>
    <w:rsid w:val="009A5B6F"/>
    <w:rsid w:val="009A5F3C"/>
    <w:rsid w:val="009A5F7B"/>
    <w:rsid w:val="009A614B"/>
    <w:rsid w:val="009A66F1"/>
    <w:rsid w:val="009A6769"/>
    <w:rsid w:val="009A6829"/>
    <w:rsid w:val="009A68EF"/>
    <w:rsid w:val="009A69ED"/>
    <w:rsid w:val="009A6A1C"/>
    <w:rsid w:val="009A6EB7"/>
    <w:rsid w:val="009A742A"/>
    <w:rsid w:val="009A7430"/>
    <w:rsid w:val="009A7687"/>
    <w:rsid w:val="009A772F"/>
    <w:rsid w:val="009A7784"/>
    <w:rsid w:val="009A7873"/>
    <w:rsid w:val="009A79D8"/>
    <w:rsid w:val="009A7B04"/>
    <w:rsid w:val="009A7DE5"/>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528A"/>
    <w:rsid w:val="009B52E5"/>
    <w:rsid w:val="009B55CE"/>
    <w:rsid w:val="009B5743"/>
    <w:rsid w:val="009B5B66"/>
    <w:rsid w:val="009B5CDF"/>
    <w:rsid w:val="009B5E7F"/>
    <w:rsid w:val="009B5E97"/>
    <w:rsid w:val="009B62B7"/>
    <w:rsid w:val="009B6429"/>
    <w:rsid w:val="009B65DE"/>
    <w:rsid w:val="009B6626"/>
    <w:rsid w:val="009B664D"/>
    <w:rsid w:val="009B67EE"/>
    <w:rsid w:val="009B6880"/>
    <w:rsid w:val="009B6E51"/>
    <w:rsid w:val="009B6E6D"/>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C5A"/>
    <w:rsid w:val="009D0CAD"/>
    <w:rsid w:val="009D0DD2"/>
    <w:rsid w:val="009D0FCF"/>
    <w:rsid w:val="009D1205"/>
    <w:rsid w:val="009D132D"/>
    <w:rsid w:val="009D1742"/>
    <w:rsid w:val="009D18B6"/>
    <w:rsid w:val="009D19DF"/>
    <w:rsid w:val="009D1AC3"/>
    <w:rsid w:val="009D1B03"/>
    <w:rsid w:val="009D1CB7"/>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66E"/>
    <w:rsid w:val="009D571B"/>
    <w:rsid w:val="009D587B"/>
    <w:rsid w:val="009D5A3E"/>
    <w:rsid w:val="009D5A97"/>
    <w:rsid w:val="009D5B93"/>
    <w:rsid w:val="009D5CBB"/>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61B1"/>
    <w:rsid w:val="009E64ED"/>
    <w:rsid w:val="009E65B4"/>
    <w:rsid w:val="009E69DA"/>
    <w:rsid w:val="009E6A98"/>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552"/>
    <w:rsid w:val="009F0940"/>
    <w:rsid w:val="009F0E32"/>
    <w:rsid w:val="009F1113"/>
    <w:rsid w:val="009F11E9"/>
    <w:rsid w:val="009F1962"/>
    <w:rsid w:val="009F1B2B"/>
    <w:rsid w:val="009F1B8C"/>
    <w:rsid w:val="009F1E8A"/>
    <w:rsid w:val="009F1F12"/>
    <w:rsid w:val="009F1F19"/>
    <w:rsid w:val="009F2356"/>
    <w:rsid w:val="009F23A6"/>
    <w:rsid w:val="009F23E5"/>
    <w:rsid w:val="009F2508"/>
    <w:rsid w:val="009F2E10"/>
    <w:rsid w:val="009F3272"/>
    <w:rsid w:val="009F32C8"/>
    <w:rsid w:val="009F33EC"/>
    <w:rsid w:val="009F34DD"/>
    <w:rsid w:val="009F37CA"/>
    <w:rsid w:val="009F38C8"/>
    <w:rsid w:val="009F3D17"/>
    <w:rsid w:val="009F4077"/>
    <w:rsid w:val="009F433C"/>
    <w:rsid w:val="009F43BE"/>
    <w:rsid w:val="009F43F7"/>
    <w:rsid w:val="009F4CD4"/>
    <w:rsid w:val="009F5492"/>
    <w:rsid w:val="009F54B1"/>
    <w:rsid w:val="009F54B9"/>
    <w:rsid w:val="009F56B4"/>
    <w:rsid w:val="009F587C"/>
    <w:rsid w:val="009F5909"/>
    <w:rsid w:val="009F5943"/>
    <w:rsid w:val="009F5A37"/>
    <w:rsid w:val="009F6084"/>
    <w:rsid w:val="009F6213"/>
    <w:rsid w:val="009F63D3"/>
    <w:rsid w:val="009F6720"/>
    <w:rsid w:val="009F6850"/>
    <w:rsid w:val="009F6AFB"/>
    <w:rsid w:val="009F6E02"/>
    <w:rsid w:val="009F6F69"/>
    <w:rsid w:val="009F7060"/>
    <w:rsid w:val="009F74F9"/>
    <w:rsid w:val="009F7632"/>
    <w:rsid w:val="009F7775"/>
    <w:rsid w:val="009F7B53"/>
    <w:rsid w:val="00A000CB"/>
    <w:rsid w:val="00A004D7"/>
    <w:rsid w:val="00A008F0"/>
    <w:rsid w:val="00A00CAC"/>
    <w:rsid w:val="00A00D8A"/>
    <w:rsid w:val="00A01153"/>
    <w:rsid w:val="00A0165B"/>
    <w:rsid w:val="00A018A9"/>
    <w:rsid w:val="00A01C3D"/>
    <w:rsid w:val="00A01D17"/>
    <w:rsid w:val="00A01E9A"/>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95E"/>
    <w:rsid w:val="00A11976"/>
    <w:rsid w:val="00A11A47"/>
    <w:rsid w:val="00A11B61"/>
    <w:rsid w:val="00A11EB1"/>
    <w:rsid w:val="00A1256F"/>
    <w:rsid w:val="00A126F8"/>
    <w:rsid w:val="00A12765"/>
    <w:rsid w:val="00A1284E"/>
    <w:rsid w:val="00A12A3A"/>
    <w:rsid w:val="00A12AF7"/>
    <w:rsid w:val="00A12DA5"/>
    <w:rsid w:val="00A12DFE"/>
    <w:rsid w:val="00A12FF1"/>
    <w:rsid w:val="00A1310B"/>
    <w:rsid w:val="00A1318E"/>
    <w:rsid w:val="00A13242"/>
    <w:rsid w:val="00A134D5"/>
    <w:rsid w:val="00A13684"/>
    <w:rsid w:val="00A138A7"/>
    <w:rsid w:val="00A1398A"/>
    <w:rsid w:val="00A13C94"/>
    <w:rsid w:val="00A142AC"/>
    <w:rsid w:val="00A14314"/>
    <w:rsid w:val="00A14364"/>
    <w:rsid w:val="00A14474"/>
    <w:rsid w:val="00A14517"/>
    <w:rsid w:val="00A14A7E"/>
    <w:rsid w:val="00A14E4C"/>
    <w:rsid w:val="00A14EF2"/>
    <w:rsid w:val="00A151CC"/>
    <w:rsid w:val="00A15422"/>
    <w:rsid w:val="00A1554C"/>
    <w:rsid w:val="00A159C8"/>
    <w:rsid w:val="00A15A76"/>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707F"/>
    <w:rsid w:val="00A17150"/>
    <w:rsid w:val="00A176B7"/>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693"/>
    <w:rsid w:val="00A270FE"/>
    <w:rsid w:val="00A27995"/>
    <w:rsid w:val="00A27BCC"/>
    <w:rsid w:val="00A27C9F"/>
    <w:rsid w:val="00A3006E"/>
    <w:rsid w:val="00A305EA"/>
    <w:rsid w:val="00A306A7"/>
    <w:rsid w:val="00A3078F"/>
    <w:rsid w:val="00A30861"/>
    <w:rsid w:val="00A308AD"/>
    <w:rsid w:val="00A308C6"/>
    <w:rsid w:val="00A30AF7"/>
    <w:rsid w:val="00A30C03"/>
    <w:rsid w:val="00A30DA8"/>
    <w:rsid w:val="00A3109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AE8"/>
    <w:rsid w:val="00A35AE9"/>
    <w:rsid w:val="00A35BDB"/>
    <w:rsid w:val="00A35BE2"/>
    <w:rsid w:val="00A35F49"/>
    <w:rsid w:val="00A35F7E"/>
    <w:rsid w:val="00A360EF"/>
    <w:rsid w:val="00A36268"/>
    <w:rsid w:val="00A3645C"/>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66E"/>
    <w:rsid w:val="00A40852"/>
    <w:rsid w:val="00A408E5"/>
    <w:rsid w:val="00A409F6"/>
    <w:rsid w:val="00A40A8E"/>
    <w:rsid w:val="00A40B40"/>
    <w:rsid w:val="00A41164"/>
    <w:rsid w:val="00A4132D"/>
    <w:rsid w:val="00A41339"/>
    <w:rsid w:val="00A41573"/>
    <w:rsid w:val="00A41762"/>
    <w:rsid w:val="00A41804"/>
    <w:rsid w:val="00A4180E"/>
    <w:rsid w:val="00A41891"/>
    <w:rsid w:val="00A41BB6"/>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55"/>
    <w:rsid w:val="00A43459"/>
    <w:rsid w:val="00A43613"/>
    <w:rsid w:val="00A438FE"/>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E5"/>
    <w:rsid w:val="00A556AF"/>
    <w:rsid w:val="00A55967"/>
    <w:rsid w:val="00A55B17"/>
    <w:rsid w:val="00A55B34"/>
    <w:rsid w:val="00A55DC4"/>
    <w:rsid w:val="00A56087"/>
    <w:rsid w:val="00A56440"/>
    <w:rsid w:val="00A564A4"/>
    <w:rsid w:val="00A56926"/>
    <w:rsid w:val="00A56B0C"/>
    <w:rsid w:val="00A56B54"/>
    <w:rsid w:val="00A56EAE"/>
    <w:rsid w:val="00A56FC7"/>
    <w:rsid w:val="00A5725F"/>
    <w:rsid w:val="00A5738F"/>
    <w:rsid w:val="00A574BE"/>
    <w:rsid w:val="00A57DAB"/>
    <w:rsid w:val="00A57E0C"/>
    <w:rsid w:val="00A604F2"/>
    <w:rsid w:val="00A60672"/>
    <w:rsid w:val="00A606EF"/>
    <w:rsid w:val="00A607CE"/>
    <w:rsid w:val="00A607DC"/>
    <w:rsid w:val="00A609BE"/>
    <w:rsid w:val="00A60A7B"/>
    <w:rsid w:val="00A60D1C"/>
    <w:rsid w:val="00A60D33"/>
    <w:rsid w:val="00A60DB2"/>
    <w:rsid w:val="00A60E0E"/>
    <w:rsid w:val="00A61170"/>
    <w:rsid w:val="00A61178"/>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4DB"/>
    <w:rsid w:val="00A72685"/>
    <w:rsid w:val="00A729A1"/>
    <w:rsid w:val="00A729C0"/>
    <w:rsid w:val="00A72AB0"/>
    <w:rsid w:val="00A72E79"/>
    <w:rsid w:val="00A72F53"/>
    <w:rsid w:val="00A73451"/>
    <w:rsid w:val="00A739D1"/>
    <w:rsid w:val="00A73B3D"/>
    <w:rsid w:val="00A73C6B"/>
    <w:rsid w:val="00A73DE6"/>
    <w:rsid w:val="00A7423E"/>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C97"/>
    <w:rsid w:val="00A85D27"/>
    <w:rsid w:val="00A85DEE"/>
    <w:rsid w:val="00A85FE7"/>
    <w:rsid w:val="00A86105"/>
    <w:rsid w:val="00A861EB"/>
    <w:rsid w:val="00A8620F"/>
    <w:rsid w:val="00A86260"/>
    <w:rsid w:val="00A863C0"/>
    <w:rsid w:val="00A86646"/>
    <w:rsid w:val="00A86655"/>
    <w:rsid w:val="00A869B8"/>
    <w:rsid w:val="00A86B07"/>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2D3"/>
    <w:rsid w:val="00AB5460"/>
    <w:rsid w:val="00AB55F2"/>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B44"/>
    <w:rsid w:val="00AB6B6A"/>
    <w:rsid w:val="00AB6E3B"/>
    <w:rsid w:val="00AB6EB5"/>
    <w:rsid w:val="00AB7024"/>
    <w:rsid w:val="00AB71CE"/>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C48"/>
    <w:rsid w:val="00AC0CDA"/>
    <w:rsid w:val="00AC0E00"/>
    <w:rsid w:val="00AC0E70"/>
    <w:rsid w:val="00AC0E86"/>
    <w:rsid w:val="00AC1221"/>
    <w:rsid w:val="00AC128A"/>
    <w:rsid w:val="00AC1327"/>
    <w:rsid w:val="00AC1372"/>
    <w:rsid w:val="00AC13B8"/>
    <w:rsid w:val="00AC13D4"/>
    <w:rsid w:val="00AC1781"/>
    <w:rsid w:val="00AC198D"/>
    <w:rsid w:val="00AC1C4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79"/>
    <w:rsid w:val="00AC3E28"/>
    <w:rsid w:val="00AC3E29"/>
    <w:rsid w:val="00AC3E49"/>
    <w:rsid w:val="00AC3EFE"/>
    <w:rsid w:val="00AC428F"/>
    <w:rsid w:val="00AC43D5"/>
    <w:rsid w:val="00AC4412"/>
    <w:rsid w:val="00AC444C"/>
    <w:rsid w:val="00AC468D"/>
    <w:rsid w:val="00AC4886"/>
    <w:rsid w:val="00AC4BFC"/>
    <w:rsid w:val="00AC4CD9"/>
    <w:rsid w:val="00AC4D7E"/>
    <w:rsid w:val="00AC4DE2"/>
    <w:rsid w:val="00AC4F96"/>
    <w:rsid w:val="00AC519A"/>
    <w:rsid w:val="00AC5209"/>
    <w:rsid w:val="00AC54DD"/>
    <w:rsid w:val="00AC5702"/>
    <w:rsid w:val="00AC5737"/>
    <w:rsid w:val="00AC5C29"/>
    <w:rsid w:val="00AC5D30"/>
    <w:rsid w:val="00AC5F0E"/>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D01"/>
    <w:rsid w:val="00AD0D0D"/>
    <w:rsid w:val="00AD0F57"/>
    <w:rsid w:val="00AD0F68"/>
    <w:rsid w:val="00AD0F72"/>
    <w:rsid w:val="00AD10D1"/>
    <w:rsid w:val="00AD12D5"/>
    <w:rsid w:val="00AD12DA"/>
    <w:rsid w:val="00AD1419"/>
    <w:rsid w:val="00AD1487"/>
    <w:rsid w:val="00AD1598"/>
    <w:rsid w:val="00AD1687"/>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F3"/>
    <w:rsid w:val="00AE1443"/>
    <w:rsid w:val="00AE16E7"/>
    <w:rsid w:val="00AE1C5C"/>
    <w:rsid w:val="00AE1CB6"/>
    <w:rsid w:val="00AE1FD5"/>
    <w:rsid w:val="00AE2048"/>
    <w:rsid w:val="00AE2299"/>
    <w:rsid w:val="00AE2368"/>
    <w:rsid w:val="00AE2416"/>
    <w:rsid w:val="00AE24B2"/>
    <w:rsid w:val="00AE27E0"/>
    <w:rsid w:val="00AE2876"/>
    <w:rsid w:val="00AE29BD"/>
    <w:rsid w:val="00AE2A29"/>
    <w:rsid w:val="00AE2CDA"/>
    <w:rsid w:val="00AE2E0E"/>
    <w:rsid w:val="00AE309E"/>
    <w:rsid w:val="00AE3583"/>
    <w:rsid w:val="00AE364E"/>
    <w:rsid w:val="00AE3729"/>
    <w:rsid w:val="00AE3BBC"/>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70"/>
    <w:rsid w:val="00AF58A7"/>
    <w:rsid w:val="00AF5C22"/>
    <w:rsid w:val="00AF5C8E"/>
    <w:rsid w:val="00AF5F7C"/>
    <w:rsid w:val="00AF61E7"/>
    <w:rsid w:val="00AF62FC"/>
    <w:rsid w:val="00AF6615"/>
    <w:rsid w:val="00AF6758"/>
    <w:rsid w:val="00AF6C0C"/>
    <w:rsid w:val="00AF6CFC"/>
    <w:rsid w:val="00AF6E1C"/>
    <w:rsid w:val="00AF6E9B"/>
    <w:rsid w:val="00AF730A"/>
    <w:rsid w:val="00AF731C"/>
    <w:rsid w:val="00AF79A3"/>
    <w:rsid w:val="00AF7DA4"/>
    <w:rsid w:val="00AF7FE9"/>
    <w:rsid w:val="00B000D3"/>
    <w:rsid w:val="00B002FB"/>
    <w:rsid w:val="00B00599"/>
    <w:rsid w:val="00B00956"/>
    <w:rsid w:val="00B0099F"/>
    <w:rsid w:val="00B00A34"/>
    <w:rsid w:val="00B00A9B"/>
    <w:rsid w:val="00B00B0C"/>
    <w:rsid w:val="00B00C37"/>
    <w:rsid w:val="00B01068"/>
    <w:rsid w:val="00B014DA"/>
    <w:rsid w:val="00B01688"/>
    <w:rsid w:val="00B016B6"/>
    <w:rsid w:val="00B0179F"/>
    <w:rsid w:val="00B01AAB"/>
    <w:rsid w:val="00B01B2E"/>
    <w:rsid w:val="00B01D8A"/>
    <w:rsid w:val="00B01FA3"/>
    <w:rsid w:val="00B01FDE"/>
    <w:rsid w:val="00B02169"/>
    <w:rsid w:val="00B023F6"/>
    <w:rsid w:val="00B024FF"/>
    <w:rsid w:val="00B02529"/>
    <w:rsid w:val="00B0255C"/>
    <w:rsid w:val="00B0261A"/>
    <w:rsid w:val="00B0262A"/>
    <w:rsid w:val="00B02774"/>
    <w:rsid w:val="00B029EC"/>
    <w:rsid w:val="00B02D21"/>
    <w:rsid w:val="00B02F5E"/>
    <w:rsid w:val="00B02F95"/>
    <w:rsid w:val="00B02FF2"/>
    <w:rsid w:val="00B030B3"/>
    <w:rsid w:val="00B0319B"/>
    <w:rsid w:val="00B03D25"/>
    <w:rsid w:val="00B03FFB"/>
    <w:rsid w:val="00B0400D"/>
    <w:rsid w:val="00B04038"/>
    <w:rsid w:val="00B0418F"/>
    <w:rsid w:val="00B043FA"/>
    <w:rsid w:val="00B045FB"/>
    <w:rsid w:val="00B04762"/>
    <w:rsid w:val="00B049CE"/>
    <w:rsid w:val="00B04BE5"/>
    <w:rsid w:val="00B04C90"/>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B1"/>
    <w:rsid w:val="00B07BBE"/>
    <w:rsid w:val="00B07E36"/>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E7B"/>
    <w:rsid w:val="00B12F19"/>
    <w:rsid w:val="00B12F91"/>
    <w:rsid w:val="00B130C4"/>
    <w:rsid w:val="00B13701"/>
    <w:rsid w:val="00B1383F"/>
    <w:rsid w:val="00B13A13"/>
    <w:rsid w:val="00B13B1C"/>
    <w:rsid w:val="00B13D01"/>
    <w:rsid w:val="00B13E2C"/>
    <w:rsid w:val="00B14258"/>
    <w:rsid w:val="00B143C6"/>
    <w:rsid w:val="00B145EB"/>
    <w:rsid w:val="00B14629"/>
    <w:rsid w:val="00B146A3"/>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303E"/>
    <w:rsid w:val="00B233D3"/>
    <w:rsid w:val="00B23640"/>
    <w:rsid w:val="00B237E8"/>
    <w:rsid w:val="00B238EF"/>
    <w:rsid w:val="00B23C48"/>
    <w:rsid w:val="00B23F8E"/>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858"/>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15"/>
    <w:rsid w:val="00B3088F"/>
    <w:rsid w:val="00B30A0F"/>
    <w:rsid w:val="00B30AE1"/>
    <w:rsid w:val="00B30CC0"/>
    <w:rsid w:val="00B30CCC"/>
    <w:rsid w:val="00B311C8"/>
    <w:rsid w:val="00B3126F"/>
    <w:rsid w:val="00B312A0"/>
    <w:rsid w:val="00B31493"/>
    <w:rsid w:val="00B3163C"/>
    <w:rsid w:val="00B316E7"/>
    <w:rsid w:val="00B31839"/>
    <w:rsid w:val="00B319E8"/>
    <w:rsid w:val="00B32390"/>
    <w:rsid w:val="00B32443"/>
    <w:rsid w:val="00B3259A"/>
    <w:rsid w:val="00B327A4"/>
    <w:rsid w:val="00B3283F"/>
    <w:rsid w:val="00B32850"/>
    <w:rsid w:val="00B329F3"/>
    <w:rsid w:val="00B32D81"/>
    <w:rsid w:val="00B33146"/>
    <w:rsid w:val="00B33618"/>
    <w:rsid w:val="00B338BB"/>
    <w:rsid w:val="00B33B5B"/>
    <w:rsid w:val="00B33F30"/>
    <w:rsid w:val="00B340D8"/>
    <w:rsid w:val="00B341BD"/>
    <w:rsid w:val="00B3433A"/>
    <w:rsid w:val="00B343BF"/>
    <w:rsid w:val="00B34635"/>
    <w:rsid w:val="00B34974"/>
    <w:rsid w:val="00B34C9D"/>
    <w:rsid w:val="00B35113"/>
    <w:rsid w:val="00B3519F"/>
    <w:rsid w:val="00B35238"/>
    <w:rsid w:val="00B35240"/>
    <w:rsid w:val="00B353FB"/>
    <w:rsid w:val="00B35406"/>
    <w:rsid w:val="00B354D9"/>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5A7"/>
    <w:rsid w:val="00B538B9"/>
    <w:rsid w:val="00B53912"/>
    <w:rsid w:val="00B53CA0"/>
    <w:rsid w:val="00B53FCC"/>
    <w:rsid w:val="00B54097"/>
    <w:rsid w:val="00B54408"/>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6F"/>
    <w:rsid w:val="00B56885"/>
    <w:rsid w:val="00B569CB"/>
    <w:rsid w:val="00B56AB8"/>
    <w:rsid w:val="00B56B7F"/>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117B"/>
    <w:rsid w:val="00B61336"/>
    <w:rsid w:val="00B613CA"/>
    <w:rsid w:val="00B61479"/>
    <w:rsid w:val="00B61558"/>
    <w:rsid w:val="00B616AE"/>
    <w:rsid w:val="00B61829"/>
    <w:rsid w:val="00B619AD"/>
    <w:rsid w:val="00B61AA6"/>
    <w:rsid w:val="00B61B12"/>
    <w:rsid w:val="00B61D83"/>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205"/>
    <w:rsid w:val="00B6739D"/>
    <w:rsid w:val="00B67973"/>
    <w:rsid w:val="00B67B11"/>
    <w:rsid w:val="00B700DB"/>
    <w:rsid w:val="00B702C4"/>
    <w:rsid w:val="00B70452"/>
    <w:rsid w:val="00B7076C"/>
    <w:rsid w:val="00B70791"/>
    <w:rsid w:val="00B7083C"/>
    <w:rsid w:val="00B708F4"/>
    <w:rsid w:val="00B70A40"/>
    <w:rsid w:val="00B70AD1"/>
    <w:rsid w:val="00B70B16"/>
    <w:rsid w:val="00B70E82"/>
    <w:rsid w:val="00B71067"/>
    <w:rsid w:val="00B710C8"/>
    <w:rsid w:val="00B71175"/>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332"/>
    <w:rsid w:val="00B7440B"/>
    <w:rsid w:val="00B744FA"/>
    <w:rsid w:val="00B74632"/>
    <w:rsid w:val="00B74927"/>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3EB"/>
    <w:rsid w:val="00B865FD"/>
    <w:rsid w:val="00B8676F"/>
    <w:rsid w:val="00B868E4"/>
    <w:rsid w:val="00B86A25"/>
    <w:rsid w:val="00B86A7B"/>
    <w:rsid w:val="00B86C81"/>
    <w:rsid w:val="00B86D50"/>
    <w:rsid w:val="00B86F6C"/>
    <w:rsid w:val="00B86FF1"/>
    <w:rsid w:val="00B8721F"/>
    <w:rsid w:val="00B8728B"/>
    <w:rsid w:val="00B87478"/>
    <w:rsid w:val="00B875FD"/>
    <w:rsid w:val="00B87D2A"/>
    <w:rsid w:val="00B87DAB"/>
    <w:rsid w:val="00B87E58"/>
    <w:rsid w:val="00B901D3"/>
    <w:rsid w:val="00B90228"/>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F7"/>
    <w:rsid w:val="00B977A8"/>
    <w:rsid w:val="00B97C49"/>
    <w:rsid w:val="00B97D6F"/>
    <w:rsid w:val="00B97F59"/>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62E"/>
    <w:rsid w:val="00BA289E"/>
    <w:rsid w:val="00BA29F6"/>
    <w:rsid w:val="00BA2A66"/>
    <w:rsid w:val="00BA2DA2"/>
    <w:rsid w:val="00BA3034"/>
    <w:rsid w:val="00BA311C"/>
    <w:rsid w:val="00BA371D"/>
    <w:rsid w:val="00BA376C"/>
    <w:rsid w:val="00BA3A7B"/>
    <w:rsid w:val="00BA3C58"/>
    <w:rsid w:val="00BA3DBC"/>
    <w:rsid w:val="00BA3FB7"/>
    <w:rsid w:val="00BA41C6"/>
    <w:rsid w:val="00BA424B"/>
    <w:rsid w:val="00BA4394"/>
    <w:rsid w:val="00BA442F"/>
    <w:rsid w:val="00BA449D"/>
    <w:rsid w:val="00BA47E3"/>
    <w:rsid w:val="00BA4813"/>
    <w:rsid w:val="00BA48CE"/>
    <w:rsid w:val="00BA4939"/>
    <w:rsid w:val="00BA4CB1"/>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AB0"/>
    <w:rsid w:val="00BA7AC1"/>
    <w:rsid w:val="00BA7E26"/>
    <w:rsid w:val="00BA7E76"/>
    <w:rsid w:val="00BB0335"/>
    <w:rsid w:val="00BB043C"/>
    <w:rsid w:val="00BB069F"/>
    <w:rsid w:val="00BB1006"/>
    <w:rsid w:val="00BB1467"/>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D2"/>
    <w:rsid w:val="00BB2A52"/>
    <w:rsid w:val="00BB2B46"/>
    <w:rsid w:val="00BB2B5C"/>
    <w:rsid w:val="00BB2C1F"/>
    <w:rsid w:val="00BB2CC2"/>
    <w:rsid w:val="00BB2E92"/>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897"/>
    <w:rsid w:val="00BC09BA"/>
    <w:rsid w:val="00BC0AB5"/>
    <w:rsid w:val="00BC0C94"/>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32B"/>
    <w:rsid w:val="00BC37A3"/>
    <w:rsid w:val="00BC3A6F"/>
    <w:rsid w:val="00BC3CBF"/>
    <w:rsid w:val="00BC3D04"/>
    <w:rsid w:val="00BC3D32"/>
    <w:rsid w:val="00BC440E"/>
    <w:rsid w:val="00BC4493"/>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832"/>
    <w:rsid w:val="00BD1858"/>
    <w:rsid w:val="00BD19B0"/>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E54"/>
    <w:rsid w:val="00BD4FA0"/>
    <w:rsid w:val="00BD4FDF"/>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790"/>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C4"/>
    <w:rsid w:val="00BE2E3B"/>
    <w:rsid w:val="00BE2EB6"/>
    <w:rsid w:val="00BE2F30"/>
    <w:rsid w:val="00BE2F4E"/>
    <w:rsid w:val="00BE2FCF"/>
    <w:rsid w:val="00BE3020"/>
    <w:rsid w:val="00BE3044"/>
    <w:rsid w:val="00BE32FB"/>
    <w:rsid w:val="00BE35B0"/>
    <w:rsid w:val="00BE37B9"/>
    <w:rsid w:val="00BE3C6E"/>
    <w:rsid w:val="00BE3E0C"/>
    <w:rsid w:val="00BE427C"/>
    <w:rsid w:val="00BE42DD"/>
    <w:rsid w:val="00BE43AD"/>
    <w:rsid w:val="00BE4651"/>
    <w:rsid w:val="00BE4FCD"/>
    <w:rsid w:val="00BE50FA"/>
    <w:rsid w:val="00BE524E"/>
    <w:rsid w:val="00BE57ED"/>
    <w:rsid w:val="00BE58F0"/>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80"/>
    <w:rsid w:val="00BE7B47"/>
    <w:rsid w:val="00BE7D1A"/>
    <w:rsid w:val="00BE7DB9"/>
    <w:rsid w:val="00BF0018"/>
    <w:rsid w:val="00BF00F0"/>
    <w:rsid w:val="00BF0156"/>
    <w:rsid w:val="00BF0196"/>
    <w:rsid w:val="00BF035D"/>
    <w:rsid w:val="00BF036F"/>
    <w:rsid w:val="00BF051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3092"/>
    <w:rsid w:val="00BF30ED"/>
    <w:rsid w:val="00BF3172"/>
    <w:rsid w:val="00BF3280"/>
    <w:rsid w:val="00BF3300"/>
    <w:rsid w:val="00BF35ED"/>
    <w:rsid w:val="00BF370D"/>
    <w:rsid w:val="00BF3866"/>
    <w:rsid w:val="00BF39E0"/>
    <w:rsid w:val="00BF3BFA"/>
    <w:rsid w:val="00BF3E70"/>
    <w:rsid w:val="00BF412F"/>
    <w:rsid w:val="00BF42FB"/>
    <w:rsid w:val="00BF448E"/>
    <w:rsid w:val="00BF4602"/>
    <w:rsid w:val="00BF47F9"/>
    <w:rsid w:val="00BF48FD"/>
    <w:rsid w:val="00BF490A"/>
    <w:rsid w:val="00BF4A1A"/>
    <w:rsid w:val="00BF4AF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FCD"/>
    <w:rsid w:val="00BF7FFB"/>
    <w:rsid w:val="00C0005E"/>
    <w:rsid w:val="00C000B3"/>
    <w:rsid w:val="00C002B0"/>
    <w:rsid w:val="00C00413"/>
    <w:rsid w:val="00C0060F"/>
    <w:rsid w:val="00C008CD"/>
    <w:rsid w:val="00C00A75"/>
    <w:rsid w:val="00C00B37"/>
    <w:rsid w:val="00C00B7D"/>
    <w:rsid w:val="00C00C24"/>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5A6"/>
    <w:rsid w:val="00C04784"/>
    <w:rsid w:val="00C047A4"/>
    <w:rsid w:val="00C049A2"/>
    <w:rsid w:val="00C04A17"/>
    <w:rsid w:val="00C05580"/>
    <w:rsid w:val="00C0596B"/>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B4"/>
    <w:rsid w:val="00C107F4"/>
    <w:rsid w:val="00C108A6"/>
    <w:rsid w:val="00C10FA2"/>
    <w:rsid w:val="00C111FB"/>
    <w:rsid w:val="00C11259"/>
    <w:rsid w:val="00C115CB"/>
    <w:rsid w:val="00C11789"/>
    <w:rsid w:val="00C1185A"/>
    <w:rsid w:val="00C11895"/>
    <w:rsid w:val="00C122AE"/>
    <w:rsid w:val="00C122B7"/>
    <w:rsid w:val="00C124BB"/>
    <w:rsid w:val="00C1285F"/>
    <w:rsid w:val="00C12899"/>
    <w:rsid w:val="00C128D5"/>
    <w:rsid w:val="00C12B14"/>
    <w:rsid w:val="00C12BE1"/>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C1F"/>
    <w:rsid w:val="00C16D43"/>
    <w:rsid w:val="00C16D9E"/>
    <w:rsid w:val="00C16E62"/>
    <w:rsid w:val="00C17163"/>
    <w:rsid w:val="00C1720B"/>
    <w:rsid w:val="00C17386"/>
    <w:rsid w:val="00C174D6"/>
    <w:rsid w:val="00C176CD"/>
    <w:rsid w:val="00C17AD0"/>
    <w:rsid w:val="00C17CE5"/>
    <w:rsid w:val="00C17D78"/>
    <w:rsid w:val="00C20161"/>
    <w:rsid w:val="00C205E4"/>
    <w:rsid w:val="00C20697"/>
    <w:rsid w:val="00C207F4"/>
    <w:rsid w:val="00C20A12"/>
    <w:rsid w:val="00C20A52"/>
    <w:rsid w:val="00C20BE8"/>
    <w:rsid w:val="00C20CCB"/>
    <w:rsid w:val="00C20D23"/>
    <w:rsid w:val="00C20D63"/>
    <w:rsid w:val="00C20EFB"/>
    <w:rsid w:val="00C20FBA"/>
    <w:rsid w:val="00C21045"/>
    <w:rsid w:val="00C2119A"/>
    <w:rsid w:val="00C218BD"/>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83E"/>
    <w:rsid w:val="00C239CC"/>
    <w:rsid w:val="00C239F9"/>
    <w:rsid w:val="00C23B9C"/>
    <w:rsid w:val="00C23F4F"/>
    <w:rsid w:val="00C24098"/>
    <w:rsid w:val="00C24179"/>
    <w:rsid w:val="00C2423E"/>
    <w:rsid w:val="00C2455D"/>
    <w:rsid w:val="00C2459E"/>
    <w:rsid w:val="00C24645"/>
    <w:rsid w:val="00C2473A"/>
    <w:rsid w:val="00C24967"/>
    <w:rsid w:val="00C24DED"/>
    <w:rsid w:val="00C24DFE"/>
    <w:rsid w:val="00C25195"/>
    <w:rsid w:val="00C25276"/>
    <w:rsid w:val="00C252B1"/>
    <w:rsid w:val="00C25444"/>
    <w:rsid w:val="00C25731"/>
    <w:rsid w:val="00C259D8"/>
    <w:rsid w:val="00C25A59"/>
    <w:rsid w:val="00C25AD7"/>
    <w:rsid w:val="00C25C95"/>
    <w:rsid w:val="00C25D6E"/>
    <w:rsid w:val="00C2615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A"/>
    <w:rsid w:val="00C30998"/>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44C"/>
    <w:rsid w:val="00C34610"/>
    <w:rsid w:val="00C34AB6"/>
    <w:rsid w:val="00C34BB9"/>
    <w:rsid w:val="00C34E0E"/>
    <w:rsid w:val="00C35036"/>
    <w:rsid w:val="00C350EA"/>
    <w:rsid w:val="00C35423"/>
    <w:rsid w:val="00C35531"/>
    <w:rsid w:val="00C3577D"/>
    <w:rsid w:val="00C35D97"/>
    <w:rsid w:val="00C35E64"/>
    <w:rsid w:val="00C35EDA"/>
    <w:rsid w:val="00C36260"/>
    <w:rsid w:val="00C3644F"/>
    <w:rsid w:val="00C364D7"/>
    <w:rsid w:val="00C3660C"/>
    <w:rsid w:val="00C36799"/>
    <w:rsid w:val="00C36A63"/>
    <w:rsid w:val="00C36AE7"/>
    <w:rsid w:val="00C36B49"/>
    <w:rsid w:val="00C36F4C"/>
    <w:rsid w:val="00C3707B"/>
    <w:rsid w:val="00C37133"/>
    <w:rsid w:val="00C37234"/>
    <w:rsid w:val="00C372A2"/>
    <w:rsid w:val="00C37451"/>
    <w:rsid w:val="00C375FA"/>
    <w:rsid w:val="00C37825"/>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4E4"/>
    <w:rsid w:val="00C47552"/>
    <w:rsid w:val="00C475E8"/>
    <w:rsid w:val="00C4782F"/>
    <w:rsid w:val="00C47893"/>
    <w:rsid w:val="00C4791D"/>
    <w:rsid w:val="00C47C2E"/>
    <w:rsid w:val="00C47EE6"/>
    <w:rsid w:val="00C47FB0"/>
    <w:rsid w:val="00C5013E"/>
    <w:rsid w:val="00C50299"/>
    <w:rsid w:val="00C50418"/>
    <w:rsid w:val="00C504D1"/>
    <w:rsid w:val="00C506DB"/>
    <w:rsid w:val="00C508FB"/>
    <w:rsid w:val="00C50CBB"/>
    <w:rsid w:val="00C50CF2"/>
    <w:rsid w:val="00C50D35"/>
    <w:rsid w:val="00C50EF6"/>
    <w:rsid w:val="00C50EFB"/>
    <w:rsid w:val="00C5103A"/>
    <w:rsid w:val="00C510AF"/>
    <w:rsid w:val="00C51152"/>
    <w:rsid w:val="00C5122A"/>
    <w:rsid w:val="00C5133C"/>
    <w:rsid w:val="00C513B9"/>
    <w:rsid w:val="00C514B1"/>
    <w:rsid w:val="00C514FC"/>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E04"/>
    <w:rsid w:val="00C552D1"/>
    <w:rsid w:val="00C5536D"/>
    <w:rsid w:val="00C554E2"/>
    <w:rsid w:val="00C55624"/>
    <w:rsid w:val="00C556CB"/>
    <w:rsid w:val="00C55728"/>
    <w:rsid w:val="00C5577B"/>
    <w:rsid w:val="00C5583B"/>
    <w:rsid w:val="00C55B9F"/>
    <w:rsid w:val="00C55C79"/>
    <w:rsid w:val="00C55D92"/>
    <w:rsid w:val="00C55F79"/>
    <w:rsid w:val="00C55FC7"/>
    <w:rsid w:val="00C5601B"/>
    <w:rsid w:val="00C5611D"/>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2011"/>
    <w:rsid w:val="00C620AB"/>
    <w:rsid w:val="00C624BD"/>
    <w:rsid w:val="00C625C1"/>
    <w:rsid w:val="00C625DB"/>
    <w:rsid w:val="00C62613"/>
    <w:rsid w:val="00C62968"/>
    <w:rsid w:val="00C62E3D"/>
    <w:rsid w:val="00C62E66"/>
    <w:rsid w:val="00C63672"/>
    <w:rsid w:val="00C636B7"/>
    <w:rsid w:val="00C63748"/>
    <w:rsid w:val="00C63A9D"/>
    <w:rsid w:val="00C63B0C"/>
    <w:rsid w:val="00C63D38"/>
    <w:rsid w:val="00C63D96"/>
    <w:rsid w:val="00C64036"/>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9B"/>
    <w:rsid w:val="00C65F5C"/>
    <w:rsid w:val="00C66110"/>
    <w:rsid w:val="00C6630B"/>
    <w:rsid w:val="00C66CA8"/>
    <w:rsid w:val="00C67110"/>
    <w:rsid w:val="00C6752C"/>
    <w:rsid w:val="00C675E1"/>
    <w:rsid w:val="00C67894"/>
    <w:rsid w:val="00C6796B"/>
    <w:rsid w:val="00C70010"/>
    <w:rsid w:val="00C70477"/>
    <w:rsid w:val="00C70610"/>
    <w:rsid w:val="00C70781"/>
    <w:rsid w:val="00C70A1B"/>
    <w:rsid w:val="00C70C12"/>
    <w:rsid w:val="00C711B7"/>
    <w:rsid w:val="00C71270"/>
    <w:rsid w:val="00C7132D"/>
    <w:rsid w:val="00C7134A"/>
    <w:rsid w:val="00C71711"/>
    <w:rsid w:val="00C71825"/>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895"/>
    <w:rsid w:val="00C91A2F"/>
    <w:rsid w:val="00C91D80"/>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90"/>
    <w:rsid w:val="00C93CE6"/>
    <w:rsid w:val="00C93E19"/>
    <w:rsid w:val="00C94062"/>
    <w:rsid w:val="00C94150"/>
    <w:rsid w:val="00C943FB"/>
    <w:rsid w:val="00C94546"/>
    <w:rsid w:val="00C9458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F71"/>
    <w:rsid w:val="00C96287"/>
    <w:rsid w:val="00C964C8"/>
    <w:rsid w:val="00C9679B"/>
    <w:rsid w:val="00C968DE"/>
    <w:rsid w:val="00C96904"/>
    <w:rsid w:val="00C96BD0"/>
    <w:rsid w:val="00C96D1B"/>
    <w:rsid w:val="00C97763"/>
    <w:rsid w:val="00C97928"/>
    <w:rsid w:val="00C979C7"/>
    <w:rsid w:val="00C97CE3"/>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EF"/>
    <w:rsid w:val="00CA18B4"/>
    <w:rsid w:val="00CA1DF2"/>
    <w:rsid w:val="00CA1E10"/>
    <w:rsid w:val="00CA1E62"/>
    <w:rsid w:val="00CA2455"/>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C21"/>
    <w:rsid w:val="00CA4C55"/>
    <w:rsid w:val="00CA4DD2"/>
    <w:rsid w:val="00CA50FD"/>
    <w:rsid w:val="00CA52BA"/>
    <w:rsid w:val="00CA5612"/>
    <w:rsid w:val="00CA567E"/>
    <w:rsid w:val="00CA56E1"/>
    <w:rsid w:val="00CA5748"/>
    <w:rsid w:val="00CA5A0E"/>
    <w:rsid w:val="00CA5E9D"/>
    <w:rsid w:val="00CA5FB1"/>
    <w:rsid w:val="00CA6387"/>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F1"/>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8F1"/>
    <w:rsid w:val="00CC6A9B"/>
    <w:rsid w:val="00CC6BFC"/>
    <w:rsid w:val="00CC6D16"/>
    <w:rsid w:val="00CC6DDA"/>
    <w:rsid w:val="00CC6F3E"/>
    <w:rsid w:val="00CC6F8A"/>
    <w:rsid w:val="00CC73E0"/>
    <w:rsid w:val="00CC742F"/>
    <w:rsid w:val="00CC74C1"/>
    <w:rsid w:val="00CC7AC5"/>
    <w:rsid w:val="00CC7C77"/>
    <w:rsid w:val="00CC7CAD"/>
    <w:rsid w:val="00CC7EBD"/>
    <w:rsid w:val="00CC7FC8"/>
    <w:rsid w:val="00CD0275"/>
    <w:rsid w:val="00CD038A"/>
    <w:rsid w:val="00CD0783"/>
    <w:rsid w:val="00CD08FC"/>
    <w:rsid w:val="00CD0930"/>
    <w:rsid w:val="00CD0B60"/>
    <w:rsid w:val="00CD0BF7"/>
    <w:rsid w:val="00CD0D57"/>
    <w:rsid w:val="00CD0EE2"/>
    <w:rsid w:val="00CD0EE8"/>
    <w:rsid w:val="00CD0EEA"/>
    <w:rsid w:val="00CD10E8"/>
    <w:rsid w:val="00CD1369"/>
    <w:rsid w:val="00CD16D6"/>
    <w:rsid w:val="00CD18DD"/>
    <w:rsid w:val="00CD1A2D"/>
    <w:rsid w:val="00CD1D20"/>
    <w:rsid w:val="00CD1E0E"/>
    <w:rsid w:val="00CD21E3"/>
    <w:rsid w:val="00CD23FB"/>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412"/>
    <w:rsid w:val="00CD57C8"/>
    <w:rsid w:val="00CD59C3"/>
    <w:rsid w:val="00CD5ADE"/>
    <w:rsid w:val="00CD5B8E"/>
    <w:rsid w:val="00CD5E63"/>
    <w:rsid w:val="00CD5E83"/>
    <w:rsid w:val="00CD610F"/>
    <w:rsid w:val="00CD6123"/>
    <w:rsid w:val="00CD6181"/>
    <w:rsid w:val="00CD61C9"/>
    <w:rsid w:val="00CD61F5"/>
    <w:rsid w:val="00CD6252"/>
    <w:rsid w:val="00CD62AA"/>
    <w:rsid w:val="00CD6313"/>
    <w:rsid w:val="00CD6432"/>
    <w:rsid w:val="00CD6493"/>
    <w:rsid w:val="00CD64B8"/>
    <w:rsid w:val="00CD6699"/>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E95"/>
    <w:rsid w:val="00D04FCF"/>
    <w:rsid w:val="00D051FD"/>
    <w:rsid w:val="00D05572"/>
    <w:rsid w:val="00D055CE"/>
    <w:rsid w:val="00D05988"/>
    <w:rsid w:val="00D0598F"/>
    <w:rsid w:val="00D059EA"/>
    <w:rsid w:val="00D05A7E"/>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F84"/>
    <w:rsid w:val="00D10142"/>
    <w:rsid w:val="00D1038A"/>
    <w:rsid w:val="00D1063D"/>
    <w:rsid w:val="00D10B3D"/>
    <w:rsid w:val="00D10BC5"/>
    <w:rsid w:val="00D10BFE"/>
    <w:rsid w:val="00D11194"/>
    <w:rsid w:val="00D112EA"/>
    <w:rsid w:val="00D11402"/>
    <w:rsid w:val="00D1140D"/>
    <w:rsid w:val="00D11552"/>
    <w:rsid w:val="00D11BC2"/>
    <w:rsid w:val="00D11D0C"/>
    <w:rsid w:val="00D11DA5"/>
    <w:rsid w:val="00D11FA2"/>
    <w:rsid w:val="00D11FFB"/>
    <w:rsid w:val="00D1205D"/>
    <w:rsid w:val="00D12095"/>
    <w:rsid w:val="00D12098"/>
    <w:rsid w:val="00D12114"/>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6242"/>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720"/>
    <w:rsid w:val="00D277B5"/>
    <w:rsid w:val="00D2781E"/>
    <w:rsid w:val="00D27AC4"/>
    <w:rsid w:val="00D27BC4"/>
    <w:rsid w:val="00D27C30"/>
    <w:rsid w:val="00D27E3D"/>
    <w:rsid w:val="00D27E93"/>
    <w:rsid w:val="00D27EA4"/>
    <w:rsid w:val="00D27FC6"/>
    <w:rsid w:val="00D30959"/>
    <w:rsid w:val="00D30DDE"/>
    <w:rsid w:val="00D311E7"/>
    <w:rsid w:val="00D31368"/>
    <w:rsid w:val="00D316E3"/>
    <w:rsid w:val="00D316E8"/>
    <w:rsid w:val="00D318F2"/>
    <w:rsid w:val="00D3192B"/>
    <w:rsid w:val="00D3198E"/>
    <w:rsid w:val="00D31C7C"/>
    <w:rsid w:val="00D31DEA"/>
    <w:rsid w:val="00D31E1F"/>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CA7"/>
    <w:rsid w:val="00D42D09"/>
    <w:rsid w:val="00D42DAF"/>
    <w:rsid w:val="00D42E3B"/>
    <w:rsid w:val="00D42F4D"/>
    <w:rsid w:val="00D4360C"/>
    <w:rsid w:val="00D43962"/>
    <w:rsid w:val="00D43A86"/>
    <w:rsid w:val="00D4410E"/>
    <w:rsid w:val="00D442AF"/>
    <w:rsid w:val="00D443DF"/>
    <w:rsid w:val="00D4466E"/>
    <w:rsid w:val="00D44802"/>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E1"/>
    <w:rsid w:val="00D50874"/>
    <w:rsid w:val="00D50B12"/>
    <w:rsid w:val="00D50E49"/>
    <w:rsid w:val="00D51096"/>
    <w:rsid w:val="00D51255"/>
    <w:rsid w:val="00D51624"/>
    <w:rsid w:val="00D51830"/>
    <w:rsid w:val="00D51973"/>
    <w:rsid w:val="00D51A01"/>
    <w:rsid w:val="00D51C29"/>
    <w:rsid w:val="00D51FC4"/>
    <w:rsid w:val="00D52017"/>
    <w:rsid w:val="00D5206F"/>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533D"/>
    <w:rsid w:val="00D557F1"/>
    <w:rsid w:val="00D557FD"/>
    <w:rsid w:val="00D55936"/>
    <w:rsid w:val="00D559B0"/>
    <w:rsid w:val="00D55AE1"/>
    <w:rsid w:val="00D55AED"/>
    <w:rsid w:val="00D55B1A"/>
    <w:rsid w:val="00D55BB4"/>
    <w:rsid w:val="00D55BBD"/>
    <w:rsid w:val="00D55E85"/>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2C4"/>
    <w:rsid w:val="00D607E9"/>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43C"/>
    <w:rsid w:val="00D63685"/>
    <w:rsid w:val="00D63813"/>
    <w:rsid w:val="00D63A09"/>
    <w:rsid w:val="00D63DBC"/>
    <w:rsid w:val="00D63E01"/>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977"/>
    <w:rsid w:val="00D719F9"/>
    <w:rsid w:val="00D71AEB"/>
    <w:rsid w:val="00D71AED"/>
    <w:rsid w:val="00D71C69"/>
    <w:rsid w:val="00D71DEF"/>
    <w:rsid w:val="00D71E65"/>
    <w:rsid w:val="00D722BF"/>
    <w:rsid w:val="00D722E1"/>
    <w:rsid w:val="00D725A3"/>
    <w:rsid w:val="00D726E0"/>
    <w:rsid w:val="00D727B8"/>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4E"/>
    <w:rsid w:val="00D77777"/>
    <w:rsid w:val="00D778C3"/>
    <w:rsid w:val="00D7797A"/>
    <w:rsid w:val="00D77B3C"/>
    <w:rsid w:val="00D77B6E"/>
    <w:rsid w:val="00D77CE4"/>
    <w:rsid w:val="00D77E7E"/>
    <w:rsid w:val="00D80053"/>
    <w:rsid w:val="00D80164"/>
    <w:rsid w:val="00D8035A"/>
    <w:rsid w:val="00D80607"/>
    <w:rsid w:val="00D809A0"/>
    <w:rsid w:val="00D80E34"/>
    <w:rsid w:val="00D80EB9"/>
    <w:rsid w:val="00D80F40"/>
    <w:rsid w:val="00D80FA5"/>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D4F"/>
    <w:rsid w:val="00D84DA2"/>
    <w:rsid w:val="00D84E83"/>
    <w:rsid w:val="00D85297"/>
    <w:rsid w:val="00D854C8"/>
    <w:rsid w:val="00D854D8"/>
    <w:rsid w:val="00D855E6"/>
    <w:rsid w:val="00D85627"/>
    <w:rsid w:val="00D85815"/>
    <w:rsid w:val="00D85A87"/>
    <w:rsid w:val="00D85CD1"/>
    <w:rsid w:val="00D85DF2"/>
    <w:rsid w:val="00D86015"/>
    <w:rsid w:val="00D86123"/>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99"/>
    <w:rsid w:val="00DA6EC2"/>
    <w:rsid w:val="00DA73E3"/>
    <w:rsid w:val="00DA7749"/>
    <w:rsid w:val="00DA7870"/>
    <w:rsid w:val="00DA7889"/>
    <w:rsid w:val="00DA7B04"/>
    <w:rsid w:val="00DA7E53"/>
    <w:rsid w:val="00DA7F27"/>
    <w:rsid w:val="00DA7F41"/>
    <w:rsid w:val="00DA7FAE"/>
    <w:rsid w:val="00DB0279"/>
    <w:rsid w:val="00DB04EE"/>
    <w:rsid w:val="00DB0623"/>
    <w:rsid w:val="00DB0629"/>
    <w:rsid w:val="00DB0712"/>
    <w:rsid w:val="00DB079D"/>
    <w:rsid w:val="00DB07CB"/>
    <w:rsid w:val="00DB097F"/>
    <w:rsid w:val="00DB0ACA"/>
    <w:rsid w:val="00DB0B18"/>
    <w:rsid w:val="00DB0CC1"/>
    <w:rsid w:val="00DB0DA8"/>
    <w:rsid w:val="00DB0E6C"/>
    <w:rsid w:val="00DB10C3"/>
    <w:rsid w:val="00DB132E"/>
    <w:rsid w:val="00DB149C"/>
    <w:rsid w:val="00DB14FC"/>
    <w:rsid w:val="00DB1807"/>
    <w:rsid w:val="00DB19AA"/>
    <w:rsid w:val="00DB1F19"/>
    <w:rsid w:val="00DB1FBE"/>
    <w:rsid w:val="00DB2000"/>
    <w:rsid w:val="00DB22BE"/>
    <w:rsid w:val="00DB23D8"/>
    <w:rsid w:val="00DB2531"/>
    <w:rsid w:val="00DB2AE8"/>
    <w:rsid w:val="00DB2D88"/>
    <w:rsid w:val="00DB2F12"/>
    <w:rsid w:val="00DB3561"/>
    <w:rsid w:val="00DB3A4F"/>
    <w:rsid w:val="00DB3B48"/>
    <w:rsid w:val="00DB3BF0"/>
    <w:rsid w:val="00DB3BFB"/>
    <w:rsid w:val="00DB3CDD"/>
    <w:rsid w:val="00DB3D6C"/>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448"/>
    <w:rsid w:val="00DC1794"/>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83"/>
    <w:rsid w:val="00DC30AA"/>
    <w:rsid w:val="00DC30F1"/>
    <w:rsid w:val="00DC30FB"/>
    <w:rsid w:val="00DC3278"/>
    <w:rsid w:val="00DC38D2"/>
    <w:rsid w:val="00DC3C6A"/>
    <w:rsid w:val="00DC404A"/>
    <w:rsid w:val="00DC43C4"/>
    <w:rsid w:val="00DC4499"/>
    <w:rsid w:val="00DC449B"/>
    <w:rsid w:val="00DC45E0"/>
    <w:rsid w:val="00DC4820"/>
    <w:rsid w:val="00DC4954"/>
    <w:rsid w:val="00DC4BDB"/>
    <w:rsid w:val="00DC4EED"/>
    <w:rsid w:val="00DC4F30"/>
    <w:rsid w:val="00DC4FA7"/>
    <w:rsid w:val="00DC5063"/>
    <w:rsid w:val="00DC52A7"/>
    <w:rsid w:val="00DC54E3"/>
    <w:rsid w:val="00DC563C"/>
    <w:rsid w:val="00DC570A"/>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DB"/>
    <w:rsid w:val="00DD2CB6"/>
    <w:rsid w:val="00DD2D4C"/>
    <w:rsid w:val="00DD2EEB"/>
    <w:rsid w:val="00DD3077"/>
    <w:rsid w:val="00DD3127"/>
    <w:rsid w:val="00DD314A"/>
    <w:rsid w:val="00DD31A3"/>
    <w:rsid w:val="00DD35D2"/>
    <w:rsid w:val="00DD3714"/>
    <w:rsid w:val="00DD38A3"/>
    <w:rsid w:val="00DD3B93"/>
    <w:rsid w:val="00DD3C7B"/>
    <w:rsid w:val="00DD4631"/>
    <w:rsid w:val="00DD4632"/>
    <w:rsid w:val="00DD4697"/>
    <w:rsid w:val="00DD46CD"/>
    <w:rsid w:val="00DD4734"/>
    <w:rsid w:val="00DD492B"/>
    <w:rsid w:val="00DD49C9"/>
    <w:rsid w:val="00DD510B"/>
    <w:rsid w:val="00DD544F"/>
    <w:rsid w:val="00DD5542"/>
    <w:rsid w:val="00DD56C0"/>
    <w:rsid w:val="00DD56E7"/>
    <w:rsid w:val="00DD5864"/>
    <w:rsid w:val="00DD5A3E"/>
    <w:rsid w:val="00DD5B72"/>
    <w:rsid w:val="00DD5B96"/>
    <w:rsid w:val="00DD5D48"/>
    <w:rsid w:val="00DD5DAD"/>
    <w:rsid w:val="00DD609A"/>
    <w:rsid w:val="00DD6197"/>
    <w:rsid w:val="00DD619B"/>
    <w:rsid w:val="00DD6353"/>
    <w:rsid w:val="00DD65BD"/>
    <w:rsid w:val="00DD66F4"/>
    <w:rsid w:val="00DD67F2"/>
    <w:rsid w:val="00DD6903"/>
    <w:rsid w:val="00DD6CBF"/>
    <w:rsid w:val="00DD6DE7"/>
    <w:rsid w:val="00DD703E"/>
    <w:rsid w:val="00DD74C0"/>
    <w:rsid w:val="00DD75EE"/>
    <w:rsid w:val="00DD76A5"/>
    <w:rsid w:val="00DD77DD"/>
    <w:rsid w:val="00DD7843"/>
    <w:rsid w:val="00DD7982"/>
    <w:rsid w:val="00DD7A71"/>
    <w:rsid w:val="00DD7AC0"/>
    <w:rsid w:val="00DD7BB3"/>
    <w:rsid w:val="00DD7D5B"/>
    <w:rsid w:val="00DD7D88"/>
    <w:rsid w:val="00DD7EFF"/>
    <w:rsid w:val="00DE0088"/>
    <w:rsid w:val="00DE02E9"/>
    <w:rsid w:val="00DE038B"/>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418"/>
    <w:rsid w:val="00DE2441"/>
    <w:rsid w:val="00DE249C"/>
    <w:rsid w:val="00DE288C"/>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90"/>
    <w:rsid w:val="00DE5DFA"/>
    <w:rsid w:val="00DE60BB"/>
    <w:rsid w:val="00DE627A"/>
    <w:rsid w:val="00DE6638"/>
    <w:rsid w:val="00DE679E"/>
    <w:rsid w:val="00DE685C"/>
    <w:rsid w:val="00DE68DC"/>
    <w:rsid w:val="00DE6AD4"/>
    <w:rsid w:val="00DE6BD2"/>
    <w:rsid w:val="00DE6DAF"/>
    <w:rsid w:val="00DE6E7A"/>
    <w:rsid w:val="00DE7667"/>
    <w:rsid w:val="00DE772F"/>
    <w:rsid w:val="00DE791E"/>
    <w:rsid w:val="00DE7F6A"/>
    <w:rsid w:val="00DE7FA4"/>
    <w:rsid w:val="00DF0028"/>
    <w:rsid w:val="00DF00DE"/>
    <w:rsid w:val="00DF0162"/>
    <w:rsid w:val="00DF0379"/>
    <w:rsid w:val="00DF060B"/>
    <w:rsid w:val="00DF0790"/>
    <w:rsid w:val="00DF0966"/>
    <w:rsid w:val="00DF0967"/>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845"/>
    <w:rsid w:val="00DF391F"/>
    <w:rsid w:val="00DF3AEF"/>
    <w:rsid w:val="00DF3C6A"/>
    <w:rsid w:val="00DF3D97"/>
    <w:rsid w:val="00DF3FA1"/>
    <w:rsid w:val="00DF4041"/>
    <w:rsid w:val="00DF434A"/>
    <w:rsid w:val="00DF482E"/>
    <w:rsid w:val="00DF48C1"/>
    <w:rsid w:val="00DF4ABB"/>
    <w:rsid w:val="00DF4C15"/>
    <w:rsid w:val="00DF4D5C"/>
    <w:rsid w:val="00DF4DD9"/>
    <w:rsid w:val="00DF51B1"/>
    <w:rsid w:val="00DF541F"/>
    <w:rsid w:val="00DF5478"/>
    <w:rsid w:val="00DF57D8"/>
    <w:rsid w:val="00DF57FF"/>
    <w:rsid w:val="00DF5835"/>
    <w:rsid w:val="00DF59C5"/>
    <w:rsid w:val="00DF5ADF"/>
    <w:rsid w:val="00DF5B65"/>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81"/>
    <w:rsid w:val="00E1005E"/>
    <w:rsid w:val="00E10145"/>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70"/>
    <w:rsid w:val="00E12B72"/>
    <w:rsid w:val="00E12CD0"/>
    <w:rsid w:val="00E12E23"/>
    <w:rsid w:val="00E12EF7"/>
    <w:rsid w:val="00E13412"/>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635"/>
    <w:rsid w:val="00E15693"/>
    <w:rsid w:val="00E157BB"/>
    <w:rsid w:val="00E15803"/>
    <w:rsid w:val="00E15A17"/>
    <w:rsid w:val="00E15B2F"/>
    <w:rsid w:val="00E15CA3"/>
    <w:rsid w:val="00E15CAD"/>
    <w:rsid w:val="00E161B2"/>
    <w:rsid w:val="00E16285"/>
    <w:rsid w:val="00E1639E"/>
    <w:rsid w:val="00E16527"/>
    <w:rsid w:val="00E16A1B"/>
    <w:rsid w:val="00E16ABB"/>
    <w:rsid w:val="00E16AE6"/>
    <w:rsid w:val="00E16DBF"/>
    <w:rsid w:val="00E1714A"/>
    <w:rsid w:val="00E1717B"/>
    <w:rsid w:val="00E17308"/>
    <w:rsid w:val="00E17364"/>
    <w:rsid w:val="00E1739C"/>
    <w:rsid w:val="00E173B9"/>
    <w:rsid w:val="00E177FE"/>
    <w:rsid w:val="00E17805"/>
    <w:rsid w:val="00E1795D"/>
    <w:rsid w:val="00E17CAB"/>
    <w:rsid w:val="00E17D61"/>
    <w:rsid w:val="00E17F46"/>
    <w:rsid w:val="00E200C0"/>
    <w:rsid w:val="00E20C61"/>
    <w:rsid w:val="00E210F6"/>
    <w:rsid w:val="00E211B2"/>
    <w:rsid w:val="00E21874"/>
    <w:rsid w:val="00E21971"/>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1F0"/>
    <w:rsid w:val="00E242B8"/>
    <w:rsid w:val="00E24347"/>
    <w:rsid w:val="00E2434E"/>
    <w:rsid w:val="00E24A9C"/>
    <w:rsid w:val="00E24FF7"/>
    <w:rsid w:val="00E25042"/>
    <w:rsid w:val="00E255CA"/>
    <w:rsid w:val="00E25606"/>
    <w:rsid w:val="00E25740"/>
    <w:rsid w:val="00E25BD0"/>
    <w:rsid w:val="00E25BFE"/>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AAB"/>
    <w:rsid w:val="00E30C49"/>
    <w:rsid w:val="00E30C4B"/>
    <w:rsid w:val="00E30D94"/>
    <w:rsid w:val="00E30EFD"/>
    <w:rsid w:val="00E311FA"/>
    <w:rsid w:val="00E31216"/>
    <w:rsid w:val="00E3130D"/>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C09"/>
    <w:rsid w:val="00E32CD1"/>
    <w:rsid w:val="00E32F13"/>
    <w:rsid w:val="00E330DD"/>
    <w:rsid w:val="00E336C3"/>
    <w:rsid w:val="00E3397B"/>
    <w:rsid w:val="00E339E3"/>
    <w:rsid w:val="00E339FF"/>
    <w:rsid w:val="00E33A95"/>
    <w:rsid w:val="00E33AD0"/>
    <w:rsid w:val="00E33B81"/>
    <w:rsid w:val="00E33C3E"/>
    <w:rsid w:val="00E33E02"/>
    <w:rsid w:val="00E33F31"/>
    <w:rsid w:val="00E34022"/>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2F1"/>
    <w:rsid w:val="00E40BC0"/>
    <w:rsid w:val="00E41146"/>
    <w:rsid w:val="00E41179"/>
    <w:rsid w:val="00E414AF"/>
    <w:rsid w:val="00E4174D"/>
    <w:rsid w:val="00E41866"/>
    <w:rsid w:val="00E419FD"/>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E31"/>
    <w:rsid w:val="00E45E8E"/>
    <w:rsid w:val="00E45FE9"/>
    <w:rsid w:val="00E46179"/>
    <w:rsid w:val="00E461F2"/>
    <w:rsid w:val="00E463FF"/>
    <w:rsid w:val="00E464B7"/>
    <w:rsid w:val="00E466BF"/>
    <w:rsid w:val="00E46811"/>
    <w:rsid w:val="00E46896"/>
    <w:rsid w:val="00E46B1F"/>
    <w:rsid w:val="00E46B6F"/>
    <w:rsid w:val="00E46BB2"/>
    <w:rsid w:val="00E46D78"/>
    <w:rsid w:val="00E46E70"/>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F67"/>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125"/>
    <w:rsid w:val="00E522B8"/>
    <w:rsid w:val="00E52622"/>
    <w:rsid w:val="00E5262A"/>
    <w:rsid w:val="00E52717"/>
    <w:rsid w:val="00E527F1"/>
    <w:rsid w:val="00E52921"/>
    <w:rsid w:val="00E52986"/>
    <w:rsid w:val="00E52B87"/>
    <w:rsid w:val="00E52BB2"/>
    <w:rsid w:val="00E52D0A"/>
    <w:rsid w:val="00E52F44"/>
    <w:rsid w:val="00E52FDE"/>
    <w:rsid w:val="00E5360B"/>
    <w:rsid w:val="00E5376C"/>
    <w:rsid w:val="00E53AD0"/>
    <w:rsid w:val="00E53AEC"/>
    <w:rsid w:val="00E53BB9"/>
    <w:rsid w:val="00E53C3D"/>
    <w:rsid w:val="00E53C61"/>
    <w:rsid w:val="00E53D33"/>
    <w:rsid w:val="00E53D68"/>
    <w:rsid w:val="00E54394"/>
    <w:rsid w:val="00E544D8"/>
    <w:rsid w:val="00E544E6"/>
    <w:rsid w:val="00E545D9"/>
    <w:rsid w:val="00E54D28"/>
    <w:rsid w:val="00E54F2D"/>
    <w:rsid w:val="00E54F85"/>
    <w:rsid w:val="00E55113"/>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405"/>
    <w:rsid w:val="00E62452"/>
    <w:rsid w:val="00E6294A"/>
    <w:rsid w:val="00E629B2"/>
    <w:rsid w:val="00E62AA6"/>
    <w:rsid w:val="00E62E69"/>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68A"/>
    <w:rsid w:val="00E66959"/>
    <w:rsid w:val="00E66BC5"/>
    <w:rsid w:val="00E66DBE"/>
    <w:rsid w:val="00E66E21"/>
    <w:rsid w:val="00E66F69"/>
    <w:rsid w:val="00E67006"/>
    <w:rsid w:val="00E67297"/>
    <w:rsid w:val="00E6729D"/>
    <w:rsid w:val="00E67473"/>
    <w:rsid w:val="00E6750C"/>
    <w:rsid w:val="00E6758D"/>
    <w:rsid w:val="00E676B7"/>
    <w:rsid w:val="00E67799"/>
    <w:rsid w:val="00E677ED"/>
    <w:rsid w:val="00E67A74"/>
    <w:rsid w:val="00E67A78"/>
    <w:rsid w:val="00E67A82"/>
    <w:rsid w:val="00E67DCE"/>
    <w:rsid w:val="00E67EF9"/>
    <w:rsid w:val="00E70516"/>
    <w:rsid w:val="00E70552"/>
    <w:rsid w:val="00E708BE"/>
    <w:rsid w:val="00E70971"/>
    <w:rsid w:val="00E7098F"/>
    <w:rsid w:val="00E709D0"/>
    <w:rsid w:val="00E709EE"/>
    <w:rsid w:val="00E70D1D"/>
    <w:rsid w:val="00E70E5C"/>
    <w:rsid w:val="00E70F89"/>
    <w:rsid w:val="00E71028"/>
    <w:rsid w:val="00E7107B"/>
    <w:rsid w:val="00E710E0"/>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D60"/>
    <w:rsid w:val="00E72F00"/>
    <w:rsid w:val="00E731D4"/>
    <w:rsid w:val="00E733F5"/>
    <w:rsid w:val="00E734BD"/>
    <w:rsid w:val="00E73598"/>
    <w:rsid w:val="00E73980"/>
    <w:rsid w:val="00E73E6A"/>
    <w:rsid w:val="00E746BE"/>
    <w:rsid w:val="00E74788"/>
    <w:rsid w:val="00E747E2"/>
    <w:rsid w:val="00E74A8F"/>
    <w:rsid w:val="00E74C3A"/>
    <w:rsid w:val="00E74C97"/>
    <w:rsid w:val="00E74C9B"/>
    <w:rsid w:val="00E74D42"/>
    <w:rsid w:val="00E74D4A"/>
    <w:rsid w:val="00E75168"/>
    <w:rsid w:val="00E751C5"/>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A77"/>
    <w:rsid w:val="00E83C9B"/>
    <w:rsid w:val="00E83E62"/>
    <w:rsid w:val="00E83FF7"/>
    <w:rsid w:val="00E8424D"/>
    <w:rsid w:val="00E842FC"/>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CC"/>
    <w:rsid w:val="00E86830"/>
    <w:rsid w:val="00E868C4"/>
    <w:rsid w:val="00E86FB6"/>
    <w:rsid w:val="00E87014"/>
    <w:rsid w:val="00E870E0"/>
    <w:rsid w:val="00E8738B"/>
    <w:rsid w:val="00E873BE"/>
    <w:rsid w:val="00E87547"/>
    <w:rsid w:val="00E875B6"/>
    <w:rsid w:val="00E877B6"/>
    <w:rsid w:val="00E8788D"/>
    <w:rsid w:val="00E87AB9"/>
    <w:rsid w:val="00E87AF6"/>
    <w:rsid w:val="00E87D84"/>
    <w:rsid w:val="00E87E3A"/>
    <w:rsid w:val="00E87E90"/>
    <w:rsid w:val="00E87F41"/>
    <w:rsid w:val="00E87FD1"/>
    <w:rsid w:val="00E90344"/>
    <w:rsid w:val="00E90347"/>
    <w:rsid w:val="00E903F5"/>
    <w:rsid w:val="00E90427"/>
    <w:rsid w:val="00E90436"/>
    <w:rsid w:val="00E9069F"/>
    <w:rsid w:val="00E906F4"/>
    <w:rsid w:val="00E907BE"/>
    <w:rsid w:val="00E90A6C"/>
    <w:rsid w:val="00E90A9B"/>
    <w:rsid w:val="00E90B31"/>
    <w:rsid w:val="00E90D02"/>
    <w:rsid w:val="00E90D9B"/>
    <w:rsid w:val="00E90E4B"/>
    <w:rsid w:val="00E90E65"/>
    <w:rsid w:val="00E90EF7"/>
    <w:rsid w:val="00E9138F"/>
    <w:rsid w:val="00E913F3"/>
    <w:rsid w:val="00E9142F"/>
    <w:rsid w:val="00E91483"/>
    <w:rsid w:val="00E91618"/>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E7C"/>
    <w:rsid w:val="00E9300E"/>
    <w:rsid w:val="00E930B4"/>
    <w:rsid w:val="00E93470"/>
    <w:rsid w:val="00E93793"/>
    <w:rsid w:val="00E937AE"/>
    <w:rsid w:val="00E93C19"/>
    <w:rsid w:val="00E93E4A"/>
    <w:rsid w:val="00E93EB0"/>
    <w:rsid w:val="00E93EF9"/>
    <w:rsid w:val="00E9414B"/>
    <w:rsid w:val="00E944C9"/>
    <w:rsid w:val="00E9468F"/>
    <w:rsid w:val="00E9471D"/>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9E2"/>
    <w:rsid w:val="00EA1AEE"/>
    <w:rsid w:val="00EA1B5F"/>
    <w:rsid w:val="00EA1C87"/>
    <w:rsid w:val="00EA1CF9"/>
    <w:rsid w:val="00EA1F23"/>
    <w:rsid w:val="00EA20E7"/>
    <w:rsid w:val="00EA2426"/>
    <w:rsid w:val="00EA2440"/>
    <w:rsid w:val="00EA2700"/>
    <w:rsid w:val="00EA2757"/>
    <w:rsid w:val="00EA2DAD"/>
    <w:rsid w:val="00EA30B6"/>
    <w:rsid w:val="00EA328A"/>
    <w:rsid w:val="00EA32CB"/>
    <w:rsid w:val="00EA34E4"/>
    <w:rsid w:val="00EA3533"/>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CA"/>
    <w:rsid w:val="00EA5B9D"/>
    <w:rsid w:val="00EA5BC8"/>
    <w:rsid w:val="00EA5DF1"/>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757"/>
    <w:rsid w:val="00EB0833"/>
    <w:rsid w:val="00EB0999"/>
    <w:rsid w:val="00EB0B77"/>
    <w:rsid w:val="00EB0BCB"/>
    <w:rsid w:val="00EB1039"/>
    <w:rsid w:val="00EB108C"/>
    <w:rsid w:val="00EB1267"/>
    <w:rsid w:val="00EB1490"/>
    <w:rsid w:val="00EB191D"/>
    <w:rsid w:val="00EB1ADC"/>
    <w:rsid w:val="00EB1BF4"/>
    <w:rsid w:val="00EB1C38"/>
    <w:rsid w:val="00EB2383"/>
    <w:rsid w:val="00EB242F"/>
    <w:rsid w:val="00EB2549"/>
    <w:rsid w:val="00EB26AB"/>
    <w:rsid w:val="00EB279C"/>
    <w:rsid w:val="00EB27B4"/>
    <w:rsid w:val="00EB2855"/>
    <w:rsid w:val="00EB28DB"/>
    <w:rsid w:val="00EB2D3A"/>
    <w:rsid w:val="00EB2E33"/>
    <w:rsid w:val="00EB2F08"/>
    <w:rsid w:val="00EB2FA0"/>
    <w:rsid w:val="00EB307A"/>
    <w:rsid w:val="00EB30DA"/>
    <w:rsid w:val="00EB3229"/>
    <w:rsid w:val="00EB3253"/>
    <w:rsid w:val="00EB32F4"/>
    <w:rsid w:val="00EB3377"/>
    <w:rsid w:val="00EB3492"/>
    <w:rsid w:val="00EB3761"/>
    <w:rsid w:val="00EB3853"/>
    <w:rsid w:val="00EB3A55"/>
    <w:rsid w:val="00EB3B77"/>
    <w:rsid w:val="00EB3C1A"/>
    <w:rsid w:val="00EB3C99"/>
    <w:rsid w:val="00EB3CCB"/>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C6"/>
    <w:rsid w:val="00EB7289"/>
    <w:rsid w:val="00EB75AD"/>
    <w:rsid w:val="00EB79AF"/>
    <w:rsid w:val="00EB7D32"/>
    <w:rsid w:val="00EB7D4C"/>
    <w:rsid w:val="00EB7D91"/>
    <w:rsid w:val="00EC00D0"/>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E5C"/>
    <w:rsid w:val="00EC7FAF"/>
    <w:rsid w:val="00EC7FC3"/>
    <w:rsid w:val="00ED01E1"/>
    <w:rsid w:val="00ED0232"/>
    <w:rsid w:val="00ED02DC"/>
    <w:rsid w:val="00ED0365"/>
    <w:rsid w:val="00ED069B"/>
    <w:rsid w:val="00ED0750"/>
    <w:rsid w:val="00ED0955"/>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B3"/>
    <w:rsid w:val="00ED434E"/>
    <w:rsid w:val="00ED469D"/>
    <w:rsid w:val="00ED4795"/>
    <w:rsid w:val="00ED47D7"/>
    <w:rsid w:val="00ED47FF"/>
    <w:rsid w:val="00ED48E9"/>
    <w:rsid w:val="00ED4949"/>
    <w:rsid w:val="00ED49C7"/>
    <w:rsid w:val="00ED4A9E"/>
    <w:rsid w:val="00ED4C98"/>
    <w:rsid w:val="00ED53F2"/>
    <w:rsid w:val="00ED5499"/>
    <w:rsid w:val="00ED54AE"/>
    <w:rsid w:val="00ED56A0"/>
    <w:rsid w:val="00ED57D8"/>
    <w:rsid w:val="00ED59A3"/>
    <w:rsid w:val="00ED5BA5"/>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A7"/>
    <w:rsid w:val="00EE258F"/>
    <w:rsid w:val="00EE266C"/>
    <w:rsid w:val="00EE26E0"/>
    <w:rsid w:val="00EE291A"/>
    <w:rsid w:val="00EE2FA1"/>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8D"/>
    <w:rsid w:val="00EE4AFF"/>
    <w:rsid w:val="00EE4C0B"/>
    <w:rsid w:val="00EE4CCE"/>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67C0"/>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4C"/>
    <w:rsid w:val="00EF05B7"/>
    <w:rsid w:val="00EF0974"/>
    <w:rsid w:val="00EF0A82"/>
    <w:rsid w:val="00EF0D7B"/>
    <w:rsid w:val="00EF0F7E"/>
    <w:rsid w:val="00EF0FA7"/>
    <w:rsid w:val="00EF1028"/>
    <w:rsid w:val="00EF10F6"/>
    <w:rsid w:val="00EF10F7"/>
    <w:rsid w:val="00EF11BC"/>
    <w:rsid w:val="00EF11CB"/>
    <w:rsid w:val="00EF13A2"/>
    <w:rsid w:val="00EF1475"/>
    <w:rsid w:val="00EF1727"/>
    <w:rsid w:val="00EF18BF"/>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DF6"/>
    <w:rsid w:val="00EF5EA3"/>
    <w:rsid w:val="00EF602C"/>
    <w:rsid w:val="00EF62B1"/>
    <w:rsid w:val="00EF6548"/>
    <w:rsid w:val="00EF65B3"/>
    <w:rsid w:val="00EF66CA"/>
    <w:rsid w:val="00EF6849"/>
    <w:rsid w:val="00EF6A4C"/>
    <w:rsid w:val="00EF6BF9"/>
    <w:rsid w:val="00EF6C78"/>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FC"/>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933"/>
    <w:rsid w:val="00F03C14"/>
    <w:rsid w:val="00F03DFA"/>
    <w:rsid w:val="00F03FB3"/>
    <w:rsid w:val="00F0415C"/>
    <w:rsid w:val="00F043E5"/>
    <w:rsid w:val="00F046D4"/>
    <w:rsid w:val="00F04724"/>
    <w:rsid w:val="00F0485E"/>
    <w:rsid w:val="00F0487F"/>
    <w:rsid w:val="00F04DC9"/>
    <w:rsid w:val="00F0521B"/>
    <w:rsid w:val="00F0531C"/>
    <w:rsid w:val="00F054FE"/>
    <w:rsid w:val="00F05529"/>
    <w:rsid w:val="00F05582"/>
    <w:rsid w:val="00F057F6"/>
    <w:rsid w:val="00F058CE"/>
    <w:rsid w:val="00F05A6B"/>
    <w:rsid w:val="00F05ABF"/>
    <w:rsid w:val="00F05CEB"/>
    <w:rsid w:val="00F05CF8"/>
    <w:rsid w:val="00F05E93"/>
    <w:rsid w:val="00F0630F"/>
    <w:rsid w:val="00F066FB"/>
    <w:rsid w:val="00F068CB"/>
    <w:rsid w:val="00F069F5"/>
    <w:rsid w:val="00F06C6A"/>
    <w:rsid w:val="00F06CA7"/>
    <w:rsid w:val="00F06D5B"/>
    <w:rsid w:val="00F06D86"/>
    <w:rsid w:val="00F06EAC"/>
    <w:rsid w:val="00F06FC4"/>
    <w:rsid w:val="00F0713C"/>
    <w:rsid w:val="00F07274"/>
    <w:rsid w:val="00F0727A"/>
    <w:rsid w:val="00F0728E"/>
    <w:rsid w:val="00F0735B"/>
    <w:rsid w:val="00F0763C"/>
    <w:rsid w:val="00F0778B"/>
    <w:rsid w:val="00F0788F"/>
    <w:rsid w:val="00F07899"/>
    <w:rsid w:val="00F07A9A"/>
    <w:rsid w:val="00F10162"/>
    <w:rsid w:val="00F1048C"/>
    <w:rsid w:val="00F10548"/>
    <w:rsid w:val="00F10607"/>
    <w:rsid w:val="00F1072F"/>
    <w:rsid w:val="00F107FD"/>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6E"/>
    <w:rsid w:val="00F15821"/>
    <w:rsid w:val="00F1586A"/>
    <w:rsid w:val="00F158B7"/>
    <w:rsid w:val="00F158E0"/>
    <w:rsid w:val="00F15B39"/>
    <w:rsid w:val="00F15E12"/>
    <w:rsid w:val="00F15FC8"/>
    <w:rsid w:val="00F15FD5"/>
    <w:rsid w:val="00F16397"/>
    <w:rsid w:val="00F163DB"/>
    <w:rsid w:val="00F16725"/>
    <w:rsid w:val="00F16769"/>
    <w:rsid w:val="00F167FF"/>
    <w:rsid w:val="00F1683A"/>
    <w:rsid w:val="00F168A9"/>
    <w:rsid w:val="00F16B4D"/>
    <w:rsid w:val="00F16CDF"/>
    <w:rsid w:val="00F16ECF"/>
    <w:rsid w:val="00F16F28"/>
    <w:rsid w:val="00F170F2"/>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EE8"/>
    <w:rsid w:val="00F27F08"/>
    <w:rsid w:val="00F27F88"/>
    <w:rsid w:val="00F27FA8"/>
    <w:rsid w:val="00F30213"/>
    <w:rsid w:val="00F302C8"/>
    <w:rsid w:val="00F30396"/>
    <w:rsid w:val="00F303D5"/>
    <w:rsid w:val="00F304BE"/>
    <w:rsid w:val="00F30AAA"/>
    <w:rsid w:val="00F30B84"/>
    <w:rsid w:val="00F30DD4"/>
    <w:rsid w:val="00F31064"/>
    <w:rsid w:val="00F310B6"/>
    <w:rsid w:val="00F313CE"/>
    <w:rsid w:val="00F3168B"/>
    <w:rsid w:val="00F316B0"/>
    <w:rsid w:val="00F31778"/>
    <w:rsid w:val="00F31E1F"/>
    <w:rsid w:val="00F3212B"/>
    <w:rsid w:val="00F321B0"/>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CE0"/>
    <w:rsid w:val="00F35F71"/>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76B"/>
    <w:rsid w:val="00F43995"/>
    <w:rsid w:val="00F43B00"/>
    <w:rsid w:val="00F43C53"/>
    <w:rsid w:val="00F43D01"/>
    <w:rsid w:val="00F43E36"/>
    <w:rsid w:val="00F43F39"/>
    <w:rsid w:val="00F4423A"/>
    <w:rsid w:val="00F442F1"/>
    <w:rsid w:val="00F442F6"/>
    <w:rsid w:val="00F44309"/>
    <w:rsid w:val="00F44702"/>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BE7"/>
    <w:rsid w:val="00F45CFB"/>
    <w:rsid w:val="00F45FDE"/>
    <w:rsid w:val="00F4605F"/>
    <w:rsid w:val="00F4607C"/>
    <w:rsid w:val="00F46621"/>
    <w:rsid w:val="00F46ACB"/>
    <w:rsid w:val="00F46EAF"/>
    <w:rsid w:val="00F46F93"/>
    <w:rsid w:val="00F471B0"/>
    <w:rsid w:val="00F471DD"/>
    <w:rsid w:val="00F472AB"/>
    <w:rsid w:val="00F477F1"/>
    <w:rsid w:val="00F47B24"/>
    <w:rsid w:val="00F47BC6"/>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DAD"/>
    <w:rsid w:val="00F53DE8"/>
    <w:rsid w:val="00F53E6B"/>
    <w:rsid w:val="00F53EA6"/>
    <w:rsid w:val="00F53F0A"/>
    <w:rsid w:val="00F5404E"/>
    <w:rsid w:val="00F540C6"/>
    <w:rsid w:val="00F5412D"/>
    <w:rsid w:val="00F54173"/>
    <w:rsid w:val="00F5441F"/>
    <w:rsid w:val="00F544A1"/>
    <w:rsid w:val="00F544E2"/>
    <w:rsid w:val="00F54848"/>
    <w:rsid w:val="00F54855"/>
    <w:rsid w:val="00F548DE"/>
    <w:rsid w:val="00F549DD"/>
    <w:rsid w:val="00F54A45"/>
    <w:rsid w:val="00F54ABE"/>
    <w:rsid w:val="00F54D71"/>
    <w:rsid w:val="00F55101"/>
    <w:rsid w:val="00F55775"/>
    <w:rsid w:val="00F55802"/>
    <w:rsid w:val="00F5580F"/>
    <w:rsid w:val="00F5587D"/>
    <w:rsid w:val="00F55AB5"/>
    <w:rsid w:val="00F55AE4"/>
    <w:rsid w:val="00F55BA2"/>
    <w:rsid w:val="00F55CBE"/>
    <w:rsid w:val="00F55D9B"/>
    <w:rsid w:val="00F55EED"/>
    <w:rsid w:val="00F55FE6"/>
    <w:rsid w:val="00F56144"/>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D3A"/>
    <w:rsid w:val="00F62DC8"/>
    <w:rsid w:val="00F63054"/>
    <w:rsid w:val="00F63113"/>
    <w:rsid w:val="00F632A8"/>
    <w:rsid w:val="00F63437"/>
    <w:rsid w:val="00F635F1"/>
    <w:rsid w:val="00F6375E"/>
    <w:rsid w:val="00F6376B"/>
    <w:rsid w:val="00F6387F"/>
    <w:rsid w:val="00F638FC"/>
    <w:rsid w:val="00F63A05"/>
    <w:rsid w:val="00F63B3A"/>
    <w:rsid w:val="00F63EE0"/>
    <w:rsid w:val="00F64298"/>
    <w:rsid w:val="00F64472"/>
    <w:rsid w:val="00F64521"/>
    <w:rsid w:val="00F64687"/>
    <w:rsid w:val="00F6474F"/>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77"/>
    <w:rsid w:val="00F671FB"/>
    <w:rsid w:val="00F6746F"/>
    <w:rsid w:val="00F674B7"/>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2C"/>
    <w:rsid w:val="00F76158"/>
    <w:rsid w:val="00F7619A"/>
    <w:rsid w:val="00F76255"/>
    <w:rsid w:val="00F762F2"/>
    <w:rsid w:val="00F76639"/>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A7"/>
    <w:rsid w:val="00F85EE2"/>
    <w:rsid w:val="00F85FEE"/>
    <w:rsid w:val="00F863A1"/>
    <w:rsid w:val="00F863E9"/>
    <w:rsid w:val="00F8689B"/>
    <w:rsid w:val="00F86A8A"/>
    <w:rsid w:val="00F86B76"/>
    <w:rsid w:val="00F86D2E"/>
    <w:rsid w:val="00F86DB1"/>
    <w:rsid w:val="00F86F03"/>
    <w:rsid w:val="00F86FC5"/>
    <w:rsid w:val="00F871BD"/>
    <w:rsid w:val="00F8723C"/>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713"/>
    <w:rsid w:val="00F9384A"/>
    <w:rsid w:val="00F93AE0"/>
    <w:rsid w:val="00F93DDF"/>
    <w:rsid w:val="00F93EED"/>
    <w:rsid w:val="00F93F4D"/>
    <w:rsid w:val="00F9425C"/>
    <w:rsid w:val="00F94477"/>
    <w:rsid w:val="00F945B2"/>
    <w:rsid w:val="00F94ACC"/>
    <w:rsid w:val="00F94C65"/>
    <w:rsid w:val="00F94C6C"/>
    <w:rsid w:val="00F94CD5"/>
    <w:rsid w:val="00F950BB"/>
    <w:rsid w:val="00F952F9"/>
    <w:rsid w:val="00F953CF"/>
    <w:rsid w:val="00F95527"/>
    <w:rsid w:val="00F955AE"/>
    <w:rsid w:val="00F95669"/>
    <w:rsid w:val="00F956E7"/>
    <w:rsid w:val="00F95718"/>
    <w:rsid w:val="00F95B7F"/>
    <w:rsid w:val="00F95E45"/>
    <w:rsid w:val="00F95FF6"/>
    <w:rsid w:val="00F9611A"/>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630"/>
    <w:rsid w:val="00FA182B"/>
    <w:rsid w:val="00FA1BFD"/>
    <w:rsid w:val="00FA1E08"/>
    <w:rsid w:val="00FA1F0B"/>
    <w:rsid w:val="00FA1FA5"/>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81D"/>
    <w:rsid w:val="00FC58BC"/>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207F"/>
    <w:rsid w:val="00FD2147"/>
    <w:rsid w:val="00FD218A"/>
    <w:rsid w:val="00FD2407"/>
    <w:rsid w:val="00FD2428"/>
    <w:rsid w:val="00FD2502"/>
    <w:rsid w:val="00FD252B"/>
    <w:rsid w:val="00FD2557"/>
    <w:rsid w:val="00FD258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114"/>
    <w:rsid w:val="00FD63FF"/>
    <w:rsid w:val="00FD6471"/>
    <w:rsid w:val="00FD6713"/>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A23"/>
    <w:rsid w:val="00FE0C6C"/>
    <w:rsid w:val="00FE0D48"/>
    <w:rsid w:val="00FE0DD4"/>
    <w:rsid w:val="00FE0EC8"/>
    <w:rsid w:val="00FE1584"/>
    <w:rsid w:val="00FE1A34"/>
    <w:rsid w:val="00FE1BEB"/>
    <w:rsid w:val="00FE1E5C"/>
    <w:rsid w:val="00FE1EA1"/>
    <w:rsid w:val="00FE21D2"/>
    <w:rsid w:val="00FE25D0"/>
    <w:rsid w:val="00FE26B7"/>
    <w:rsid w:val="00FE26D1"/>
    <w:rsid w:val="00FE2763"/>
    <w:rsid w:val="00FE27AC"/>
    <w:rsid w:val="00FE286B"/>
    <w:rsid w:val="00FE2FFB"/>
    <w:rsid w:val="00FE327C"/>
    <w:rsid w:val="00FE3386"/>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CB"/>
    <w:rsid w:val="00FE7C21"/>
    <w:rsid w:val="00FE7DBB"/>
    <w:rsid w:val="00FE7F6A"/>
    <w:rsid w:val="00FF014D"/>
    <w:rsid w:val="00FF0178"/>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21F"/>
    <w:rsid w:val="00FF231A"/>
    <w:rsid w:val="00FF237D"/>
    <w:rsid w:val="00FF239F"/>
    <w:rsid w:val="00FF2413"/>
    <w:rsid w:val="00FF28C8"/>
    <w:rsid w:val="00FF29B7"/>
    <w:rsid w:val="00FF2A18"/>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9C5"/>
    <w:rsid w:val="00FF59D2"/>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83"/>
    <w:rsid w:val="00FF77C5"/>
    <w:rsid w:val="00FF7C40"/>
    <w:rsid w:val="00FF7CF3"/>
    <w:rsid w:val="00FF7D1F"/>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62A23"/>
    <w:rPr>
      <w:rFonts w:cs="Times New Roman"/>
    </w:rPr>
  </w:style>
  <w:style w:type="character" w:customStyle="1" w:styleId="text">
    <w:name w:val="text"/>
    <w:basedOn w:val="DefaultParagraphFont"/>
    <w:uiPriority w:val="99"/>
    <w:rsid w:val="00DD3C7B"/>
    <w:rPr>
      <w:rFonts w:cs="Times New Roman"/>
    </w:rPr>
  </w:style>
  <w:style w:type="character" w:styleId="FollowedHyperlink">
    <w:name w:val="FollowedHyperlink"/>
    <w:basedOn w:val="DefaultParagraphFont"/>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definition">
    <w:name w:val="definition"/>
    <w:basedOn w:val="DefaultParagraphFont"/>
    <w:uiPriority w:val="99"/>
    <w:rsid w:val="0050326D"/>
    <w:rPr>
      <w:rFonts w:cs="Times New Roman"/>
    </w:rPr>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18"/>
    </w:rPr>
  </w:style>
  <w:style w:type="character" w:customStyle="1" w:styleId="BalloonTextChar">
    <w:name w:val="Balloon Text Char"/>
    <w:basedOn w:val="DefaultParagraphFont"/>
    <w:link w:val="BalloonText"/>
    <w:uiPriority w:val="99"/>
    <w:locked/>
    <w:rsid w:val="001E0BCC"/>
    <w:rPr>
      <w:rFonts w:ascii="Segoe UI" w:hAnsi="Segoe UI" w:cs="Times New Roman"/>
      <w:sz w:val="18"/>
      <w:lang w:val="en-US" w:eastAsia="en-US"/>
    </w:rPr>
  </w:style>
  <w:style w:type="character" w:styleId="CommentReference">
    <w:name w:val="annotation reference"/>
    <w:basedOn w:val="DefaultParagraphFont"/>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A135F"/>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598173423">
      <w:marLeft w:val="0"/>
      <w:marRight w:val="0"/>
      <w:marTop w:val="0"/>
      <w:marBottom w:val="0"/>
      <w:divBdr>
        <w:top w:val="none" w:sz="0" w:space="0" w:color="auto"/>
        <w:left w:val="none" w:sz="0" w:space="0" w:color="auto"/>
        <w:bottom w:val="none" w:sz="0" w:space="0" w:color="auto"/>
        <w:right w:val="none" w:sz="0" w:space="0" w:color="auto"/>
      </w:divBdr>
    </w:div>
    <w:div w:id="598173424">
      <w:marLeft w:val="0"/>
      <w:marRight w:val="0"/>
      <w:marTop w:val="0"/>
      <w:marBottom w:val="0"/>
      <w:divBdr>
        <w:top w:val="none" w:sz="0" w:space="0" w:color="auto"/>
        <w:left w:val="none" w:sz="0" w:space="0" w:color="auto"/>
        <w:bottom w:val="none" w:sz="0" w:space="0" w:color="auto"/>
        <w:right w:val="none" w:sz="0" w:space="0" w:color="auto"/>
      </w:divBdr>
    </w:div>
    <w:div w:id="598173425">
      <w:marLeft w:val="0"/>
      <w:marRight w:val="0"/>
      <w:marTop w:val="0"/>
      <w:marBottom w:val="0"/>
      <w:divBdr>
        <w:top w:val="none" w:sz="0" w:space="0" w:color="auto"/>
        <w:left w:val="none" w:sz="0" w:space="0" w:color="auto"/>
        <w:bottom w:val="none" w:sz="0" w:space="0" w:color="auto"/>
        <w:right w:val="none" w:sz="0" w:space="0" w:color="auto"/>
      </w:divBdr>
    </w:div>
    <w:div w:id="598173426">
      <w:marLeft w:val="0"/>
      <w:marRight w:val="0"/>
      <w:marTop w:val="0"/>
      <w:marBottom w:val="0"/>
      <w:divBdr>
        <w:top w:val="none" w:sz="0" w:space="0" w:color="auto"/>
        <w:left w:val="none" w:sz="0" w:space="0" w:color="auto"/>
        <w:bottom w:val="none" w:sz="0" w:space="0" w:color="auto"/>
        <w:right w:val="none" w:sz="0" w:space="0" w:color="auto"/>
      </w:divBdr>
    </w:div>
    <w:div w:id="598173427">
      <w:marLeft w:val="0"/>
      <w:marRight w:val="0"/>
      <w:marTop w:val="0"/>
      <w:marBottom w:val="0"/>
      <w:divBdr>
        <w:top w:val="none" w:sz="0" w:space="0" w:color="auto"/>
        <w:left w:val="none" w:sz="0" w:space="0" w:color="auto"/>
        <w:bottom w:val="none" w:sz="0" w:space="0" w:color="auto"/>
        <w:right w:val="none" w:sz="0" w:space="0" w:color="auto"/>
      </w:divBdr>
    </w:div>
    <w:div w:id="598173428">
      <w:marLeft w:val="0"/>
      <w:marRight w:val="0"/>
      <w:marTop w:val="0"/>
      <w:marBottom w:val="0"/>
      <w:divBdr>
        <w:top w:val="none" w:sz="0" w:space="0" w:color="auto"/>
        <w:left w:val="none" w:sz="0" w:space="0" w:color="auto"/>
        <w:bottom w:val="none" w:sz="0" w:space="0" w:color="auto"/>
        <w:right w:val="none" w:sz="0" w:space="0" w:color="auto"/>
      </w:divBdr>
    </w:div>
    <w:div w:id="598173429">
      <w:marLeft w:val="0"/>
      <w:marRight w:val="0"/>
      <w:marTop w:val="0"/>
      <w:marBottom w:val="0"/>
      <w:divBdr>
        <w:top w:val="none" w:sz="0" w:space="0" w:color="auto"/>
        <w:left w:val="none" w:sz="0" w:space="0" w:color="auto"/>
        <w:bottom w:val="none" w:sz="0" w:space="0" w:color="auto"/>
        <w:right w:val="none" w:sz="0" w:space="0" w:color="auto"/>
      </w:divBdr>
    </w:div>
    <w:div w:id="598173430">
      <w:marLeft w:val="0"/>
      <w:marRight w:val="0"/>
      <w:marTop w:val="0"/>
      <w:marBottom w:val="0"/>
      <w:divBdr>
        <w:top w:val="none" w:sz="0" w:space="0" w:color="auto"/>
        <w:left w:val="none" w:sz="0" w:space="0" w:color="auto"/>
        <w:bottom w:val="none" w:sz="0" w:space="0" w:color="auto"/>
        <w:right w:val="none" w:sz="0" w:space="0" w:color="auto"/>
      </w:divBdr>
    </w:div>
    <w:div w:id="598173431">
      <w:marLeft w:val="0"/>
      <w:marRight w:val="0"/>
      <w:marTop w:val="0"/>
      <w:marBottom w:val="0"/>
      <w:divBdr>
        <w:top w:val="none" w:sz="0" w:space="0" w:color="auto"/>
        <w:left w:val="none" w:sz="0" w:space="0" w:color="auto"/>
        <w:bottom w:val="none" w:sz="0" w:space="0" w:color="auto"/>
        <w:right w:val="none" w:sz="0" w:space="0" w:color="auto"/>
      </w:divBdr>
    </w:div>
    <w:div w:id="598173432">
      <w:marLeft w:val="0"/>
      <w:marRight w:val="0"/>
      <w:marTop w:val="0"/>
      <w:marBottom w:val="0"/>
      <w:divBdr>
        <w:top w:val="none" w:sz="0" w:space="0" w:color="auto"/>
        <w:left w:val="none" w:sz="0" w:space="0" w:color="auto"/>
        <w:bottom w:val="none" w:sz="0" w:space="0" w:color="auto"/>
        <w:right w:val="none" w:sz="0" w:space="0" w:color="auto"/>
      </w:divBdr>
    </w:div>
    <w:div w:id="598173433">
      <w:marLeft w:val="0"/>
      <w:marRight w:val="0"/>
      <w:marTop w:val="0"/>
      <w:marBottom w:val="0"/>
      <w:divBdr>
        <w:top w:val="none" w:sz="0" w:space="0" w:color="auto"/>
        <w:left w:val="none" w:sz="0" w:space="0" w:color="auto"/>
        <w:bottom w:val="none" w:sz="0" w:space="0" w:color="auto"/>
        <w:right w:val="none" w:sz="0" w:space="0" w:color="auto"/>
      </w:divBdr>
    </w:div>
    <w:div w:id="59817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ifrs.iasb.org/eifrs/stdcontent/2008_Bound_Volume/IAS24c_2004-12-16_en-3.html" TargetMode="External"/><Relationship Id="rId13" Type="http://schemas.openxmlformats.org/officeDocument/2006/relationships/hyperlink" Target="http://eifrs.iasb.org/eifrs/stdcontent/2008_Bound_Volume/IAS24c_2004-12-16_en-3.htm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ifrs.iasb.org/eifrs/stdcontent/2008_Bound_Volume/IAS24c_2004-12-16_en-3.html" TargetMode="External"/><Relationship Id="rId12" Type="http://schemas.openxmlformats.org/officeDocument/2006/relationships/hyperlink" Target="http://eifrs.iasb.org/eifrs/stdcontent/2008_Bound_Volume/IAS24c_2004-12-16_en-3.html" TargetMode="External"/><Relationship Id="rId17" Type="http://schemas.openxmlformats.org/officeDocument/2006/relationships/hyperlink" Target="file:///\\frcdatasrv01\Guidancenotes\Bulletin\2014\Bulletin%20(July%20to%20Dec%202014)\Methodology%20Manual\IFRS%2013%20-%20Fair%20Value%20Measurement.doc" TargetMode="External"/><Relationship Id="rId2" Type="http://schemas.openxmlformats.org/officeDocument/2006/relationships/styles" Target="styles.xml"/><Relationship Id="rId16" Type="http://schemas.openxmlformats.org/officeDocument/2006/relationships/hyperlink" Target="file:///\\frcdatasrv01\Guidancenotes\Bulletin\2014\Bulletin%20(July%20to%20Dec%202014)\Methodology%20Manual\IAS%2024%20-%20Related%20Party%20disclosure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rcdatasrv01\Guidancenotes\Bulletin\2014\Bulletin%20(July%20to%20Dec%202014)\Methodology%20Manual\IAS%2024%20-%20Related%20Party%20disclosures.doc"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eifrs.iasb.org/eifrs/stdcontent/2008_Bound_Volume/IAS41c_2005-08-18_en-3.html" TargetMode="Externa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frcdatasrv01\Guidancenotes\Bulletin\2014\Bulletin%20(July%20to%20Dec%202014)\Methodology%20Manual\IAS%2041%20-%20Agriculture.doc"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B6CB8-1FD2-4232-824D-8391E442E614}"/>
</file>

<file path=customXml/itemProps2.xml><?xml version="1.0" encoding="utf-8"?>
<ds:datastoreItem xmlns:ds="http://schemas.openxmlformats.org/officeDocument/2006/customXml" ds:itemID="{9AE6E864-6808-42D2-A993-8E2A89370EBD}"/>
</file>

<file path=customXml/itemProps3.xml><?xml version="1.0" encoding="utf-8"?>
<ds:datastoreItem xmlns:ds="http://schemas.openxmlformats.org/officeDocument/2006/customXml" ds:itemID="{12107AF4-15FF-4758-8824-87DD0D587392}"/>
</file>

<file path=docProps/app.xml><?xml version="1.0" encoding="utf-8"?>
<Properties xmlns="http://schemas.openxmlformats.org/officeDocument/2006/extended-properties" xmlns:vt="http://schemas.openxmlformats.org/officeDocument/2006/docPropsVTypes">
  <Template>Normal_Wordconv.dotm</Template>
  <TotalTime>582</TotalTime>
  <Pages>32</Pages>
  <Words>7659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
  <dc:creator>dchan</dc:creator>
  <cp:keywords/>
  <dc:description/>
  <cp:lastModifiedBy>mnowbotsing</cp:lastModifiedBy>
  <cp:revision>45</cp:revision>
  <cp:lastPrinted>2014-07-30T10:21:00Z</cp:lastPrinted>
  <dcterms:created xsi:type="dcterms:W3CDTF">2015-01-15T08:56:00Z</dcterms:created>
  <dcterms:modified xsi:type="dcterms:W3CDTF">2015-01-22T09:16:00Z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16200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