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BB" w:rsidRPr="003624FC" w:rsidRDefault="008D28BB" w:rsidP="003624FC">
      <w:pPr>
        <w:pStyle w:val="IASBTitle"/>
        <w:jc w:val="center"/>
        <w:rPr>
          <w:lang w:val="en-GB"/>
        </w:rPr>
      </w:pPr>
      <w:bookmarkStart w:id="0" w:name="F27784251"/>
      <w:bookmarkStart w:id="1" w:name="F27784571"/>
      <w:r w:rsidRPr="003624FC">
        <w:rPr>
          <w:b/>
          <w:lang w:val="en-GB"/>
        </w:rPr>
        <w:t>Defined Benefit Plans: Employee Contributions</w:t>
      </w:r>
      <w:bookmarkStart w:id="2" w:name="_GoBack"/>
      <w:bookmarkEnd w:id="2"/>
      <w:r w:rsidRPr="003624FC">
        <w:rPr>
          <w:lang w:val="en-GB"/>
        </w:rPr>
        <w:br/>
      </w:r>
      <w:r w:rsidRPr="003624FC">
        <w:rPr>
          <w:lang w:val="en-GB"/>
        </w:rPr>
        <w:br/>
        <w:t>(Amendments to IAS 19)</w:t>
      </w:r>
      <w:bookmarkEnd w:id="0"/>
    </w:p>
    <w:p w:rsidR="008D28BB" w:rsidRPr="003624FC" w:rsidRDefault="008D28BB" w:rsidP="003624FC">
      <w:pPr>
        <w:pStyle w:val="IASBSectionTitle2NonInd"/>
        <w:rPr>
          <w:lang w:val="en-GB"/>
        </w:rPr>
      </w:pPr>
      <w:r w:rsidRPr="003624FC">
        <w:rPr>
          <w:lang w:val="en-GB" w:eastAsia="en-GB"/>
        </w:rPr>
        <w:br w:type="page"/>
      </w:r>
      <w:r w:rsidRPr="003624FC">
        <w:rPr>
          <w:lang w:val="en-GB"/>
        </w:rPr>
        <w:t>Amendments to</w:t>
      </w:r>
      <w:r w:rsidRPr="003624FC">
        <w:rPr>
          <w:lang w:val="en-GB"/>
        </w:rPr>
        <w:br/>
        <w:t xml:space="preserve">IAS 19 </w:t>
      </w:r>
      <w:r w:rsidRPr="003624FC">
        <w:rPr>
          <w:i/>
          <w:lang w:val="en-GB"/>
        </w:rPr>
        <w:t>Employee Benefits</w:t>
      </w:r>
      <w:bookmarkEnd w:id="1"/>
    </w:p>
    <w:p w:rsidR="008D28BB" w:rsidRPr="003624FC" w:rsidRDefault="008D28BB">
      <w:pPr>
        <w:pStyle w:val="IASBNormalnpara"/>
        <w:rPr>
          <w:lang w:val="en-GB"/>
        </w:rPr>
      </w:pPr>
    </w:p>
    <w:tbl>
      <w:tblPr>
        <w:tblW w:w="0" w:type="auto"/>
        <w:tblLayout w:type="fixed"/>
        <w:tblLook w:val="0000"/>
      </w:tblPr>
      <w:tblGrid>
        <w:gridCol w:w="9208"/>
      </w:tblGrid>
      <w:tr w:rsidR="008D28BB" w:rsidRPr="003624FC">
        <w:trPr>
          <w:cantSplit/>
        </w:trPr>
        <w:tc>
          <w:tcPr>
            <w:tcW w:w="9208" w:type="dxa"/>
            <w:tcBorders>
              <w:top w:val="single" w:sz="4" w:space="0" w:color="auto"/>
              <w:left w:val="single" w:sz="4" w:space="0" w:color="auto"/>
              <w:bottom w:val="single" w:sz="4" w:space="0" w:color="auto"/>
              <w:right w:val="single" w:sz="4" w:space="0" w:color="auto"/>
            </w:tcBorders>
            <w:vAlign w:val="bottom"/>
          </w:tcPr>
          <w:p w:rsidR="008D28BB" w:rsidRPr="003624FC" w:rsidRDefault="008D28BB">
            <w:pPr>
              <w:pStyle w:val="IASBTableArial"/>
            </w:pPr>
            <w:r w:rsidRPr="003624FC">
              <w:t>Paragraphs 93–94 are amended and paragraph 175 is added. New text is underlined and deleted text is struck through. Paragraph 92 is included for reference only.</w:t>
            </w:r>
          </w:p>
        </w:tc>
      </w:tr>
    </w:tbl>
    <w:p w:rsidR="008D28BB" w:rsidRPr="003624FC" w:rsidRDefault="008D28BB">
      <w:pPr>
        <w:pStyle w:val="IASBNormalnpara"/>
        <w:rPr>
          <w:lang w:val="en-GB"/>
        </w:rPr>
      </w:pPr>
    </w:p>
    <w:p w:rsidR="008D28BB" w:rsidRPr="003624FC" w:rsidRDefault="008D28BB">
      <w:pPr>
        <w:pStyle w:val="IASBSectionTitle3Ind"/>
        <w:rPr>
          <w:lang w:val="en-GB"/>
        </w:rPr>
      </w:pPr>
      <w:bookmarkStart w:id="3" w:name="F27784516"/>
      <w:r w:rsidRPr="003624FC">
        <w:rPr>
          <w:lang w:val="en-GB"/>
        </w:rPr>
        <w:t>Actuarial assumptions: salaries, benefits and medical costs</w:t>
      </w:r>
      <w:bookmarkEnd w:id="3"/>
    </w:p>
    <w:p w:rsidR="008D28BB" w:rsidRPr="003624FC" w:rsidRDefault="008D28BB">
      <w:pPr>
        <w:pStyle w:val="IASBNormalnpara"/>
        <w:rPr>
          <w:lang w:val="en-GB"/>
        </w:rPr>
      </w:pPr>
      <w:r w:rsidRPr="003624FC">
        <w:rPr>
          <w:lang w:val="en-GB"/>
        </w:rPr>
        <w:tab/>
      </w:r>
      <w:bookmarkStart w:id="4" w:name="F27784517"/>
      <w:r w:rsidRPr="003624FC">
        <w:rPr>
          <w:lang w:val="en-GB"/>
        </w:rPr>
        <w:t>…</w:t>
      </w:r>
      <w:bookmarkEnd w:id="4"/>
    </w:p>
    <w:p w:rsidR="008D28BB" w:rsidRPr="003624FC" w:rsidRDefault="008D28BB">
      <w:pPr>
        <w:pStyle w:val="IASBNormalnpara"/>
        <w:rPr>
          <w:lang w:val="en-GB"/>
        </w:rPr>
      </w:pPr>
      <w:r w:rsidRPr="003624FC">
        <w:rPr>
          <w:lang w:val="en-GB"/>
        </w:rPr>
        <w:t>92</w:t>
      </w:r>
      <w:r w:rsidRPr="003624FC">
        <w:rPr>
          <w:lang w:val="en-GB"/>
        </w:rPr>
        <w:tab/>
      </w:r>
      <w:bookmarkStart w:id="5" w:name="F27784518"/>
      <w:r w:rsidRPr="003624FC">
        <w:rPr>
          <w:lang w:val="en-GB"/>
        </w:rPr>
        <w:t>Some defined benefit plans require employees or third parties to contribute to the cost of the plan. Contributions by employees reduce the cost of the benefits to the entity. An entity considers whether third-party contributions reduce the cost of the benefits to the entity, or are a reimbursement right as described in paragraph 116. Contributions by employees or third parties are either set out in the formal terms of the plan (or arise from a constructive obligation that goes beyond those terms), or are discretionary. Discretionary contributions by employees or third parties reduce service cost upon payment of these contributions to the plan.</w:t>
      </w:r>
      <w:bookmarkEnd w:id="5"/>
    </w:p>
    <w:p w:rsidR="008D28BB" w:rsidRPr="003624FC" w:rsidRDefault="008D28BB">
      <w:pPr>
        <w:pStyle w:val="IASBNormalnpara"/>
        <w:rPr>
          <w:lang w:val="en-GB"/>
        </w:rPr>
      </w:pPr>
      <w:r w:rsidRPr="003624FC">
        <w:rPr>
          <w:lang w:val="en-GB"/>
        </w:rPr>
        <w:t>93</w:t>
      </w:r>
      <w:r w:rsidRPr="003624FC">
        <w:rPr>
          <w:lang w:val="en-GB"/>
        </w:rPr>
        <w:tab/>
      </w:r>
      <w:bookmarkStart w:id="6" w:name="SL27784825"/>
      <w:r w:rsidRPr="003624FC">
        <w:rPr>
          <w:lang w:val="en-GB"/>
        </w:rPr>
        <w:t xml:space="preserve">Contributions from employees or third parties set out in the formal terms of the plan either reduce service cost (if they are linked to service), or </w:t>
      </w:r>
      <w:r w:rsidRPr="003624FC">
        <w:rPr>
          <w:strike/>
          <w:lang w:val="en-GB"/>
        </w:rPr>
        <w:t>reduce</w:t>
      </w:r>
      <w:r w:rsidRPr="003624FC">
        <w:rPr>
          <w:lang w:val="en-GB"/>
        </w:rPr>
        <w:t xml:space="preserve"> </w:t>
      </w:r>
      <w:r w:rsidRPr="003624FC">
        <w:rPr>
          <w:u w:val="single"/>
          <w:lang w:val="en-GB"/>
        </w:rPr>
        <w:t>affect</w:t>
      </w:r>
      <w:r w:rsidRPr="003624FC">
        <w:rPr>
          <w:lang w:val="en-GB"/>
        </w:rPr>
        <w:t xml:space="preserve"> remeasurements of the net defined benefit liability (asset) </w:t>
      </w:r>
      <w:r w:rsidRPr="003624FC">
        <w:rPr>
          <w:u w:val="single"/>
          <w:lang w:val="en-GB"/>
        </w:rPr>
        <w:t>(if they are not linked to service). An example of contributions that are not linked to service is when</w:t>
      </w:r>
      <w:r w:rsidRPr="003624FC">
        <w:rPr>
          <w:lang w:val="en-GB"/>
        </w:rPr>
        <w:t xml:space="preserve"> </w:t>
      </w:r>
      <w:r w:rsidRPr="003624FC">
        <w:rPr>
          <w:strike/>
          <w:lang w:val="en-GB"/>
        </w:rPr>
        <w:t>(eg if</w:t>
      </w:r>
      <w:r w:rsidRPr="003624FC">
        <w:rPr>
          <w:lang w:val="en-GB"/>
        </w:rPr>
        <w:t xml:space="preserve"> the contributions are required to reduce a deficit arising from losses on plan assets or </w:t>
      </w:r>
      <w:r w:rsidRPr="003624FC">
        <w:rPr>
          <w:u w:val="single"/>
          <w:lang w:val="en-GB"/>
        </w:rPr>
        <w:t>from</w:t>
      </w:r>
      <w:r w:rsidRPr="003624FC">
        <w:rPr>
          <w:lang w:val="en-GB"/>
        </w:rPr>
        <w:t xml:space="preserve"> actuarial losses</w:t>
      </w:r>
      <w:r w:rsidRPr="003624FC">
        <w:rPr>
          <w:strike/>
          <w:lang w:val="en-GB"/>
        </w:rPr>
        <w:t>)</w:t>
      </w:r>
      <w:r w:rsidRPr="003624FC">
        <w:rPr>
          <w:lang w:val="en-GB"/>
        </w:rPr>
        <w:t xml:space="preserve">. </w:t>
      </w:r>
      <w:r w:rsidRPr="003624FC">
        <w:rPr>
          <w:u w:val="single"/>
          <w:lang w:val="en-GB"/>
        </w:rPr>
        <w:t>If c</w:t>
      </w:r>
      <w:r w:rsidRPr="003624FC">
        <w:rPr>
          <w:strike/>
          <w:lang w:val="en-GB"/>
        </w:rPr>
        <w:t>C</w:t>
      </w:r>
      <w:r w:rsidRPr="003624FC">
        <w:rPr>
          <w:lang w:val="en-GB"/>
        </w:rPr>
        <w:t xml:space="preserve">ontributions from employees or third parties </w:t>
      </w:r>
      <w:r w:rsidRPr="003624FC">
        <w:rPr>
          <w:u w:val="single"/>
          <w:lang w:val="en-GB"/>
        </w:rPr>
        <w:t>are linked to</w:t>
      </w:r>
      <w:r w:rsidRPr="003624FC">
        <w:rPr>
          <w:lang w:val="en-GB"/>
        </w:rPr>
        <w:t xml:space="preserve"> </w:t>
      </w:r>
      <w:r w:rsidRPr="003624FC">
        <w:rPr>
          <w:strike/>
          <w:lang w:val="en-GB"/>
        </w:rPr>
        <w:t>in respect of</w:t>
      </w:r>
      <w:r w:rsidRPr="003624FC">
        <w:rPr>
          <w:lang w:val="en-GB"/>
        </w:rPr>
        <w:t xml:space="preserve"> service</w:t>
      </w:r>
      <w:r w:rsidRPr="003624FC">
        <w:rPr>
          <w:u w:val="single"/>
          <w:lang w:val="en-GB"/>
        </w:rPr>
        <w:t>, those contributions reduce the service cost as follows:</w:t>
      </w:r>
      <w:r w:rsidRPr="003624FC">
        <w:rPr>
          <w:lang w:val="en-GB"/>
        </w:rPr>
        <w:t xml:space="preserve"> </w:t>
      </w:r>
      <w:r w:rsidRPr="003624FC">
        <w:rPr>
          <w:strike/>
          <w:lang w:val="en-GB"/>
        </w:rPr>
        <w:t>are attributed to periods of service as a negative benefit in accordance with paragraph 70 (ie the net benefit is attributed in accordance with that paragraph).</w:t>
      </w:r>
      <w:r w:rsidRPr="003624FC">
        <w:rPr>
          <w:lang w:val="en-GB"/>
        </w:rPr>
        <w:t xml:space="preserve"> </w:t>
      </w:r>
      <w:bookmarkEnd w:id="6"/>
    </w:p>
    <w:p w:rsidR="008D28BB" w:rsidRPr="003624FC" w:rsidRDefault="008D28BB">
      <w:pPr>
        <w:pStyle w:val="IASBNormalnparaL1"/>
        <w:rPr>
          <w:lang w:val="en-GB"/>
        </w:rPr>
      </w:pPr>
      <w:r w:rsidRPr="003624FC">
        <w:rPr>
          <w:lang w:val="en-GB"/>
        </w:rPr>
        <w:t>(</w:t>
      </w:r>
      <w:r w:rsidRPr="003624FC">
        <w:rPr>
          <w:u w:val="single"/>
          <w:lang w:val="en-GB"/>
        </w:rPr>
        <w:t>a</w:t>
      </w:r>
      <w:r w:rsidRPr="003624FC">
        <w:rPr>
          <w:lang w:val="en-GB"/>
        </w:rPr>
        <w:t>)</w:t>
      </w:r>
      <w:r w:rsidRPr="003624FC">
        <w:rPr>
          <w:lang w:val="en-GB"/>
        </w:rPr>
        <w:tab/>
      </w:r>
      <w:bookmarkStart w:id="7" w:name="F27784523"/>
      <w:r w:rsidRPr="003624FC">
        <w:rPr>
          <w:u w:val="single"/>
          <w:lang w:val="en-GB"/>
        </w:rPr>
        <w:t>if the amount of the contributions is dependent on the number of years of service, an entity shall attribute the contributions to periods of service using the same attribution method required by paragraph 70 for the gross benefit (ie either using the plan’s contribution formula or on a straight-line basis); or</w:t>
      </w:r>
      <w:bookmarkEnd w:id="7"/>
    </w:p>
    <w:p w:rsidR="008D28BB" w:rsidRPr="003624FC" w:rsidRDefault="008D28BB">
      <w:pPr>
        <w:pStyle w:val="IASBNormalnparaL1"/>
        <w:rPr>
          <w:lang w:val="en-GB"/>
        </w:rPr>
      </w:pPr>
      <w:r w:rsidRPr="003624FC">
        <w:rPr>
          <w:lang w:val="en-GB"/>
        </w:rPr>
        <w:t>(</w:t>
      </w:r>
      <w:r w:rsidRPr="003624FC">
        <w:rPr>
          <w:u w:val="single"/>
          <w:lang w:val="en-GB"/>
        </w:rPr>
        <w:t>b</w:t>
      </w:r>
      <w:r w:rsidRPr="003624FC">
        <w:rPr>
          <w:lang w:val="en-GB"/>
        </w:rPr>
        <w:t>)</w:t>
      </w:r>
      <w:r w:rsidRPr="003624FC">
        <w:rPr>
          <w:lang w:val="en-GB"/>
        </w:rPr>
        <w:tab/>
      </w:r>
      <w:bookmarkStart w:id="8" w:name="F27784525"/>
      <w:r w:rsidRPr="003624FC">
        <w:rPr>
          <w:u w:val="single"/>
          <w:lang w:val="en-GB"/>
        </w:rPr>
        <w:t>if the amount of the contributions is independent of the number of years of service, the entity is permitted to recognise such contributions as a reduction of the service cost in the period in which the related service is rendered. Examples of contributions that are independent of the number of years of service include those that are a fixed percentage of the employee’s salary, a fixed amount throughout the service period or dependent on the employee’s age.</w:t>
      </w:r>
      <w:bookmarkEnd w:id="8"/>
    </w:p>
    <w:p w:rsidR="008D28BB" w:rsidRPr="003624FC" w:rsidRDefault="008D28BB">
      <w:pPr>
        <w:pStyle w:val="IASBNormalnpara"/>
        <w:rPr>
          <w:lang w:val="en-GB"/>
        </w:rPr>
      </w:pPr>
      <w:r w:rsidRPr="003624FC">
        <w:rPr>
          <w:lang w:val="en-GB"/>
        </w:rPr>
        <w:tab/>
      </w:r>
      <w:bookmarkStart w:id="9" w:name="F27784526"/>
      <w:r w:rsidRPr="003624FC">
        <w:rPr>
          <w:u w:val="single"/>
          <w:lang w:val="en-GB"/>
        </w:rPr>
        <w:t>Paragraph A1 provides related application guidance.</w:t>
      </w:r>
      <w:bookmarkEnd w:id="9"/>
    </w:p>
    <w:p w:rsidR="008D28BB" w:rsidRPr="003624FC" w:rsidRDefault="008D28BB">
      <w:pPr>
        <w:pStyle w:val="IASBNormalnpara"/>
        <w:rPr>
          <w:lang w:val="en-GB"/>
        </w:rPr>
      </w:pPr>
      <w:r w:rsidRPr="003624FC">
        <w:rPr>
          <w:lang w:val="en-GB"/>
        </w:rPr>
        <w:t>94</w:t>
      </w:r>
      <w:r w:rsidRPr="003624FC">
        <w:rPr>
          <w:lang w:val="en-GB"/>
        </w:rPr>
        <w:tab/>
      </w:r>
      <w:bookmarkStart w:id="10" w:name="F27784527"/>
      <w:r w:rsidRPr="003624FC">
        <w:rPr>
          <w:u w:val="single"/>
          <w:lang w:val="en-GB"/>
        </w:rPr>
        <w:t>For contributions from employees or third parties that are attributed to periods of service in accordance with paragraph 93(a), c</w:t>
      </w:r>
      <w:r w:rsidRPr="003624FC">
        <w:rPr>
          <w:strike/>
          <w:lang w:val="en-GB"/>
        </w:rPr>
        <w:t>C</w:t>
      </w:r>
      <w:r w:rsidRPr="003624FC">
        <w:rPr>
          <w:lang w:val="en-GB"/>
        </w:rPr>
        <w:t xml:space="preserve">hanges in </w:t>
      </w:r>
      <w:r w:rsidRPr="003624FC">
        <w:rPr>
          <w:strike/>
          <w:lang w:val="en-GB"/>
        </w:rPr>
        <w:t>employee or third-party</w:t>
      </w:r>
      <w:r w:rsidRPr="003624FC">
        <w:rPr>
          <w:lang w:val="en-GB"/>
        </w:rPr>
        <w:t xml:space="preserve"> </w:t>
      </w:r>
      <w:r w:rsidRPr="003624FC">
        <w:rPr>
          <w:u w:val="single"/>
          <w:lang w:val="en-GB"/>
        </w:rPr>
        <w:t>the</w:t>
      </w:r>
      <w:r w:rsidRPr="003624FC">
        <w:rPr>
          <w:lang w:val="en-GB"/>
        </w:rPr>
        <w:t xml:space="preserve"> contributions </w:t>
      </w:r>
      <w:r w:rsidRPr="003624FC">
        <w:rPr>
          <w:strike/>
          <w:lang w:val="en-GB"/>
        </w:rPr>
        <w:t>in respect of service</w:t>
      </w:r>
      <w:r w:rsidRPr="003624FC">
        <w:rPr>
          <w:lang w:val="en-GB"/>
        </w:rPr>
        <w:t xml:space="preserve"> result in:</w:t>
      </w:r>
      <w:bookmarkEnd w:id="10"/>
    </w:p>
    <w:p w:rsidR="008D28BB" w:rsidRPr="003624FC" w:rsidRDefault="008D28BB">
      <w:pPr>
        <w:pStyle w:val="IASBNormalnparaL1"/>
        <w:rPr>
          <w:lang w:val="en-GB"/>
        </w:rPr>
      </w:pPr>
      <w:r w:rsidRPr="003624FC">
        <w:rPr>
          <w:lang w:val="en-GB"/>
        </w:rPr>
        <w:t>(a)</w:t>
      </w:r>
      <w:r w:rsidRPr="003624FC">
        <w:rPr>
          <w:lang w:val="en-GB"/>
        </w:rPr>
        <w:tab/>
      </w:r>
      <w:bookmarkStart w:id="11" w:name="F27784530"/>
      <w:r w:rsidRPr="003624FC">
        <w:rPr>
          <w:lang w:val="en-GB"/>
        </w:rPr>
        <w:t xml:space="preserve">current and past service cost (if </w:t>
      </w:r>
      <w:r w:rsidRPr="003624FC">
        <w:rPr>
          <w:u w:val="single"/>
          <w:lang w:val="en-GB"/>
        </w:rPr>
        <w:t>those</w:t>
      </w:r>
      <w:r w:rsidRPr="003624FC">
        <w:rPr>
          <w:lang w:val="en-GB"/>
        </w:rPr>
        <w:t xml:space="preserve"> changes </w:t>
      </w:r>
      <w:r w:rsidRPr="003624FC">
        <w:rPr>
          <w:strike/>
          <w:lang w:val="en-GB"/>
        </w:rPr>
        <w:t>in employee contributions</w:t>
      </w:r>
      <w:r w:rsidRPr="003624FC">
        <w:rPr>
          <w:lang w:val="en-GB"/>
        </w:rPr>
        <w:t xml:space="preserve"> are not set out in the formal terms of a plan and do not arise from a constructive obligation); or</w:t>
      </w:r>
      <w:bookmarkEnd w:id="11"/>
    </w:p>
    <w:p w:rsidR="008D28BB" w:rsidRPr="003624FC" w:rsidRDefault="008D28BB">
      <w:pPr>
        <w:pStyle w:val="IASBNormalnparaL1"/>
        <w:rPr>
          <w:lang w:val="en-GB"/>
        </w:rPr>
      </w:pPr>
      <w:r w:rsidRPr="003624FC">
        <w:rPr>
          <w:lang w:val="en-GB"/>
        </w:rPr>
        <w:t>(b)</w:t>
      </w:r>
      <w:r w:rsidRPr="003624FC">
        <w:rPr>
          <w:lang w:val="en-GB"/>
        </w:rPr>
        <w:tab/>
      </w:r>
      <w:bookmarkStart w:id="12" w:name="F27784537"/>
      <w:r w:rsidRPr="003624FC">
        <w:rPr>
          <w:lang w:val="en-GB"/>
        </w:rPr>
        <w:t xml:space="preserve">actuarial gains and losses (if </w:t>
      </w:r>
      <w:r w:rsidRPr="003624FC">
        <w:rPr>
          <w:u w:val="single"/>
          <w:lang w:val="en-GB"/>
        </w:rPr>
        <w:t>those</w:t>
      </w:r>
      <w:r w:rsidRPr="003624FC">
        <w:rPr>
          <w:lang w:val="en-GB"/>
        </w:rPr>
        <w:t xml:space="preserve"> changes </w:t>
      </w:r>
      <w:r w:rsidRPr="003624FC">
        <w:rPr>
          <w:strike/>
          <w:lang w:val="en-GB"/>
        </w:rPr>
        <w:t>in employee contributions</w:t>
      </w:r>
      <w:r w:rsidRPr="003624FC">
        <w:rPr>
          <w:lang w:val="en-GB"/>
        </w:rPr>
        <w:t xml:space="preserve"> are set out in the formal terms of a plan, or arise from a constructive obligation).</w:t>
      </w:r>
      <w:bookmarkEnd w:id="12"/>
    </w:p>
    <w:p w:rsidR="008D28BB" w:rsidRPr="003624FC" w:rsidRDefault="008D28BB">
      <w:pPr>
        <w:pStyle w:val="IASBNormalnparaP"/>
        <w:rPr>
          <w:lang w:val="en-GB"/>
        </w:rPr>
      </w:pPr>
      <w:bookmarkStart w:id="13" w:name="F27784535"/>
      <w:r w:rsidRPr="003624FC">
        <w:rPr>
          <w:lang w:val="en-GB"/>
        </w:rPr>
        <w:t>... </w:t>
      </w:r>
      <w:bookmarkEnd w:id="13"/>
    </w:p>
    <w:p w:rsidR="008D28BB" w:rsidRPr="003624FC" w:rsidRDefault="008D28BB">
      <w:pPr>
        <w:pStyle w:val="IASBSectionTitle1NonInd"/>
        <w:rPr>
          <w:lang w:val="en-GB"/>
        </w:rPr>
      </w:pPr>
      <w:bookmarkStart w:id="14" w:name="F27784532"/>
      <w:r w:rsidRPr="003624FC">
        <w:rPr>
          <w:lang w:val="en-GB"/>
        </w:rPr>
        <w:t>Transition and effective date</w:t>
      </w:r>
      <w:bookmarkEnd w:id="14"/>
    </w:p>
    <w:p w:rsidR="008D28BB" w:rsidRPr="003624FC" w:rsidRDefault="008D28BB">
      <w:pPr>
        <w:pStyle w:val="IASBNormalnpara"/>
        <w:rPr>
          <w:lang w:val="en-GB"/>
        </w:rPr>
      </w:pPr>
      <w:r w:rsidRPr="003624FC">
        <w:rPr>
          <w:lang w:val="en-GB"/>
        </w:rPr>
        <w:tab/>
      </w:r>
      <w:bookmarkStart w:id="15" w:name="F27784538"/>
      <w:r w:rsidRPr="003624FC">
        <w:rPr>
          <w:lang w:val="en-GB"/>
        </w:rPr>
        <w:t>…</w:t>
      </w:r>
      <w:bookmarkEnd w:id="15"/>
    </w:p>
    <w:p w:rsidR="008D28BB" w:rsidRPr="003624FC" w:rsidRDefault="008D28BB">
      <w:pPr>
        <w:pStyle w:val="IASBNormalnpara"/>
        <w:rPr>
          <w:lang w:val="en-GB"/>
        </w:rPr>
      </w:pPr>
      <w:r w:rsidRPr="003624FC">
        <w:rPr>
          <w:u w:val="single"/>
          <w:lang w:val="en-GB"/>
        </w:rPr>
        <w:t>175</w:t>
      </w:r>
      <w:r w:rsidRPr="003624FC">
        <w:rPr>
          <w:u w:val="single"/>
          <w:lang w:val="en-GB"/>
        </w:rPr>
        <w:tab/>
      </w:r>
      <w:bookmarkStart w:id="16" w:name="F27784539"/>
      <w:r w:rsidRPr="003624FC">
        <w:rPr>
          <w:i/>
          <w:u w:val="single"/>
          <w:lang w:val="en-GB"/>
        </w:rPr>
        <w:t>Defined Benefit Plans: Employee Contributions</w:t>
      </w:r>
      <w:r w:rsidRPr="003624FC">
        <w:rPr>
          <w:u w:val="single"/>
          <w:lang w:val="en-GB"/>
        </w:rPr>
        <w:t xml:space="preserve"> (Amendments to IAS 19), issued in November 2013, amended paragraphs 93–94. An entity shall apply those amendments for annual periods beginning on or after 1 July 2014 retrospectively in accordance with IAS 8 </w:t>
      </w:r>
      <w:r w:rsidRPr="003624FC">
        <w:rPr>
          <w:i/>
          <w:u w:val="single"/>
          <w:lang w:val="en-GB"/>
        </w:rPr>
        <w:t>Accounting Policies, Changes in Accounting Estimates and Errors</w:t>
      </w:r>
      <w:r w:rsidRPr="003624FC">
        <w:rPr>
          <w:u w:val="single"/>
          <w:lang w:val="en-GB"/>
        </w:rPr>
        <w:t>. Earlier application is permitted. If an entity applies those amendments for an earlier period, it shall disclose that fact.</w:t>
      </w:r>
      <w:bookmarkEnd w:id="16"/>
    </w:p>
    <w:p w:rsidR="008D28BB" w:rsidRPr="003624FC" w:rsidRDefault="008D28BB">
      <w:pPr>
        <w:widowControl w:val="0"/>
        <w:autoSpaceDE w:val="0"/>
        <w:autoSpaceDN w:val="0"/>
        <w:adjustRightInd w:val="0"/>
        <w:rPr>
          <w:lang w:eastAsia="en-GB"/>
        </w:rPr>
        <w:sectPr w:rsidR="008D28BB" w:rsidRPr="003624FC">
          <w:headerReference w:type="even" r:id="rId6"/>
          <w:headerReference w:type="default" r:id="rId7"/>
          <w:footerReference w:type="even" r:id="rId8"/>
          <w:footerReference w:type="default" r:id="rId9"/>
          <w:pgSz w:w="11907" w:h="16839"/>
          <w:pgMar w:top="1440" w:right="1440" w:bottom="1440" w:left="1440" w:header="709" w:footer="709" w:gutter="0"/>
          <w:cols w:space="708"/>
          <w:docGrid w:linePitch="360"/>
        </w:sectPr>
      </w:pPr>
    </w:p>
    <w:p w:rsidR="008D28BB" w:rsidRPr="003624FC" w:rsidRDefault="008D28BB">
      <w:pPr>
        <w:pStyle w:val="IASBSectionTitle1NonInd"/>
        <w:pBdr>
          <w:bottom w:val="none" w:sz="0" w:space="0" w:color="auto"/>
        </w:pBdr>
        <w:rPr>
          <w:lang w:val="en-GB"/>
        </w:rPr>
      </w:pPr>
      <w:bookmarkStart w:id="17" w:name="F27784572"/>
      <w:r w:rsidRPr="003624FC">
        <w:rPr>
          <w:lang w:val="en-GB"/>
        </w:rPr>
        <w:t xml:space="preserve">Amendments to the Appendices of </w:t>
      </w:r>
      <w:r w:rsidRPr="003624FC">
        <w:rPr>
          <w:lang w:val="en-GB"/>
        </w:rPr>
        <w:br/>
        <w:t xml:space="preserve">IAS 19 </w:t>
      </w:r>
      <w:r w:rsidRPr="003624FC">
        <w:rPr>
          <w:i/>
          <w:lang w:val="en-GB"/>
        </w:rPr>
        <w:t>Employee Benefits</w:t>
      </w:r>
      <w:bookmarkEnd w:id="17"/>
    </w:p>
    <w:p w:rsidR="008D28BB" w:rsidRPr="003624FC" w:rsidRDefault="008D28BB">
      <w:pPr>
        <w:pStyle w:val="IASBNormalnpara"/>
        <w:rPr>
          <w:lang w:val="en-GB"/>
        </w:rPr>
      </w:pPr>
    </w:p>
    <w:tbl>
      <w:tblPr>
        <w:tblW w:w="0" w:type="auto"/>
        <w:tblLayout w:type="fixed"/>
        <w:tblLook w:val="0000"/>
      </w:tblPr>
      <w:tblGrid>
        <w:gridCol w:w="9208"/>
      </w:tblGrid>
      <w:tr w:rsidR="008D28BB" w:rsidRPr="003624FC">
        <w:trPr>
          <w:cantSplit/>
        </w:trPr>
        <w:tc>
          <w:tcPr>
            <w:tcW w:w="9208" w:type="dxa"/>
            <w:tcBorders>
              <w:top w:val="single" w:sz="4" w:space="0" w:color="auto"/>
              <w:left w:val="single" w:sz="4" w:space="0" w:color="auto"/>
              <w:bottom w:val="single" w:sz="4" w:space="0" w:color="auto"/>
              <w:right w:val="single" w:sz="4" w:space="0" w:color="auto"/>
            </w:tcBorders>
            <w:vAlign w:val="bottom"/>
          </w:tcPr>
          <w:p w:rsidR="008D28BB" w:rsidRPr="003624FC" w:rsidRDefault="008D28BB">
            <w:pPr>
              <w:pStyle w:val="IASBTableArial"/>
            </w:pPr>
            <w:r w:rsidRPr="003624FC">
              <w:t>Appendix A is added.</w:t>
            </w:r>
          </w:p>
        </w:tc>
      </w:tr>
    </w:tbl>
    <w:p w:rsidR="008D28BB" w:rsidRPr="003624FC" w:rsidRDefault="008D28BB">
      <w:pPr>
        <w:pStyle w:val="IASBNormalnpara"/>
        <w:rPr>
          <w:lang w:val="en-GB"/>
        </w:rPr>
      </w:pPr>
    </w:p>
    <w:p w:rsidR="008D28BB" w:rsidRPr="003624FC" w:rsidRDefault="008D28BB">
      <w:pPr>
        <w:pStyle w:val="IASBSectionTitle1NonInd"/>
        <w:pBdr>
          <w:bottom w:val="none" w:sz="0" w:space="0" w:color="auto"/>
        </w:pBdr>
        <w:rPr>
          <w:lang w:val="en-GB"/>
        </w:rPr>
      </w:pPr>
      <w:bookmarkStart w:id="18" w:name="F27784550"/>
      <w:r w:rsidRPr="003624FC">
        <w:rPr>
          <w:lang w:val="en-GB"/>
        </w:rPr>
        <w:t>Appendix A</w:t>
      </w:r>
      <w:r w:rsidRPr="003624FC">
        <w:rPr>
          <w:lang w:val="en-GB"/>
        </w:rPr>
        <w:br/>
        <w:t>Application Guidance</w:t>
      </w:r>
      <w:bookmarkEnd w:id="18"/>
    </w:p>
    <w:p w:rsidR="008D28BB" w:rsidRPr="003624FC" w:rsidRDefault="008D28BB">
      <w:pPr>
        <w:pStyle w:val="IASBNormal"/>
        <w:rPr>
          <w:lang w:val="en-GB"/>
        </w:rPr>
      </w:pPr>
      <w:bookmarkStart w:id="19" w:name="F27784551"/>
      <w:r w:rsidRPr="003624FC">
        <w:rPr>
          <w:i/>
          <w:lang w:val="en-GB"/>
        </w:rPr>
        <w:t xml:space="preserve">This appendix is an integral part of the IFRS. It describes the application of paragraphs 92–93 and has the same authority as the other parts of the IFRS. </w:t>
      </w:r>
      <w:bookmarkEnd w:id="19"/>
    </w:p>
    <w:p w:rsidR="008D28BB" w:rsidRPr="003624FC" w:rsidRDefault="008D28BB">
      <w:pPr>
        <w:pStyle w:val="IASBNormalnpara"/>
        <w:rPr>
          <w:lang w:val="en-GB"/>
        </w:rPr>
      </w:pPr>
      <w:r w:rsidRPr="003624FC">
        <w:rPr>
          <w:lang w:val="en-GB"/>
        </w:rPr>
        <w:t>A1</w:t>
      </w:r>
      <w:r w:rsidRPr="003624FC">
        <w:rPr>
          <w:lang w:val="en-GB"/>
        </w:rPr>
        <w:tab/>
      </w:r>
      <w:bookmarkStart w:id="20" w:name="F27784553"/>
      <w:r w:rsidRPr="003624FC">
        <w:rPr>
          <w:lang w:val="en-GB"/>
        </w:rPr>
        <w:t>The accounting requirements for contributions from employees or third parties are illustrated in the diagram below.</w:t>
      </w:r>
      <w:bookmarkEnd w:id="20"/>
    </w:p>
    <w:p w:rsidR="008D28BB" w:rsidRPr="003624FC" w:rsidRDefault="008D28BB">
      <w:pPr>
        <w:pStyle w:val="IASBNormalnpara"/>
        <w:rPr>
          <w:lang w:val="en-GB"/>
        </w:rPr>
      </w:pPr>
      <w:r>
        <w:rPr>
          <w:noProof/>
        </w:rPr>
        <w:pict>
          <v:group id="Group 2" o:spid="_x0000_s1026" style="position:absolute;left:0;text-align:left;margin-left:45.9pt;margin-top:12.75pt;width:266.65pt;height:266.95pt;z-index:251658240" coordorigin="2358,6249" coordsize="5333,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rudgcAABJDAAAOAAAAZHJzL2Uyb0RvYy54bWzsXN9zozYQfu9M/weGd5+R+O055+Zqxzed&#10;ubY3vbbvCmCbFgMVJE7a6f/e1UoIjO1rEjeeS0IeEhGBLC2fVrv77frtu9tNZtwkvEqLfGqSN5Zp&#10;JHlUxGm+mpq//rIYBaZR1SyPWVbkydS8Syrz3cW337zdlpOEFusiixNuwCB5NdmWU3Nd1+VkPK6i&#10;dbJh1ZuiTHLoXBZ8w2q45KtxzNkWRt9kY2pZ3nhb8LjkRZRUFfx3LjvNCxx/uUyi+qflskpqI5ua&#10;MLcaf3P8fSV+jy/essmKs3KdRmoa7BGz2LA0hw/VQ81ZzYxrnu4NtUkjXlTFsn4TFZtxsVymUYJr&#10;gNUQq7eaD7y4LnEtq8l2VWoxgWh7cnr0sNGPN5+4kcZT0zaNnG3gFeGnGlSIZluuJnDHB15+Lj9x&#10;uT5ofiyiPyroHvf7xfVK3mxcbX8oYhiOXdcFiuZ2yTdiCFi0cYtv4E6/geS2NiL4p20HnuO6phFB&#10;n22HFvVc+Y6iNbxI8Ry1XcAUdHvUCZu+S/W8a9uwDvEwtLB3zCbyg3GyanJyZXihF6nE4OyKwX5q&#10;MRxYTiOMzmIs6jRLVWIgbgB4FmKwLQXjaH1ADOrJo2KAbVe1yKpOQ9bnNSsTBGwlcKNECq9TIutn&#10;2I4sX2WJgavZlnhXA61K4srIi9ka7krec15s1wmLYVJErB7eYOcBcVEBKv8TaMQN+5JqJWwRhTVX&#10;fkSDFjYpeVV/SIqNIRpTk8PcEcbs5mNVi9m0twhUV0WWxos0y/CCr65mGTduGKidBf7gAnq3Zbmx&#10;nZqhS10c+fgQFv4cGmKT1qA/s3QzNQN9E5sIsV3mMUyTTWqWZrINU85yJUchOoH9alLfXt3CjaJ5&#10;VcR3IFFeSD0Jeh0a64L/ZRpb0JFTs/rzmvHENLLvc3grIXEcoVTxwnF9Che823PV7WF5BENNzdo0&#10;ZHNWS0V8XfJ0tYZPIiiGvHgPKmOZopDbWal5A1rlXJ8ctt4+bFEXiSkBuM8GW98CueKbbGBrh16o&#10;tBxFPa13d4vJVwFbPLhw47Y4GdCLUvH30esJFJ0Jva7nwf6B42kfvYQ6MDk8owf0msrOOk33BhSU&#10;/0vSvWDh9U0G/4zo1SaDH1rK/mx0L3XDxmQgOKVXrXuVeXwael+c5QCHcx+9wRnR69gEvBihe/fQ&#10;2+peP0Qb/FWjV3shD7R7iTC1G7uXWB3dq3qk3at6npvdS2BpffiiK30m00F7toEPhsKO4duBr/2q&#10;/TU08bQ38kD4uk4HvjvKV/U8a7eNwPHchy9A+nymLw0p2Legfgf8Ho03IH61PzLgtxMtI/QAfrWP&#10;e5bAg4osEoivo4HHJo312ypgbMGmetUGhPZJHojgHQNix3nbMSCUbn52BoSmEtqAL6D6nBoYrAOh&#10;gQcEi/15JOaLOlj7JacgeMeGeBEI1ixQB8Ha1z2DDnZsC5xIhWBF/Qw6WBI+LWuBCNauySkIJiQ4&#10;5sU9VyV8gHWDsMD5lLCOAIMS9o/6cYMZEYtjqnkvp2D45dkRmoEThCByywbRTi9o4Vn+iStA34sJ&#10;tl1fkhKeJ+ne1rCFmAemHACf+UWjtqo5E2TlrMhzYIQLLjnLI6RwXghGGAYUh/DJXC9kgyhK9wC9&#10;a9R3JWRb1DxFhh0I26m5SWKgahNIzBEtuS5hDOCygcVWLZmo8ndohZfBZeCMHOpdjhxrPh+9X8yc&#10;kbcgvju357PZnPwjGFriTNZpHCe5WFyTNEOc+6UOqPQdme6i02a0oMa7o6N/AQdf8xcnjXkALX8t&#10;94xYnQhQnY8fhvC/CjR04Kl92kfA06OBDBwM8LytB3jeO03scNYN0RxaB57aYT0Fnr7bJGU1JqnS&#10;npCQtZtzxfpZNIP6HNSnygojmiXr4FO7o4/Apz7dAyrzCvZOd1caWsdDVgM8B3gqeIpcNkkjdOCp&#10;fc1T4Bk6PsJ8H54equevE54iC3LOqrXMaYyhJQxKNhmMUmmqfCVGKdXsVwtbmT6o2NuH+kyUCkIN&#10;IlHPE7YDPL8ueGpyqwPPLrn1aHgG1O4FmZRROhz6g0u/X1pz2GeimrnqwLPLXD0Unk5oy2IV33Vw&#10;nL1D3x4iTkPEaa/y6wg8NS3VgWeXlno0PANPeu578CQ2VGPJyGFTv9UrjBl8psFnanwmzTl18Nnl&#10;nB6KTwiISuMT1GcvE2UI2A8B+6OFs0fU5wE+CUrvQLs9xDeS9UWY24tplMssLX9ratdUbSt1qSSa&#10;Qt/us/cWVK1Krkn6Zcfd/askb3kmG2vjkGcSbvcqVtEJFv8OW2S5yaBsGcoNjTAMLCQhYFx1N7Qa&#10;nS0e1VzL/0JKHYsL3L8wcWCuOswVhBFUCfWZqhxFrmo/XRbA226Kp65zpLYnTWRC7KC3WVy7qc+l&#10;FnYd3yxPU5+7s1/gw7/AnkImg/UdDUcLL/BHzsJxR6FvBSOLhN+FHmx6Z77YZU8/pnlyOnt6Mqt8&#10;/42KZqAmf8X0G1q2+XuInhXlxZioA3EkhapTshzOWW6BmxG+eAGXp74kQnyzQ/ca2t2vsrj4FwAA&#10;//8DAFBLAwQUAAYACAAAACEACb6UdOAAAAAJAQAADwAAAGRycy9kb3ducmV2LnhtbEyPwWrDMBBE&#10;74X+g9hCb40stwqNYzmE0PYUCk0KJbeNtbFNLMlYiu38fdVTcxxmmHmTrybTsoF63zirQMwSYGRL&#10;pxtbKfjevz+9AvMBrcbWWVJwJQ+r4v4ux0y70X7RsAsViyXWZ6igDqHLOPdlTQb9zHVko3dyvcEQ&#10;ZV9x3eMYy03L0ySZc4ONjQs1drSpqTzvLkbBx4jj+lm8DdvzaXM97OXnz1aQUo8P03oJLNAU/sPw&#10;hx/RoYhMR3ex2rNWwUJE8qAglRJY9OepFMCOCqRcvAAvcn77oPgFAAD//wMAUEsBAi0AFAAGAAgA&#10;AAAhALaDOJL+AAAA4QEAABMAAAAAAAAAAAAAAAAAAAAAAFtDb250ZW50X1R5cGVzXS54bWxQSwEC&#10;LQAUAAYACAAAACEAOP0h/9YAAACUAQAACwAAAAAAAAAAAAAAAAAvAQAAX3JlbHMvLnJlbHNQSwEC&#10;LQAUAAYACAAAACEAAOs67nYHAAASQwAADgAAAAAAAAAAAAAAAAAuAgAAZHJzL2Uyb0RvYy54bWxQ&#10;SwECLQAUAAYACAAAACEACb6UdOAAAAAJAQAADwAAAAAAAAAAAAAAAADQCQAAZHJzL2Rvd25yZXYu&#10;eG1sUEsFBgAAAAAEAAQA8wAAAN0KAAAAAA==&#10;">
            <v:group id="Group 3" o:spid="_x0000_s1027" style="position:absolute;left:2358;top:6249;width:5333;height:5024" coordorigin="1580,6300" coordsize="5333,5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1590;top:6300;width:5301;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D28BB" w:rsidRPr="00A60436" w:rsidRDefault="008D28BB" w:rsidP="00A60436">
                      <w:pPr>
                        <w:jc w:val="center"/>
                        <w:rPr>
                          <w:sz w:val="16"/>
                          <w:szCs w:val="16"/>
                        </w:rPr>
                      </w:pPr>
                      <w:r w:rsidRPr="00A60436">
                        <w:rPr>
                          <w:sz w:val="16"/>
                          <w:szCs w:val="16"/>
                        </w:rPr>
                        <w:t>Contributions from employees or third parties</w:t>
                      </w:r>
                    </w:p>
                  </w:txbxContent>
                </v:textbox>
              </v:rect>
              <v:rect id="Rectangle 5" o:spid="_x0000_s1029" style="position:absolute;left:1590;top:7020;width:3969;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D28BB" w:rsidRPr="00A60436" w:rsidRDefault="008D28BB" w:rsidP="00A60436">
                      <w:pPr>
                        <w:jc w:val="center"/>
                        <w:rPr>
                          <w:sz w:val="16"/>
                        </w:rPr>
                      </w:pPr>
                      <w:r w:rsidRPr="00A60436">
                        <w:rPr>
                          <w:sz w:val="16"/>
                        </w:rPr>
                        <w:t>Set out in the formal ter</w:t>
                      </w:r>
                      <w:r>
                        <w:rPr>
                          <w:sz w:val="16"/>
                        </w:rPr>
                        <w:t xml:space="preserve">ms of the plan (or arise from a </w:t>
                      </w:r>
                      <w:r w:rsidRPr="00A60436">
                        <w:rPr>
                          <w:sz w:val="16"/>
                        </w:rPr>
                        <w:t>constructive obligation that goes beyond those terms)</w:t>
                      </w:r>
                    </w:p>
                  </w:txbxContent>
                </v:textbox>
              </v:rect>
              <v:rect id="Rectangle 6" o:spid="_x0000_s1030" style="position:absolute;left:5666;top:7020;width:1247;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ljcEA&#10;AADaAAAADwAAAGRycy9kb3ducmV2LnhtbESPT4vCMBTE78J+h/AWvGlaF1SqUWRhYQ8L/gU9Pppn&#10;WmxeSpNt67c3guBxmJnfMMt1byvRUuNLxwrScQKCOHe6ZKPgdPwZzUH4gKyxckwK7uRhvfoYLDHT&#10;ruM9tYdgRISwz1BBEUKdSenzgiz6sauJo3d1jcUQZWOkbrCLcFvJSZJMpcWS40KBNX0XlN8O/1YB&#10;t5R2f9tLYk7nr935ct2lfmKUGn72mwWIQH14h1/tX61gB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nZY3BAAAA2gAAAA8AAAAAAAAAAAAAAAAAmAIAAGRycy9kb3du&#10;cmV2LnhtbFBLBQYAAAAABAAEAPUAAACGAwAAAAA=&#10;">
                <v:textbox inset=",2.3mm">
                  <w:txbxContent>
                    <w:p w:rsidR="008D28BB" w:rsidRPr="00A60436" w:rsidRDefault="008D28BB" w:rsidP="00A60436">
                      <w:pPr>
                        <w:jc w:val="center"/>
                        <w:rPr>
                          <w:sz w:val="16"/>
                        </w:rPr>
                      </w:pPr>
                      <w:r w:rsidRPr="00A60436">
                        <w:rPr>
                          <w:sz w:val="16"/>
                        </w:rPr>
                        <w:t>Discretionary</w:t>
                      </w:r>
                    </w:p>
                  </w:txbxContent>
                </v:textbox>
              </v:rect>
              <v:rect id="Rectangle 7" o:spid="_x0000_s1031" style="position:absolute;left:1590;top:7905;width:2591;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D28BB" w:rsidRPr="00A60436" w:rsidRDefault="008D28BB" w:rsidP="00A60436">
                      <w:pPr>
                        <w:jc w:val="center"/>
                        <w:rPr>
                          <w:sz w:val="16"/>
                        </w:rPr>
                      </w:pPr>
                      <w:r>
                        <w:rPr>
                          <w:sz w:val="16"/>
                        </w:rPr>
                        <w:t>Linked to service</w:t>
                      </w:r>
                    </w:p>
                  </w:txbxContent>
                </v:textbox>
              </v:rect>
              <v:rect id="Rectangle 8" o:spid="_x0000_s1032" style="position:absolute;left:4314;top:7905;width:1247;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hMMA&#10;AADaAAAADwAAAGRycy9kb3ducmV2LnhtbESPwWrDMBBE74H+g9hCLqGRk0NoXcuhBAK55BC3Jfi2&#10;tba2qLUSluI4fx8VCj0OM/OGKbaT7cVIQzCOFayWGQjixmnDrYKP9/3TM4gQkTX2jknBjQJsy4dZ&#10;gbl2Vz7RWMVWJAiHHBV0MfpcytB0ZDEsnSdO3rcbLMYkh1bqAa8Jbnu5zrKNtGg4LXToaddR81Nd&#10;rIKv88KPn8fqzGZd13ggn5mmVmr+OL29gog0xf/wX/ugFbzA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XhMMAAADaAAAADwAAAAAAAAAAAAAAAACYAgAAZHJzL2Rv&#10;d25yZXYueG1sUEsFBgAAAAAEAAQA9QAAAIgDAAAAAA==&#10;">
                <v:textbox inset=".5mm,.3mm,.5mm,.3mm">
                  <w:txbxContent>
                    <w:p w:rsidR="008D28BB" w:rsidRPr="00CA5171" w:rsidRDefault="008D28BB" w:rsidP="00CA5171">
                      <w:pPr>
                        <w:jc w:val="center"/>
                        <w:rPr>
                          <w:sz w:val="16"/>
                          <w:szCs w:val="15"/>
                        </w:rPr>
                      </w:pPr>
                      <w:r w:rsidRPr="00CA5171">
                        <w:rPr>
                          <w:sz w:val="16"/>
                          <w:szCs w:val="15"/>
                        </w:rPr>
                        <w:t>Not linked to service (for example, reduce a deficit)</w:t>
                      </w:r>
                    </w:p>
                  </w:txbxContent>
                </v:textbox>
              </v:rect>
              <v:rect id="Rectangle 9" o:spid="_x0000_s1033" style="position:absolute;left:1580;top:8747;width:1247;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8W8UA&#10;AADbAAAADwAAAGRycy9kb3ducmV2LnhtbESPT2sCQQzF7wW/wxDBi+hsRUpZHUXESikU6l88hp24&#10;u7iTWWamuv32zaHQ2wt5+eW9+bJzjbpTiLVnA8/jDBRx4W3NpYHj4W30CiomZIuNZzLwQxGWi97T&#10;HHPrH7yj+z6VSiAcczRQpdTmWseiIodx7Fti2V19cJhkDKW2AR8Cd42eZNmLdlizfKiwpXVFxW3/&#10;7YSya4fDyfTj2Gz1V3G6fk4353AxZtDvVjNQibr0b/67frcSX9JLFx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TxbxQAAANsAAAAPAAAAAAAAAAAAAAAAAJgCAABkcnMv&#10;ZG93bnJldi54bWxQSwUGAAAAAAQABAD1AAAAigMAAAAA&#10;">
                <v:textbox inset="1.5mm,,1.5mm">
                  <w:txbxContent>
                    <w:p w:rsidR="008D28BB" w:rsidRPr="00CA5171" w:rsidRDefault="008D28BB" w:rsidP="00CA5171">
                      <w:pPr>
                        <w:jc w:val="center"/>
                        <w:rPr>
                          <w:sz w:val="16"/>
                        </w:rPr>
                      </w:pPr>
                      <w:r>
                        <w:rPr>
                          <w:sz w:val="16"/>
                        </w:rPr>
                        <w:t>Dependent on the number of years of service</w:t>
                      </w:r>
                    </w:p>
                  </w:txbxContent>
                </v:textbox>
              </v:rect>
              <v:rect id="Rectangle 10" o:spid="_x0000_s1034" style="position:absolute;left:2927;top:8747;width:1247;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ZwMYA&#10;AADbAAAADwAAAGRycy9kb3ducmV2LnhtbESP3WoCMRCF7wu+QxjBG9Gsi5SyNYqILaUg1J+WXg7J&#10;uLu4mSxJXLdv3wiF3s1wzvnmzGLV20Z05EPtWMFsmoEg1s7UXCo4HV8mTyBCRDbYOCYFPxRgtRw8&#10;LLAw7sZ76g6xFAnCoUAFVYxtIWXQFVkMU9cSJ+3svMWYVl9K4/GW4LaReZY9Sos1pwsVtrSpSF8O&#10;V5so+3Y8zufvp+ZVfujP826+/fLfSo2G/foZRKQ+/pv/0m8m1Z/B/Zc0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ZwMYAAADbAAAADwAAAAAAAAAAAAAAAACYAgAAZHJz&#10;L2Rvd25yZXYueG1sUEsFBgAAAAAEAAQA9QAAAIsDAAAAAA==&#10;">
                <v:textbox inset="1.5mm,,1.5mm">
                  <w:txbxContent>
                    <w:p w:rsidR="008D28BB" w:rsidRPr="00CA5171" w:rsidRDefault="008D28BB" w:rsidP="00CA5171">
                      <w:pPr>
                        <w:jc w:val="center"/>
                        <w:rPr>
                          <w:sz w:val="16"/>
                        </w:rPr>
                      </w:pPr>
                      <w:r>
                        <w:rPr>
                          <w:sz w:val="16"/>
                        </w:rPr>
                        <w:t>Independent of the number of years of service</w:t>
                      </w:r>
                    </w:p>
                  </w:txbxContent>
                </v:textbox>
              </v:rect>
              <v:rect id="Rectangle 11" o:spid="_x0000_s1035" style="position:absolute;left:1580;top:10063;width:1247;height:1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m/b4A&#10;AADbAAAADwAAAGRycy9kb3ducmV2LnhtbERPy6rCMBDdX/AfwgjurqldaK1GEb2CWx8o7oZmbIvN&#10;pDS5tv69EQR3czjPmS87U4kHNa60rGA0jEAQZ1aXnCs4Hbe/CQjnkTVWlknBkxwsF72fOabatryn&#10;x8HnIoSwS1FB4X2dSumyggy6oa2JA3ezjUEfYJNL3WAbwk0l4ygaS4Mlh4YCa1oXlN0P/0ZB2U5W&#10;V/fXJicT50l2mW6sPW+UGvS71QyEp85/xR/3Tof5Mbx/C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Zv2+AAAA2wAAAA8AAAAAAAAAAAAAAAAAmAIAAGRycy9kb3ducmV2&#10;LnhtbFBLBQYAAAAABAAEAPUAAACDAwAAAAA=&#10;">
                <v:textbox inset=".5mm,2.3mm,.5mm">
                  <w:txbxContent>
                    <w:p w:rsidR="008D28BB" w:rsidRPr="00CA5171" w:rsidRDefault="008D28BB" w:rsidP="00CA5171">
                      <w:pPr>
                        <w:jc w:val="center"/>
                        <w:rPr>
                          <w:sz w:val="16"/>
                        </w:rPr>
                      </w:pPr>
                      <w:r w:rsidRPr="00CA5171">
                        <w:rPr>
                          <w:sz w:val="16"/>
                        </w:rPr>
                        <w:t>Reduce service cost by being attributed to periods of service (paragraph 93(a))</w:t>
                      </w:r>
                    </w:p>
                  </w:txbxContent>
                </v:textbox>
              </v:rect>
              <v:rect id="Rectangle 12" o:spid="_x0000_s1036" style="position:absolute;left:2931;top:10063;width:1247;height:1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9F8AA&#10;AADbAAAADwAAAGRycy9kb3ducmV2LnhtbERPS2sCMRC+F/wPYQQvRbPaInZrFBGUnqyP9j5sxt3F&#10;zWRJsg//vSkUvM3H95zlujeVaMn50rKC6SQBQZxZXXKu4OeyGy9A+ICssbJMCu7kYb0avCwx1bbj&#10;E7XnkIsYwj5FBUUIdSqlzwoy6Ce2Jo7c1TqDIUKXS+2wi+GmkrMkmUuDJceGAmvaFpTdzo1RcLw0&#10;19N3OzcfB31/f+VfqveBlBoN+80niEB9eIr/3V86zn+Dv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V9F8AAAADbAAAADwAAAAAAAAAAAAAAAACYAgAAZHJzL2Rvd25y&#10;ZXYueG1sUEsFBgAAAAAEAAQA9QAAAIUDAAAAAA==&#10;">
                <v:textbox inset=".5mm,,.5mm">
                  <w:txbxContent>
                    <w:p w:rsidR="008D28BB" w:rsidRPr="00CA5171" w:rsidRDefault="008D28BB" w:rsidP="00CA5171">
                      <w:pPr>
                        <w:jc w:val="center"/>
                        <w:rPr>
                          <w:sz w:val="16"/>
                        </w:rPr>
                      </w:pPr>
                      <w:r>
                        <w:rPr>
                          <w:sz w:val="16"/>
                        </w:rPr>
                        <w:t>Reduce</w:t>
                      </w:r>
                      <w:r w:rsidRPr="00CA5171">
                        <w:rPr>
                          <w:sz w:val="16"/>
                        </w:rPr>
                        <w:t xml:space="preserve"> </w:t>
                      </w:r>
                      <w:r>
                        <w:rPr>
                          <w:sz w:val="16"/>
                        </w:rPr>
                        <w:t>service cost in the period in which the related service is rendered (paragraph 93(b))</w:t>
                      </w:r>
                    </w:p>
                  </w:txbxContent>
                </v:textbox>
              </v:rect>
              <v:rect id="Rectangle 13" o:spid="_x0000_s1037" style="position:absolute;left:4309;top:10064;width:1247;height:1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ssAA&#10;AADbAAAADwAAAGRycy9kb3ducmV2LnhtbERPPWvDMBDdC/kP4gLdGjnBbYITJYRAS5cOdQtZD+ti&#10;m1gnI8m2/O+rQqHbPd7nHU7RdGIk51vLCtarDARxZXXLtYLvr9enHQgfkDV2lknBTB5Ox8XDAQtt&#10;J/6ksQy1SCHsC1TQhNAXUvqqIYN+ZXvixN2sMxgSdLXUDqcUbjq5ybIXabDl1NBgT5eGqns5GAVj&#10;Pgxx+/Fsomzddef47TIHo9TjMp73IALF8C/+c7/rND+H31/SAf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KssAAAADbAAAADwAAAAAAAAAAAAAAAACYAgAAZHJzL2Rvd25y&#10;ZXYueG1sUEsFBgAAAAAEAAQA9QAAAIUDAAAAAA==&#10;">
                <v:textbox inset=".5mm,3.3mm,.5mm">
                  <w:txbxContent>
                    <w:p w:rsidR="008D28BB" w:rsidRPr="00CA5171" w:rsidRDefault="008D28BB" w:rsidP="00CA5171">
                      <w:pPr>
                        <w:jc w:val="center"/>
                        <w:rPr>
                          <w:sz w:val="16"/>
                        </w:rPr>
                      </w:pPr>
                      <w:r>
                        <w:rPr>
                          <w:sz w:val="16"/>
                        </w:rPr>
                        <w:t xml:space="preserve">Affect remeasurements </w:t>
                      </w:r>
                      <w:r w:rsidRPr="00CA5171">
                        <w:rPr>
                          <w:sz w:val="16"/>
                        </w:rPr>
                        <w:t>(paragraph 93)</w:t>
                      </w:r>
                    </w:p>
                  </w:txbxContent>
                </v:textbox>
              </v:rect>
              <v:rect id="Rectangle 14" o:spid="_x0000_s1038" style="position:absolute;left:5666;top:10077;width:1247;height:1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icAA&#10;AADbAAAADwAAAGRycy9kb3ducmV2LnhtbERPTYvCMBC9C/6HMII3TRXUWpuK6C7sVVdWvA3N2Bab&#10;SWmytvvvN4LgbR7vc9Jtb2rxoNZVlhXMphEI4tzqigsF5+/PSQzCeWSNtWVS8EcOttlwkGKibcdH&#10;epx8IUIIuwQVlN43iZQuL8mgm9qGOHA32xr0AbaF1C12IdzUch5FS2mw4tBQYkP7kvL76dcoqLrV&#10;7uo+uvhs5kWcX9YHa38OSo1H/W4DwlPv3+KX+0uH+Qt4/hIO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f+icAAAADbAAAADwAAAAAAAAAAAAAAAACYAgAAZHJzL2Rvd25y&#10;ZXYueG1sUEsFBgAAAAAEAAQA9QAAAIUDAAAAAA==&#10;">
                <v:textbox inset=".5mm,2.3mm,.5mm">
                  <w:txbxContent>
                    <w:p w:rsidR="008D28BB" w:rsidRPr="00CA5171" w:rsidRDefault="008D28BB" w:rsidP="00CA5171">
                      <w:pPr>
                        <w:jc w:val="center"/>
                        <w:rPr>
                          <w:sz w:val="16"/>
                        </w:rPr>
                      </w:pPr>
                      <w:r>
                        <w:rPr>
                          <w:sz w:val="16"/>
                        </w:rPr>
                        <w:t xml:space="preserve">Reduce service cost upon payment to the plan </w:t>
                      </w:r>
                      <w:r>
                        <w:rPr>
                          <w:sz w:val="16"/>
                        </w:rPr>
                        <w:br/>
                      </w:r>
                      <w:r w:rsidRPr="00CA5171">
                        <w:rPr>
                          <w:sz w:val="16"/>
                        </w:rPr>
                        <w:t>(paragraph 92)</w:t>
                      </w:r>
                    </w:p>
                  </w:txbxContent>
                </v:textbox>
              </v:rect>
              <v:shapetype id="_x0000_t32" coordsize="21600,21600" o:spt="32" o:oned="t" path="m,l21600,21600e" filled="f">
                <v:path arrowok="t" fillok="f" o:connecttype="none"/>
                <o:lock v:ext="edit" shapetype="t"/>
              </v:shapetype>
              <v:shape id="AutoShape 15" o:spid="_x0000_s1039" type="#_x0000_t32" style="position:absolute;left:3576;top:6651;width:0;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6" o:spid="_x0000_s1040" type="#_x0000_t32" style="position:absolute;left:6287;top:6651;width:0;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7" o:spid="_x0000_s1041" type="#_x0000_t32" style="position:absolute;left:6287;top:7565;width:0;height:24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8" o:spid="_x0000_s1042" type="#_x0000_t32" style="position:absolute;left:3576;top:8222;width:0;height:5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9" o:spid="_x0000_s1043" type="#_x0000_t32" style="position:absolute;left:3576;top:9478;width:0;height: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In8AAAADbAAAADwAAAGRycy9kb3ducmV2LnhtbERPS2vCQBC+F/wPywje6sZgi0RXUaGl&#10;p9KqiMcxO+ZhdjZkt5r++86h4PHjey9WvWvUjbpQeTYwGSegiHNvKy4MHPZvzzNQISJbbDyTgV8K&#10;sFoOnhaYWX/nb7rtYqEkhEOGBsoY20zrkJfkMIx9SyzcxXcOo8Cu0LbDu4S7RqdJ8qodViwNJba0&#10;LSm/7n6cgbp5SetPfv86H4vTebqRpnpyMmY07NdzUJH6+BD/uz+sgVTWyxf5AX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iCJ/AAAAA2wAAAA8AAAAAAAAAAAAAAAAA&#10;oQIAAGRycy9kb3ducmV2LnhtbFBLBQYAAAAABAAEAPkAAACOAwAAAAA=&#10;">
                <v:stroke dashstyle="dash" endarrow="block"/>
              </v:shape>
              <v:shape id="AutoShape 20" o:spid="_x0000_s1044" type="#_x0000_t32" style="position:absolute;left:2211;top:9478;width:0;height: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1" o:spid="_x0000_s1045" type="#_x0000_t32" style="position:absolute;left:2211;top:8237;width:0;height:5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2" o:spid="_x0000_s1046" type="#_x0000_t32" style="position:absolute;left:4938;top:7542;width:0;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3" o:spid="_x0000_s1047" type="#_x0000_t32" style="position:absolute;left:4938;top:8699;width:0;height:13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4" o:spid="_x0000_s1048" type="#_x0000_t32" style="position:absolute;left:2871;top:7543;width:0;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49" type="#_x0000_t34" style="position:absolute;left:2526;top:9734;width:1049;height:32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AbZcUAAADbAAAADwAAAGRycy9kb3ducmV2LnhtbESPT2sCMRTE74V+h/AKvdWsOWhdjSKl&#10;fxSh1FXQ42Pz3CzdvCybVNdvbwqFHoeZ+Q0zW/SuEWfqQu1Zw3CQgSAuvam50rDfvT09gwgR2WDj&#10;mTRcKcBifn83w9z4C2/pXMRKJAiHHDXYGNtcylBachgGviVO3sl3DmOSXSVNh5cEd41UWTaSDmtO&#10;CxZberFUfhc/ToMff7xPbKaO+936VRWfir828aD140O/nIKI1Mf/8F97ZTSoEfx+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AbZcUAAADbAAAADwAAAAAAAAAA&#10;AAAAAAChAgAAZHJzL2Rvd25yZXYueG1sUEsFBgAAAAAEAAQA+QAAAJMDAAAAAA==&#10;" adj="21558">
                <v:stroke dashstyle="dash" endarrow="block"/>
              </v:shape>
            </v:group>
            <v:rect id="Rectangle 26" o:spid="_x0000_s1050" style="position:absolute;left:2368;top:11384;width:5301;height: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AcIA&#10;AADbAAAADwAAAGRycy9kb3ducmV2LnhtbESPQWvCQBSE74X+h+UVequbhNLa1FWkaBFvjeL5kX0m&#10;wezbsPuq6b/vCoLHYWa+YWaL0fXqTCF2ng3kkwwUce1tx42B/W79MgUVBdli75kM/FGExfzxYYal&#10;9Rf+oXMljUoQjiUaaEWGUutYt+QwTvxAnLyjDw4lydBoG/CS4K7XRZa9aYcdp4UWB/pqqT5Vv86A&#10;5IfXiBuZbg9SNbkN3x+rZWHM89O4/AQlNMo9fGtvrIHiHa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mQBwgAAANsAAAAPAAAAAAAAAAAAAAAAAJgCAABkcnMvZG93&#10;bnJldi54bWxQSwUGAAAAAAQABAD1AAAAhwMAAAAA&#10;" stroked="f">
              <v:textbox inset=".5mm,.3mm,.5mm,.3mm">
                <w:txbxContent>
                  <w:p w:rsidR="008D28BB" w:rsidRPr="00C32EDF" w:rsidRDefault="008D28BB">
                    <w:pPr>
                      <w:rPr>
                        <w:sz w:val="14"/>
                      </w:rPr>
                    </w:pPr>
                    <w:r w:rsidRPr="00C32EDF">
                      <w:rPr>
                        <w:sz w:val="14"/>
                      </w:rPr>
                      <w:t xml:space="preserve">(1)   This dotted arrow means that an entity is permitted to </w:t>
                    </w:r>
                    <w:r>
                      <w:rPr>
                        <w:sz w:val="14"/>
                      </w:rPr>
                      <w:t>choose either accounting.</w:t>
                    </w:r>
                  </w:p>
                </w:txbxContent>
              </v:textbox>
            </v:rect>
          </v:group>
        </w:pict>
      </w:r>
      <w:r w:rsidRPr="003624FC">
        <w:rPr>
          <w:lang w:val="en-GB"/>
        </w:rPr>
        <w:tab/>
      </w:r>
      <w:r>
        <w:rPr>
          <w:noProof/>
        </w:rPr>
      </w:r>
      <w:r w:rsidRPr="002A709E">
        <w:rPr>
          <w:noProof/>
          <w:lang w:val="en-GB" w:eastAsia="en-GB"/>
        </w:rPr>
        <w:pict>
          <v:rect id="Rectangle 27" o:spid="_x0000_s1051" style="width:277.8pt;height:27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17HwIAAD4EAAAOAAAAZHJzL2Uyb0RvYy54bWysU1Fv0zAQfkfiP1h+p0lDu3VR02nqKEIa&#10;MDH4AVfHaSwc25zdpuXX7+y0pQOeEH6wfL7z5+++u5vf7jvNdhK9sqbi41HOmTTC1spsKv7t6+rN&#10;jDMfwNSgrZEVP0jPbxevX817V8rCtlbXEhmBGF/2ruJtCK7MMi9a2YEfWScNORuLHQQycZPVCD2h&#10;dzor8vwq6y3WDq2Q3tPt/eDki4TfNFKEz03jZWC64sQtpB3Tvo57tphDuUFwrRJHGvAPLDpQhj49&#10;Q91DALZF9QdUpwRab5swErbLbNMoIVMOlM04/y2bpxacTLmQON6dZfL/D1Z82j0iU3XFC84MdFSi&#10;LyQamI2WrLiO+vTOlxT25B4xZujdgxXfPTN22VKYvEO0fSuhJlbjGJ+9eBANT0/Zuv9oa4KHbbBJ&#10;qn2DXQQkEdg+VeRwrojcBybo8u20mOVXVDhBvpMR/4Dy9NyhD++l7Vg8VByJfYKH3YMPQ+gpJNG3&#10;WtUrpXUycLNeamQ7oPZYpZUyoCwvw7RhfcVvpsU0Ib/w+UuIPK2/QXQqUJ9r1VV8dg6CMur2ztRE&#10;E8oASg9nyk6bo5BRu6EGa1sfSEe0QxPT0NGhtfiTs54auOL+xxZQcqY/GKrFzXgyiR2fjMn0uiAD&#10;Lz3rSw8YQVAVD5wNx2UYpmTrUG1a+mmccjf2jurXqKRsrO3A6kiWmjTV5jhQcQou7RT1a+wXzwAA&#10;AP//AwBQSwMEFAAGAAgAAAAhAHVj8iLZAAAABQEAAA8AAABkcnMvZG93bnJldi54bWxMj0FLw0AQ&#10;he+C/2EZwZvdWEnRmE0RpYLHNr14m2THJJqdDdlJG/31riLUy/CGN7z3Tb6eXa8ONIbOs4HrRQKK&#10;uPa248bAvtxc3YIKgmyx90wGPinAujg/yzGz/shbOuykUTGEQ4YGWpEh0zrULTkMCz8QR+/Njw4l&#10;rmOj7YjHGO56vUySlXbYcWxocaDHluqP3eQMVN1yj1/b8jlxd5sbeZnL9+n1yZjLi/nhHpTQLKdj&#10;+MGP6FBEpspPbIPqDcRH5HdGL03TFajqT+gi1//pi28AAAD//wMAUEsBAi0AFAAGAAgAAAAhALaD&#10;OJL+AAAA4QEAABMAAAAAAAAAAAAAAAAAAAAAAFtDb250ZW50X1R5cGVzXS54bWxQSwECLQAUAAYA&#10;CAAAACEAOP0h/9YAAACUAQAACwAAAAAAAAAAAAAAAAAvAQAAX3JlbHMvLnJlbHNQSwECLQAUAAYA&#10;CAAAACEAWKvdex8CAAA+BAAADgAAAAAAAAAAAAAAAAAuAgAAZHJzL2Uyb0RvYy54bWxQSwECLQAU&#10;AAYACAAAACEAdWPyItkAAAAFAQAADwAAAAAAAAAAAAAAAAB5BAAAZHJzL2Rvd25yZXYueG1sUEsF&#10;BgAAAAAEAAQA8wAAAH8FAAAAAA==&#10;">
            <w10:anchorlock/>
          </v:rect>
        </w:pict>
      </w:r>
    </w:p>
    <w:sectPr w:rsidR="008D28BB" w:rsidRPr="003624FC" w:rsidSect="00EC0B23">
      <w:headerReference w:type="even" r:id="rId10"/>
      <w:headerReference w:type="default" r:id="rId11"/>
      <w:footerReference w:type="even" r:id="rId12"/>
      <w:footerReference w:type="default" r:id="rId13"/>
      <w:pgSz w:w="11907" w:h="1683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BB" w:rsidRDefault="008D28BB">
      <w:r>
        <w:separator/>
      </w:r>
    </w:p>
  </w:endnote>
  <w:endnote w:type="continuationSeparator" w:id="0">
    <w:p w:rsidR="008D28BB" w:rsidRDefault="008D2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1</w:t>
    </w:r>
    <w:r>
      <w:rPr>
        <w:sz w:val="17"/>
        <w:lang w:val="en-GB" w:eastAsia="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3</w:t>
    </w:r>
    <w:r>
      <w:rPr>
        <w:sz w:val="17"/>
        <w:lang w:val="en-GB"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BB" w:rsidRDefault="008D28BB">
      <w:r>
        <w:separator/>
      </w:r>
    </w:p>
  </w:footnote>
  <w:footnote w:type="continuationSeparator" w:id="0">
    <w:p w:rsidR="008D28BB" w:rsidRDefault="008D2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1P"/>
      <w:tabs>
        <w:tab w:val="right" w:pos="9354"/>
      </w:tabs>
      <w:spacing w:before="0"/>
      <w:ind w:left="0"/>
      <w:jc w:val="left"/>
      <w:rPr>
        <w:sz w:val="20"/>
        <w:lang w:val="en-GB" w:eastAsia="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1P"/>
      <w:tabs>
        <w:tab w:val="right" w:pos="9354"/>
      </w:tabs>
      <w:spacing w:before="0"/>
      <w:ind w:left="0"/>
      <w:jc w:val="left"/>
      <w:rPr>
        <w:sz w:val="20"/>
        <w:lang w:val="en-GB" w:eastAsia="en-GB"/>
      </w:rPr>
    </w:pPr>
    <w:r>
      <w:rPr>
        <w:sz w:val="20"/>
        <w:lang w:val="en-GB" w:eastAsia="en-G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1P"/>
      <w:tabs>
        <w:tab w:val="right" w:pos="9354"/>
      </w:tabs>
      <w:spacing w:before="0"/>
      <w:ind w:left="0"/>
      <w:jc w:val="left"/>
      <w:rPr>
        <w:sz w:val="20"/>
        <w:lang w:val="en-GB" w:eastAsia="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B" w:rsidRDefault="008D28BB">
    <w:pPr>
      <w:pStyle w:val="IASBNormalnparaL1P"/>
      <w:tabs>
        <w:tab w:val="right" w:pos="9354"/>
      </w:tabs>
      <w:spacing w:before="0"/>
      <w:ind w:left="0"/>
      <w:jc w:val="left"/>
      <w:rPr>
        <w:sz w:val="20"/>
        <w:lang w:val="en-GB" w:eastAsia="en-GB"/>
      </w:rPr>
    </w:pPr>
    <w:r>
      <w:rPr>
        <w:sz w:val="20"/>
        <w:lang w:val="en-GB" w:eastAsia="en-GB"/>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80A"/>
    <w:rsid w:val="00070E0E"/>
    <w:rsid w:val="000B4EC8"/>
    <w:rsid w:val="000F5006"/>
    <w:rsid w:val="001F577B"/>
    <w:rsid w:val="002739D6"/>
    <w:rsid w:val="002A709E"/>
    <w:rsid w:val="003624FC"/>
    <w:rsid w:val="003A31FE"/>
    <w:rsid w:val="005311C8"/>
    <w:rsid w:val="00631375"/>
    <w:rsid w:val="006D69EC"/>
    <w:rsid w:val="00736422"/>
    <w:rsid w:val="00760AF3"/>
    <w:rsid w:val="007A4F4C"/>
    <w:rsid w:val="00882E32"/>
    <w:rsid w:val="008D28BB"/>
    <w:rsid w:val="008D4A4B"/>
    <w:rsid w:val="0094147B"/>
    <w:rsid w:val="009C0AA3"/>
    <w:rsid w:val="00A01447"/>
    <w:rsid w:val="00A60436"/>
    <w:rsid w:val="00C32EDF"/>
    <w:rsid w:val="00C9695F"/>
    <w:rsid w:val="00CA5171"/>
    <w:rsid w:val="00D4280A"/>
    <w:rsid w:val="00E30B51"/>
    <w:rsid w:val="00EC0B23"/>
    <w:rsid w:val="00F67BFF"/>
    <w:rsid w:val="00F75C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23"/>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99"/>
    <w:rsid w:val="00EC0B23"/>
    <w:pPr>
      <w:tabs>
        <w:tab w:val="left" w:pos="4253"/>
      </w:tabs>
      <w:spacing w:before="100" w:after="100"/>
      <w:jc w:val="both"/>
    </w:pPr>
    <w:rPr>
      <w:sz w:val="19"/>
      <w:szCs w:val="20"/>
    </w:rPr>
  </w:style>
  <w:style w:type="paragraph" w:customStyle="1" w:styleId="IASBNormalnpara">
    <w:name w:val="IASB Normal npara"/>
    <w:basedOn w:val="IASBNormal"/>
    <w:uiPriority w:val="99"/>
    <w:rsid w:val="00EC0B23"/>
    <w:pPr>
      <w:tabs>
        <w:tab w:val="clear" w:pos="4253"/>
      </w:tabs>
      <w:spacing w:after="0"/>
      <w:ind w:left="782" w:hanging="782"/>
    </w:pPr>
  </w:style>
  <w:style w:type="paragraph" w:customStyle="1" w:styleId="IASBSectionTitle1Ind">
    <w:name w:val="IASB Section Title 1 Ind"/>
    <w:basedOn w:val="Normal"/>
    <w:uiPriority w:val="99"/>
    <w:rsid w:val="00EC0B23"/>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Normal"/>
    <w:uiPriority w:val="99"/>
    <w:rsid w:val="00EC0B23"/>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Normal"/>
    <w:uiPriority w:val="99"/>
    <w:rsid w:val="00EC0B23"/>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uiPriority w:val="99"/>
    <w:rsid w:val="00EC0B23"/>
    <w:pPr>
      <w:spacing w:before="240"/>
      <w:ind w:left="782"/>
    </w:pPr>
  </w:style>
  <w:style w:type="paragraph" w:customStyle="1" w:styleId="IASBSectionTitle3NonInd">
    <w:name w:val="IASB Section Title 3 NonInd"/>
    <w:basedOn w:val="Normal"/>
    <w:uiPriority w:val="99"/>
    <w:rsid w:val="00EC0B23"/>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uiPriority w:val="99"/>
    <w:rsid w:val="00EC0B23"/>
    <w:pPr>
      <w:spacing w:before="240"/>
      <w:ind w:left="782"/>
    </w:pPr>
  </w:style>
  <w:style w:type="paragraph" w:customStyle="1" w:styleId="IASBSectionTitle4NonInd">
    <w:name w:val="IASB Section Title 4 NonInd"/>
    <w:basedOn w:val="Normal"/>
    <w:uiPriority w:val="99"/>
    <w:rsid w:val="00EC0B23"/>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uiPriority w:val="99"/>
    <w:rsid w:val="00EC0B23"/>
    <w:pPr>
      <w:ind w:left="782"/>
    </w:pPr>
  </w:style>
  <w:style w:type="paragraph" w:customStyle="1" w:styleId="IASBSectionTitle5NonInd">
    <w:name w:val="IASB Section Title 5 NonInd"/>
    <w:basedOn w:val="Normal"/>
    <w:uiPriority w:val="99"/>
    <w:rsid w:val="00EC0B23"/>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uiPriority w:val="99"/>
    <w:rsid w:val="00EC0B23"/>
    <w:pPr>
      <w:ind w:left="782"/>
    </w:pPr>
  </w:style>
  <w:style w:type="paragraph" w:customStyle="1" w:styleId="IASBSectionTitle6NonInd">
    <w:name w:val="IASB Section Title 6 NonInd"/>
    <w:basedOn w:val="IASBSectionTitle5NonInd"/>
    <w:uiPriority w:val="99"/>
    <w:rsid w:val="00EC0B23"/>
    <w:rPr>
      <w:b w:val="0"/>
      <w:i/>
    </w:rPr>
  </w:style>
  <w:style w:type="paragraph" w:customStyle="1" w:styleId="IASBSectionTitle6Ind">
    <w:name w:val="IASB Section Title 6 Ind"/>
    <w:basedOn w:val="IASBSectionTitle6NonInd"/>
    <w:uiPriority w:val="99"/>
    <w:rsid w:val="00EC0B23"/>
    <w:pPr>
      <w:ind w:left="782"/>
    </w:pPr>
  </w:style>
  <w:style w:type="paragraph" w:customStyle="1" w:styleId="IASBTitle">
    <w:name w:val="IASB Title"/>
    <w:uiPriority w:val="99"/>
    <w:rsid w:val="00EC0B23"/>
    <w:pPr>
      <w:keepNext/>
      <w:keepLines/>
      <w:spacing w:before="300" w:after="400"/>
    </w:pPr>
    <w:rPr>
      <w:rFonts w:cs="Arial"/>
      <w:sz w:val="36"/>
      <w:szCs w:val="20"/>
    </w:rPr>
  </w:style>
  <w:style w:type="paragraph" w:customStyle="1" w:styleId="IASBNormalnparaL1">
    <w:name w:val="IASB Normal nparaL1"/>
    <w:basedOn w:val="IASBNormalnpara"/>
    <w:uiPriority w:val="99"/>
    <w:rsid w:val="00EC0B23"/>
    <w:pPr>
      <w:ind w:left="1564"/>
    </w:pPr>
  </w:style>
  <w:style w:type="paragraph" w:customStyle="1" w:styleId="IASBNormalnparaP">
    <w:name w:val="IASB Normal nparaP"/>
    <w:basedOn w:val="IASBNormal"/>
    <w:uiPriority w:val="99"/>
    <w:rsid w:val="00EC0B23"/>
    <w:pPr>
      <w:ind w:left="782"/>
    </w:pPr>
  </w:style>
  <w:style w:type="paragraph" w:customStyle="1" w:styleId="IASBIdentifier">
    <w:name w:val="IASB Identifier"/>
    <w:basedOn w:val="IASBTitle"/>
    <w:uiPriority w:val="99"/>
    <w:rsid w:val="00EC0B23"/>
    <w:pPr>
      <w:spacing w:after="200"/>
    </w:pPr>
    <w:rPr>
      <w:rFonts w:ascii="Arial" w:hAnsi="Arial"/>
      <w:b/>
      <w:sz w:val="23"/>
    </w:rPr>
  </w:style>
  <w:style w:type="paragraph" w:customStyle="1" w:styleId="IASBTOCPrimary">
    <w:name w:val="IASB TOC Primary"/>
    <w:basedOn w:val="Normal"/>
    <w:uiPriority w:val="99"/>
    <w:rsid w:val="00EC0B23"/>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Normal"/>
    <w:uiPriority w:val="99"/>
    <w:rsid w:val="00EC0B23"/>
    <w:pPr>
      <w:spacing w:before="30" w:after="30"/>
    </w:pPr>
    <w:rPr>
      <w:rFonts w:ascii="Arial" w:hAnsi="Arial" w:cs="Arial"/>
      <w:i/>
      <w:sz w:val="18"/>
      <w:szCs w:val="20"/>
      <w:lang w:val="en-US"/>
    </w:rPr>
  </w:style>
  <w:style w:type="paragraph" w:customStyle="1" w:styleId="IASBTOCSecondary">
    <w:name w:val="IASB TOC Secondary"/>
    <w:basedOn w:val="Normal"/>
    <w:uiPriority w:val="99"/>
    <w:rsid w:val="00EC0B23"/>
    <w:pPr>
      <w:tabs>
        <w:tab w:val="right" w:pos="8647"/>
      </w:tabs>
      <w:spacing w:before="30" w:after="30"/>
    </w:pPr>
    <w:rPr>
      <w:rFonts w:ascii="Arial" w:hAnsi="Arial" w:cs="Arial"/>
      <w:b/>
      <w:sz w:val="18"/>
      <w:szCs w:val="20"/>
      <w:lang w:val="en-US"/>
    </w:rPr>
  </w:style>
  <w:style w:type="paragraph" w:customStyle="1" w:styleId="IASBTOCTertiary">
    <w:name w:val="IASB TOC Tertiary"/>
    <w:basedOn w:val="Normal"/>
    <w:uiPriority w:val="99"/>
    <w:rsid w:val="00EC0B23"/>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Normal"/>
    <w:uiPriority w:val="99"/>
    <w:rsid w:val="00EC0B23"/>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uiPriority w:val="99"/>
    <w:rsid w:val="00EC0B23"/>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99"/>
    <w:rsid w:val="00EC0B23"/>
    <w:rPr>
      <w:i/>
    </w:rPr>
  </w:style>
  <w:style w:type="paragraph" w:customStyle="1" w:styleId="IASBBlockquote">
    <w:name w:val="IASB Blockquote"/>
    <w:basedOn w:val="IASBNormal"/>
    <w:uiPriority w:val="99"/>
    <w:rsid w:val="00EC0B23"/>
    <w:pPr>
      <w:ind w:left="1565"/>
    </w:pPr>
    <w:rPr>
      <w:sz w:val="16"/>
    </w:rPr>
  </w:style>
  <w:style w:type="character" w:customStyle="1" w:styleId="IASBEduinsert">
    <w:name w:val="IASB Edu insert"/>
    <w:uiPriority w:val="99"/>
    <w:rsid w:val="00EC0B23"/>
  </w:style>
  <w:style w:type="character" w:styleId="FootnoteReference">
    <w:name w:val="footnote reference"/>
    <w:basedOn w:val="DefaultParagraphFont"/>
    <w:uiPriority w:val="99"/>
    <w:semiHidden/>
    <w:rsid w:val="00EC0B23"/>
    <w:rPr>
      <w:rFonts w:cs="Times New Roman"/>
      <w:vertAlign w:val="superscript"/>
    </w:rPr>
  </w:style>
  <w:style w:type="paragraph" w:styleId="FootnoteText">
    <w:name w:val="footnote text"/>
    <w:basedOn w:val="IASBSectionTitle2Ind"/>
    <w:next w:val="IASBBlockquote"/>
    <w:link w:val="FootnoteTextChar"/>
    <w:uiPriority w:val="99"/>
    <w:semiHidden/>
    <w:rsid w:val="00EC0B23"/>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locked/>
    <w:rsid w:val="00EC0B23"/>
    <w:rPr>
      <w:rFonts w:cs="Times New Roman"/>
      <w:sz w:val="20"/>
      <w:szCs w:val="20"/>
      <w:lang w:eastAsia="en-US"/>
    </w:rPr>
  </w:style>
  <w:style w:type="paragraph" w:customStyle="1" w:styleId="IASBNormalL1">
    <w:name w:val="IASB Normal L1"/>
    <w:basedOn w:val="IASBNormalnpara"/>
    <w:uiPriority w:val="99"/>
    <w:rsid w:val="00EC0B23"/>
  </w:style>
  <w:style w:type="paragraph" w:styleId="Header">
    <w:name w:val="header"/>
    <w:basedOn w:val="Normal"/>
    <w:link w:val="HeaderChar"/>
    <w:uiPriority w:val="99"/>
    <w:rsid w:val="00EC0B23"/>
    <w:pPr>
      <w:tabs>
        <w:tab w:val="center" w:pos="4320"/>
        <w:tab w:val="right" w:pos="8640"/>
      </w:tabs>
    </w:pPr>
  </w:style>
  <w:style w:type="character" w:customStyle="1" w:styleId="HeaderChar">
    <w:name w:val="Header Char"/>
    <w:basedOn w:val="DefaultParagraphFont"/>
    <w:link w:val="Header"/>
    <w:uiPriority w:val="99"/>
    <w:semiHidden/>
    <w:locked/>
    <w:rsid w:val="00EC0B23"/>
    <w:rPr>
      <w:rFonts w:cs="Times New Roman"/>
      <w:sz w:val="24"/>
      <w:szCs w:val="24"/>
      <w:lang w:eastAsia="en-US"/>
    </w:rPr>
  </w:style>
  <w:style w:type="paragraph" w:styleId="Footer">
    <w:name w:val="footer"/>
    <w:basedOn w:val="Normal"/>
    <w:link w:val="FooterChar"/>
    <w:uiPriority w:val="99"/>
    <w:rsid w:val="00EC0B23"/>
    <w:pPr>
      <w:tabs>
        <w:tab w:val="center" w:pos="4320"/>
        <w:tab w:val="right" w:pos="8640"/>
      </w:tabs>
    </w:pPr>
  </w:style>
  <w:style w:type="character" w:customStyle="1" w:styleId="FooterChar">
    <w:name w:val="Footer Char"/>
    <w:basedOn w:val="DefaultParagraphFont"/>
    <w:link w:val="Footer"/>
    <w:uiPriority w:val="99"/>
    <w:semiHidden/>
    <w:locked/>
    <w:rsid w:val="00EC0B23"/>
    <w:rPr>
      <w:rFonts w:cs="Times New Roman"/>
      <w:sz w:val="24"/>
      <w:szCs w:val="24"/>
      <w:lang w:eastAsia="en-US"/>
    </w:rPr>
  </w:style>
  <w:style w:type="paragraph" w:customStyle="1" w:styleId="IASBRubricL1">
    <w:name w:val="IASB RubricL1"/>
    <w:basedOn w:val="IASBRubric"/>
    <w:uiPriority w:val="99"/>
    <w:rsid w:val="00EC0B23"/>
    <w:pPr>
      <w:ind w:left="782" w:hanging="782"/>
      <w:jc w:val="left"/>
    </w:pPr>
    <w:rPr>
      <w:lang w:eastAsia="en-GB"/>
    </w:rPr>
  </w:style>
  <w:style w:type="paragraph" w:customStyle="1" w:styleId="IASBRubricL2">
    <w:name w:val="IASB RubricL2"/>
    <w:basedOn w:val="IASBRubricL1"/>
    <w:uiPriority w:val="99"/>
    <w:rsid w:val="00EC0B23"/>
    <w:pPr>
      <w:tabs>
        <w:tab w:val="left" w:pos="782"/>
      </w:tabs>
      <w:ind w:left="1565" w:hanging="1565"/>
    </w:pPr>
  </w:style>
  <w:style w:type="paragraph" w:customStyle="1" w:styleId="IASBRubricL3">
    <w:name w:val="IASB RubricL3"/>
    <w:basedOn w:val="IASBRubricL2"/>
    <w:uiPriority w:val="99"/>
    <w:rsid w:val="00EC0B23"/>
    <w:pPr>
      <w:tabs>
        <w:tab w:val="clear" w:pos="782"/>
        <w:tab w:val="left" w:pos="1565"/>
      </w:tabs>
      <w:ind w:left="2347" w:hanging="2347"/>
    </w:pPr>
  </w:style>
  <w:style w:type="paragraph" w:customStyle="1" w:styleId="IASBNormalnparaL2">
    <w:name w:val="IASB Normal nparaL2"/>
    <w:basedOn w:val="IASBNormalnparaL1"/>
    <w:uiPriority w:val="99"/>
    <w:rsid w:val="00EC0B23"/>
    <w:pPr>
      <w:ind w:left="2347"/>
    </w:pPr>
  </w:style>
  <w:style w:type="paragraph" w:customStyle="1" w:styleId="IASBNormalnparaL3">
    <w:name w:val="IASB Normal nparaL3"/>
    <w:basedOn w:val="IASBNormalnparaL2"/>
    <w:uiPriority w:val="99"/>
    <w:rsid w:val="00EC0B23"/>
    <w:pPr>
      <w:ind w:left="3129"/>
    </w:pPr>
  </w:style>
  <w:style w:type="paragraph" w:customStyle="1" w:styleId="IASBNormalnparaL4">
    <w:name w:val="IASB Normal nparaL4"/>
    <w:basedOn w:val="IASBNormalnparaL3"/>
    <w:uiPriority w:val="99"/>
    <w:rsid w:val="00EC0B23"/>
    <w:pPr>
      <w:ind w:left="3912"/>
    </w:pPr>
  </w:style>
  <w:style w:type="paragraph" w:customStyle="1" w:styleId="IASBNormalnparaL5">
    <w:name w:val="IASB Normal nparaL5"/>
    <w:basedOn w:val="IASBNormalnparaL4"/>
    <w:uiPriority w:val="99"/>
    <w:rsid w:val="00EC0B23"/>
    <w:pPr>
      <w:ind w:left="4694"/>
    </w:pPr>
  </w:style>
  <w:style w:type="paragraph" w:customStyle="1" w:styleId="IASBNormalnparaL1P">
    <w:name w:val="IASB Normal nparaL1P"/>
    <w:basedOn w:val="IASBNormalnparaL2"/>
    <w:uiPriority w:val="99"/>
    <w:rsid w:val="00EC0B23"/>
    <w:pPr>
      <w:ind w:left="1565" w:firstLine="0"/>
    </w:pPr>
  </w:style>
  <w:style w:type="paragraph" w:customStyle="1" w:styleId="IASBNormalnparaL2P">
    <w:name w:val="IASB Normal nparaL2P"/>
    <w:basedOn w:val="IASBNormalnparaL1P"/>
    <w:uiPriority w:val="99"/>
    <w:rsid w:val="00EC0B23"/>
    <w:pPr>
      <w:ind w:left="2347"/>
    </w:pPr>
  </w:style>
  <w:style w:type="paragraph" w:customStyle="1" w:styleId="IASBNormalnparaL3P">
    <w:name w:val="IASB Normal nparaL3P"/>
    <w:basedOn w:val="IASBNormalnparaL2P"/>
    <w:uiPriority w:val="99"/>
    <w:rsid w:val="00EC0B23"/>
    <w:pPr>
      <w:ind w:left="3130"/>
    </w:pPr>
  </w:style>
  <w:style w:type="paragraph" w:customStyle="1" w:styleId="IASBNormalnparaL4P">
    <w:name w:val="IASB Normal nparaL4P"/>
    <w:basedOn w:val="IASBNormalnparaL3P"/>
    <w:uiPriority w:val="99"/>
    <w:rsid w:val="00EC0B23"/>
    <w:pPr>
      <w:ind w:left="3912"/>
    </w:pPr>
  </w:style>
  <w:style w:type="paragraph" w:customStyle="1" w:styleId="IASBNormalnparaL5P">
    <w:name w:val="IASB Normal nparaL5P"/>
    <w:basedOn w:val="IASBNormalnparaL4P"/>
    <w:uiPriority w:val="99"/>
    <w:rsid w:val="00EC0B23"/>
    <w:pPr>
      <w:ind w:left="4751"/>
    </w:pPr>
  </w:style>
  <w:style w:type="paragraph" w:customStyle="1" w:styleId="IASBBlockquoteL1">
    <w:name w:val="IASB BlockquoteL1"/>
    <w:basedOn w:val="IASBBlockquote"/>
    <w:uiPriority w:val="99"/>
    <w:rsid w:val="00EC0B23"/>
    <w:pPr>
      <w:ind w:left="2347" w:hanging="782"/>
    </w:pPr>
  </w:style>
  <w:style w:type="paragraph" w:customStyle="1" w:styleId="IASBBlockquoteL2">
    <w:name w:val="IASB BlockquoteL2"/>
    <w:basedOn w:val="IASBBlockquoteL1"/>
    <w:uiPriority w:val="99"/>
    <w:rsid w:val="00EC0B23"/>
    <w:pPr>
      <w:ind w:left="3129"/>
    </w:pPr>
  </w:style>
  <w:style w:type="paragraph" w:customStyle="1" w:styleId="IASBNormalL2">
    <w:name w:val="IASB Normal L2"/>
    <w:basedOn w:val="IASBNormalL1"/>
    <w:uiPriority w:val="99"/>
    <w:rsid w:val="00EC0B23"/>
    <w:pPr>
      <w:ind w:left="1564"/>
    </w:pPr>
  </w:style>
  <w:style w:type="paragraph" w:customStyle="1" w:styleId="IASBTOCQuartery">
    <w:name w:val="IASB TOC Quartery"/>
    <w:basedOn w:val="IASBTOCTertiary"/>
    <w:uiPriority w:val="99"/>
    <w:rsid w:val="00EC0B23"/>
    <w:pPr>
      <w:ind w:left="851"/>
    </w:pPr>
  </w:style>
  <w:style w:type="paragraph" w:customStyle="1" w:styleId="IASBNoteTitle">
    <w:name w:val="IASB Note Title"/>
    <w:basedOn w:val="IASBTOCPrimary"/>
    <w:uiPriority w:val="99"/>
    <w:rsid w:val="00EC0B23"/>
    <w:pPr>
      <w:jc w:val="center"/>
    </w:pPr>
    <w:rPr>
      <w:b w:val="0"/>
      <w:caps w:val="0"/>
      <w:sz w:val="24"/>
    </w:rPr>
  </w:style>
  <w:style w:type="paragraph" w:customStyle="1" w:styleId="IASBNormalL1P">
    <w:name w:val="IASB Normal L1P"/>
    <w:basedOn w:val="IASBNormalL1"/>
    <w:uiPriority w:val="99"/>
    <w:rsid w:val="00EC0B23"/>
    <w:pPr>
      <w:ind w:firstLine="0"/>
    </w:pPr>
  </w:style>
  <w:style w:type="paragraph" w:customStyle="1" w:styleId="IASBNormalL2P">
    <w:name w:val="IASB Normal L2P"/>
    <w:basedOn w:val="IASBNormalL1P"/>
    <w:uiPriority w:val="99"/>
    <w:rsid w:val="00EC0B23"/>
    <w:pPr>
      <w:ind w:left="1565"/>
    </w:pPr>
  </w:style>
  <w:style w:type="paragraph" w:customStyle="1" w:styleId="IASBNormalnparaC">
    <w:name w:val="IASB Normal nparaC"/>
    <w:basedOn w:val="IASBNormalnpara"/>
    <w:uiPriority w:val="99"/>
    <w:rsid w:val="00EC0B23"/>
    <w:pPr>
      <w:spacing w:before="0"/>
    </w:pPr>
  </w:style>
  <w:style w:type="paragraph" w:customStyle="1" w:styleId="IASBEdupara">
    <w:name w:val="IASB Edu para"/>
    <w:basedOn w:val="IASBNormal"/>
    <w:uiPriority w:val="99"/>
    <w:rsid w:val="00EC0B23"/>
  </w:style>
  <w:style w:type="paragraph" w:customStyle="1" w:styleId="IASBTableBoldTNR">
    <w:name w:val="IASB Table Bold TNR"/>
    <w:basedOn w:val="Normal"/>
    <w:uiPriority w:val="99"/>
    <w:rsid w:val="00EC0B23"/>
    <w:pPr>
      <w:spacing w:before="120"/>
    </w:pPr>
    <w:rPr>
      <w:b/>
      <w:sz w:val="19"/>
      <w:szCs w:val="20"/>
      <w:lang w:eastAsia="en-GB"/>
    </w:rPr>
  </w:style>
  <w:style w:type="paragraph" w:customStyle="1" w:styleId="IASBTableHeaderTNR">
    <w:name w:val="IASB Table Header TNR"/>
    <w:basedOn w:val="Normal"/>
    <w:uiPriority w:val="99"/>
    <w:rsid w:val="00EC0B23"/>
    <w:pPr>
      <w:keepNext/>
      <w:spacing w:before="120" w:after="200" w:line="276" w:lineRule="auto"/>
    </w:pPr>
    <w:rPr>
      <w:sz w:val="19"/>
      <w:szCs w:val="20"/>
      <w:lang w:eastAsia="en-GB"/>
    </w:rPr>
  </w:style>
  <w:style w:type="paragraph" w:customStyle="1" w:styleId="IASBTableTNR">
    <w:name w:val="IASB Table TNR"/>
    <w:basedOn w:val="Normal"/>
    <w:uiPriority w:val="99"/>
    <w:rsid w:val="00EC0B23"/>
    <w:pPr>
      <w:spacing w:before="120"/>
    </w:pPr>
    <w:rPr>
      <w:sz w:val="19"/>
      <w:szCs w:val="20"/>
      <w:lang w:eastAsia="en-GB"/>
    </w:rPr>
  </w:style>
  <w:style w:type="paragraph" w:customStyle="1" w:styleId="IASBTableArial">
    <w:name w:val="IASB Table Arial"/>
    <w:basedOn w:val="Normal"/>
    <w:uiPriority w:val="99"/>
    <w:rsid w:val="00EC0B23"/>
    <w:pPr>
      <w:spacing w:before="120"/>
    </w:pPr>
    <w:rPr>
      <w:rFonts w:ascii="Arial" w:hAnsi="Arial"/>
      <w:sz w:val="18"/>
      <w:szCs w:val="20"/>
      <w:lang w:eastAsia="en-GB"/>
    </w:rPr>
  </w:style>
  <w:style w:type="paragraph" w:customStyle="1" w:styleId="IASBTableBoldArial">
    <w:name w:val="IASB Table Bold Arial"/>
    <w:basedOn w:val="IASBTableArial"/>
    <w:uiPriority w:val="99"/>
    <w:rsid w:val="00EC0B23"/>
    <w:rPr>
      <w:b/>
    </w:rPr>
  </w:style>
  <w:style w:type="paragraph" w:customStyle="1" w:styleId="IASBTableHeaderArial">
    <w:name w:val="IASB Table Header Arial"/>
    <w:basedOn w:val="IASBTableArial"/>
    <w:uiPriority w:val="99"/>
    <w:rsid w:val="00EC0B23"/>
    <w:pPr>
      <w:keepNext/>
      <w:spacing w:after="200" w:line="276" w:lineRule="auto"/>
    </w:pPr>
  </w:style>
  <w:style w:type="paragraph" w:styleId="BalloonText">
    <w:name w:val="Balloon Text"/>
    <w:basedOn w:val="Normal"/>
    <w:link w:val="BalloonTextChar"/>
    <w:uiPriority w:val="99"/>
    <w:semiHidden/>
    <w:rsid w:val="008D4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A4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2C7ED3-9170-4F0C-B5CC-C2E000F02EAD}"/>
</file>

<file path=customXml/itemProps2.xml><?xml version="1.0" encoding="utf-8"?>
<ds:datastoreItem xmlns:ds="http://schemas.openxmlformats.org/officeDocument/2006/customXml" ds:itemID="{7B4AD5F9-E621-4846-9C33-5CCFB977D290}"/>
</file>

<file path=customXml/itemProps3.xml><?xml version="1.0" encoding="utf-8"?>
<ds:datastoreItem xmlns:ds="http://schemas.openxmlformats.org/officeDocument/2006/customXml" ds:itemID="{3CD564C1-6A84-4D05-8D46-AFE68475C0B8}"/>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603</Words>
  <Characters>3440</Characters>
  <Application>Microsoft Office Outlook</Application>
  <DocSecurity>0</DocSecurity>
  <Lines>0</Lines>
  <Paragraphs>0</Paragraphs>
  <ScaleCrop>false</ScaleCrop>
  <Company>IFRS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 Benefit Plans: Employee Contributions</dc:title>
  <dc:subject/>
  <dc:creator>Wild, Penny</dc:creator>
  <cp:keywords/>
  <dc:description/>
  <cp:lastModifiedBy>mnowbotsing</cp:lastModifiedBy>
  <cp:revision>2</cp:revision>
  <dcterms:created xsi:type="dcterms:W3CDTF">2013-11-27T06:05:00Z</dcterms:created>
  <dcterms:modified xsi:type="dcterms:W3CDTF">2013-11-27T06:05:00Z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