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004" w:rsidRDefault="00EE4004" w:rsidP="007B70ED">
      <w:pPr>
        <w:jc w:val="center"/>
        <w:rPr>
          <w:sz w:val="24"/>
        </w:rPr>
      </w:pPr>
    </w:p>
    <w:p w:rsidR="00EE4004" w:rsidRDefault="00EE4004" w:rsidP="007B70ED">
      <w:pPr>
        <w:jc w:val="center"/>
        <w:rPr>
          <w:noProof/>
          <w:sz w:val="24"/>
          <w:lang w:val="en-US"/>
        </w:rPr>
      </w:pPr>
    </w:p>
    <w:p w:rsidR="00EE4004" w:rsidRDefault="00EE4004" w:rsidP="007B70ED">
      <w:pPr>
        <w:jc w:val="center"/>
        <w:rPr>
          <w:noProof/>
          <w:sz w:val="24"/>
          <w:lang w:val="en-US"/>
        </w:rPr>
      </w:pPr>
    </w:p>
    <w:p w:rsidR="00EE4004" w:rsidRPr="002F744F" w:rsidRDefault="00EE4004" w:rsidP="007B70ED">
      <w:pPr>
        <w:jc w:val="center"/>
        <w:rPr>
          <w:sz w:val="24"/>
        </w:rPr>
      </w:pPr>
    </w:p>
    <w:p w:rsidR="00EE4004" w:rsidRPr="002F744F" w:rsidRDefault="00EE4004">
      <w:pPr>
        <w:rPr>
          <w:rStyle w:val="ministrydescription"/>
          <w:sz w:val="24"/>
        </w:rPr>
      </w:pPr>
    </w:p>
    <w:p w:rsidR="00EE4004" w:rsidRPr="006C1403" w:rsidRDefault="00EE4004" w:rsidP="006C1403">
      <w:pPr>
        <w:jc w:val="center"/>
        <w:rPr>
          <w:rStyle w:val="ministrydescription"/>
          <w:b/>
          <w:sz w:val="40"/>
          <w:szCs w:val="40"/>
        </w:rPr>
      </w:pPr>
      <w:r w:rsidRPr="006C1403">
        <w:rPr>
          <w:rStyle w:val="ministrydescription"/>
          <w:b/>
          <w:sz w:val="40"/>
          <w:szCs w:val="40"/>
        </w:rPr>
        <w:t>FINANCIAL REPORTING COUNCIL</w:t>
      </w:r>
    </w:p>
    <w:p w:rsidR="00EE4004" w:rsidRDefault="00EE4004">
      <w:pPr>
        <w:rPr>
          <w:rStyle w:val="ministrydescription"/>
          <w:sz w:val="24"/>
        </w:rPr>
      </w:pPr>
    </w:p>
    <w:p w:rsidR="00EE4004" w:rsidRDefault="00EE4004">
      <w:pPr>
        <w:rPr>
          <w:rStyle w:val="ministrydescription"/>
          <w:sz w:val="24"/>
        </w:rPr>
      </w:pPr>
    </w:p>
    <w:p w:rsidR="00EE4004" w:rsidRPr="002F744F" w:rsidRDefault="00EE4004">
      <w:pPr>
        <w:rPr>
          <w:rStyle w:val="ministrydescription"/>
          <w:sz w:val="24"/>
        </w:rPr>
      </w:pPr>
    </w:p>
    <w:p w:rsidR="00EE4004" w:rsidRPr="002F744F" w:rsidRDefault="00EE4004">
      <w:pPr>
        <w:rPr>
          <w:rStyle w:val="ministrydescription"/>
          <w:sz w:val="24"/>
        </w:rPr>
      </w:pPr>
      <w:r>
        <w:rPr>
          <w:noProof/>
          <w:lang w:val="en-US"/>
        </w:rPr>
        <w:pict>
          <v:rect id="_x0000_s1026" style="position:absolute;margin-left:-47.25pt;margin-top:14.65pt;width:534pt;height:140.25pt;z-index:251633152" filled="f" strokecolor="#938953" strokeweight="3pt">
            <v:textbox style="mso-next-textbox:#_x0000_s1026">
              <w:txbxContent>
                <w:p w:rsidR="00EE4004" w:rsidRPr="00C45F98" w:rsidRDefault="00EE4004" w:rsidP="008A74F7">
                  <w:pPr>
                    <w:autoSpaceDE w:val="0"/>
                    <w:autoSpaceDN w:val="0"/>
                    <w:adjustRightInd w:val="0"/>
                    <w:jc w:val="center"/>
                    <w:rPr>
                      <w:rFonts w:ascii="Arial" w:hAnsi="Arial" w:cs="Arial"/>
                      <w:b/>
                      <w:color w:val="FFFFFF"/>
                      <w:sz w:val="44"/>
                      <w:szCs w:val="60"/>
                    </w:rPr>
                  </w:pPr>
                  <w:r w:rsidRPr="00C45F98">
                    <w:rPr>
                      <w:rFonts w:ascii="Arial" w:hAnsi="Arial" w:cs="Arial"/>
                      <w:b/>
                      <w:color w:val="FFFFFF"/>
                      <w:sz w:val="40"/>
                      <w:szCs w:val="60"/>
                    </w:rPr>
                    <w:t>Highlights of International Financial Reporting Standards (IFRS) and Interpretations effective for annual periods beginning on or after 1 January 2014</w:t>
                  </w:r>
                </w:p>
                <w:p w:rsidR="00EE4004" w:rsidRPr="00C45F98" w:rsidRDefault="00EE4004" w:rsidP="008A74F7">
                  <w:pPr>
                    <w:autoSpaceDE w:val="0"/>
                    <w:autoSpaceDN w:val="0"/>
                    <w:adjustRightInd w:val="0"/>
                    <w:rPr>
                      <w:rFonts w:ascii="Arial" w:hAnsi="Arial" w:cs="Arial"/>
                      <w:color w:val="FFFFFF"/>
                      <w:sz w:val="44"/>
                      <w:szCs w:val="60"/>
                    </w:rPr>
                  </w:pPr>
                  <w:r w:rsidRPr="00C45F98">
                    <w:rPr>
                      <w:rFonts w:ascii="Arial" w:hAnsi="Arial" w:cs="Arial"/>
                      <w:color w:val="FFFFFF"/>
                      <w:sz w:val="36"/>
                      <w:szCs w:val="60"/>
                    </w:rPr>
                    <w:t>Publication date: June 2014</w:t>
                  </w:r>
                </w:p>
                <w:p w:rsidR="00EE4004" w:rsidRPr="008A74F7" w:rsidRDefault="00EE4004">
                  <w:pPr>
                    <w:rPr>
                      <w:sz w:val="20"/>
                    </w:rPr>
                  </w:pPr>
                </w:p>
              </w:txbxContent>
            </v:textbox>
          </v:rect>
        </w:pict>
      </w:r>
      <w:r>
        <w:rPr>
          <w:noProof/>
          <w:lang w:val="en-US"/>
        </w:rPr>
        <w:pict>
          <v:rect id="_x0000_s1027" style="position:absolute;margin-left:-1in;margin-top:1.5pt;width:602.25pt;height:170.75pt;z-index:251632128" fillcolor="#1f497d" stroked="f">
            <v:textbox>
              <w:txbxContent>
                <w:p w:rsidR="00EE4004" w:rsidRPr="00C45F98" w:rsidRDefault="00EE4004" w:rsidP="008A74F7">
                  <w:pPr>
                    <w:autoSpaceDE w:val="0"/>
                    <w:autoSpaceDN w:val="0"/>
                    <w:adjustRightInd w:val="0"/>
                    <w:rPr>
                      <w:rFonts w:ascii="Arial" w:hAnsi="Arial" w:cs="Arial"/>
                      <w:color w:val="FFFFFF"/>
                      <w:sz w:val="48"/>
                      <w:szCs w:val="60"/>
                    </w:rPr>
                  </w:pPr>
                  <w:r w:rsidRPr="00C45F98">
                    <w:rPr>
                      <w:rFonts w:ascii="Arial" w:hAnsi="Arial" w:cs="Arial"/>
                      <w:color w:val="FFFFFF"/>
                      <w:sz w:val="52"/>
                      <w:szCs w:val="60"/>
                    </w:rPr>
                    <w:tab/>
                  </w:r>
                </w:p>
                <w:p w:rsidR="00EE4004" w:rsidRPr="00C45F98" w:rsidRDefault="00EE4004" w:rsidP="00130705">
                  <w:pPr>
                    <w:rPr>
                      <w:color w:val="FFFFFF"/>
                    </w:rPr>
                  </w:pPr>
                </w:p>
              </w:txbxContent>
            </v:textbox>
          </v:rect>
        </w:pict>
      </w:r>
    </w:p>
    <w:p w:rsidR="00EE4004" w:rsidRPr="002F744F" w:rsidRDefault="00EE4004">
      <w:pPr>
        <w:rPr>
          <w:rStyle w:val="ministrydescription"/>
          <w:sz w:val="24"/>
        </w:rPr>
      </w:pPr>
    </w:p>
    <w:p w:rsidR="00EE4004" w:rsidRPr="002F744F" w:rsidRDefault="00EE4004">
      <w:pPr>
        <w:rPr>
          <w:rStyle w:val="ministrydescription"/>
          <w:sz w:val="24"/>
        </w:rPr>
      </w:pPr>
    </w:p>
    <w:p w:rsidR="00EE4004" w:rsidRPr="002F744F" w:rsidRDefault="00EE4004">
      <w:pPr>
        <w:rPr>
          <w:rStyle w:val="ministrydescription"/>
          <w:sz w:val="24"/>
        </w:rPr>
      </w:pPr>
    </w:p>
    <w:p w:rsidR="00EE4004" w:rsidRPr="002F744F" w:rsidRDefault="00EE4004">
      <w:pPr>
        <w:rPr>
          <w:rStyle w:val="ministrydescription"/>
          <w:sz w:val="24"/>
        </w:rPr>
      </w:pPr>
    </w:p>
    <w:p w:rsidR="00EE4004" w:rsidRPr="002F744F" w:rsidRDefault="00EE4004">
      <w:pPr>
        <w:rPr>
          <w:rStyle w:val="ministrydescription"/>
          <w:sz w:val="24"/>
        </w:rPr>
      </w:pPr>
    </w:p>
    <w:p w:rsidR="00EE4004" w:rsidRPr="002F744F" w:rsidRDefault="00EE4004">
      <w:pPr>
        <w:rPr>
          <w:rStyle w:val="ministrydescription"/>
          <w:sz w:val="24"/>
        </w:rPr>
      </w:pPr>
    </w:p>
    <w:p w:rsidR="00EE4004" w:rsidRPr="002F744F" w:rsidRDefault="00EE4004">
      <w:pPr>
        <w:rPr>
          <w:rStyle w:val="ministrydescription"/>
          <w:sz w:val="24"/>
        </w:rPr>
      </w:pPr>
    </w:p>
    <w:p w:rsidR="00EE4004" w:rsidRPr="002F744F" w:rsidRDefault="00EE4004">
      <w:pPr>
        <w:rPr>
          <w:rStyle w:val="ministrydescription"/>
          <w:sz w:val="24"/>
        </w:rPr>
      </w:pPr>
    </w:p>
    <w:p w:rsidR="00EE4004" w:rsidRPr="002F744F" w:rsidRDefault="00EE4004">
      <w:pPr>
        <w:rPr>
          <w:rStyle w:val="ministrydescription"/>
          <w:sz w:val="24"/>
        </w:rPr>
      </w:pPr>
    </w:p>
    <w:p w:rsidR="00EE4004" w:rsidRPr="002F744F" w:rsidRDefault="00EE4004">
      <w:pPr>
        <w:rPr>
          <w:rStyle w:val="ministrydescription"/>
          <w:sz w:val="24"/>
        </w:rPr>
      </w:pPr>
    </w:p>
    <w:p w:rsidR="00EE4004" w:rsidRPr="002F744F" w:rsidRDefault="00EE4004">
      <w:pPr>
        <w:rPr>
          <w:rStyle w:val="ministrydescription"/>
          <w:sz w:val="24"/>
        </w:rPr>
      </w:pPr>
    </w:p>
    <w:p w:rsidR="00EE4004" w:rsidRPr="002F744F" w:rsidRDefault="00EE4004">
      <w:pPr>
        <w:rPr>
          <w:rStyle w:val="ministrydescription"/>
          <w:sz w:val="24"/>
        </w:rPr>
      </w:pPr>
    </w:p>
    <w:p w:rsidR="00EE4004" w:rsidRPr="002F744F" w:rsidRDefault="00EE4004">
      <w:pPr>
        <w:rPr>
          <w:rStyle w:val="ministrydescription"/>
          <w:sz w:val="24"/>
        </w:rPr>
      </w:pPr>
    </w:p>
    <w:p w:rsidR="00EE4004" w:rsidRPr="002F744F" w:rsidRDefault="00EE4004">
      <w:pPr>
        <w:rPr>
          <w:rStyle w:val="ministrydescription"/>
          <w:sz w:val="24"/>
        </w:rPr>
      </w:pPr>
    </w:p>
    <w:p w:rsidR="00EE4004" w:rsidRPr="002F744F" w:rsidRDefault="00EE4004">
      <w:pPr>
        <w:rPr>
          <w:rStyle w:val="ministrydescription"/>
          <w:sz w:val="24"/>
        </w:rPr>
      </w:pPr>
    </w:p>
    <w:p w:rsidR="00EE4004" w:rsidRPr="002F744F" w:rsidRDefault="00EE4004">
      <w:pPr>
        <w:rPr>
          <w:rFonts w:ascii="Arial" w:hAnsi="Arial" w:cs="Arial"/>
          <w:sz w:val="40"/>
          <w:szCs w:val="60"/>
        </w:rPr>
      </w:pPr>
    </w:p>
    <w:p w:rsidR="00EE4004" w:rsidRPr="002F744F" w:rsidRDefault="00EE4004" w:rsidP="002F744F">
      <w:pPr>
        <w:pStyle w:val="TOCHeading"/>
        <w:rPr>
          <w:sz w:val="32"/>
        </w:rPr>
      </w:pPr>
      <w:r w:rsidRPr="002F744F">
        <w:rPr>
          <w:sz w:val="36"/>
        </w:rPr>
        <w:t>Contents</w:t>
      </w:r>
      <w:bookmarkStart w:id="0" w:name="_GoBack"/>
      <w:bookmarkEnd w:id="0"/>
    </w:p>
    <w:p w:rsidR="00EE4004" w:rsidRPr="002F744F" w:rsidRDefault="00EE4004" w:rsidP="002F744F">
      <w:pPr>
        <w:rPr>
          <w:sz w:val="24"/>
        </w:rPr>
      </w:pPr>
    </w:p>
    <w:p w:rsidR="00EE4004" w:rsidRPr="00600B7E" w:rsidRDefault="00EE4004" w:rsidP="00600B7E">
      <w:pPr>
        <w:pStyle w:val="TOC1"/>
      </w:pPr>
      <w:r w:rsidRPr="00600B7E">
        <w:fldChar w:fldCharType="begin"/>
      </w:r>
      <w:r w:rsidRPr="00600B7E">
        <w:instrText xml:space="preserve"> TOC \o "1-3" \h \z \u </w:instrText>
      </w:r>
      <w:r w:rsidRPr="00600B7E">
        <w:fldChar w:fldCharType="separate"/>
      </w:r>
      <w:hyperlink w:anchor="_Toc388018654" w:history="1">
        <w:r>
          <w:rPr>
            <w:rStyle w:val="Hyperlink"/>
            <w:u w:val="none"/>
          </w:rPr>
          <w:t xml:space="preserve">Introduction                                                                                                                               </w:t>
        </w:r>
        <w:r w:rsidRPr="00600B7E">
          <w:rPr>
            <w:webHidden/>
          </w:rPr>
          <w:fldChar w:fldCharType="begin"/>
        </w:r>
        <w:r w:rsidRPr="00600B7E">
          <w:rPr>
            <w:webHidden/>
          </w:rPr>
          <w:instrText xml:space="preserve"> PAGEREF _Toc388018654 \h </w:instrText>
        </w:r>
        <w:r w:rsidRPr="00600B7E">
          <w:rPr>
            <w:webHidden/>
          </w:rPr>
          <w:fldChar w:fldCharType="separate"/>
        </w:r>
        <w:r>
          <w:rPr>
            <w:webHidden/>
          </w:rPr>
          <w:t>3</w:t>
        </w:r>
        <w:r w:rsidRPr="00600B7E">
          <w:rPr>
            <w:webHidden/>
          </w:rPr>
          <w:fldChar w:fldCharType="end"/>
        </w:r>
      </w:hyperlink>
    </w:p>
    <w:p w:rsidR="00EE4004" w:rsidRPr="00600B7E" w:rsidRDefault="00EE4004" w:rsidP="00600B7E">
      <w:pPr>
        <w:pStyle w:val="TOC1"/>
      </w:pPr>
      <w:hyperlink w:anchor="_Toc388018654" w:history="1">
        <w:r>
          <w:rPr>
            <w:rStyle w:val="Hyperlink"/>
            <w:u w:val="none"/>
          </w:rPr>
          <w:t>Investment Entities</w:t>
        </w:r>
        <w:r w:rsidRPr="00600B7E">
          <w:rPr>
            <w:rStyle w:val="Hyperlink"/>
            <w:u w:val="none"/>
          </w:rPr>
          <w:t xml:space="preserve"> (Amendments to IFRS 10, IFRS 12 and IAS 27)</w:t>
        </w:r>
        <w:r>
          <w:rPr>
            <w:webHidden/>
          </w:rPr>
          <w:t xml:space="preserve">                                     </w:t>
        </w:r>
        <w:r w:rsidRPr="00600B7E">
          <w:rPr>
            <w:webHidden/>
          </w:rPr>
          <w:t>4</w:t>
        </w:r>
      </w:hyperlink>
    </w:p>
    <w:p w:rsidR="00EE4004" w:rsidRPr="00600B7E" w:rsidRDefault="00EE4004" w:rsidP="00600B7E">
      <w:pPr>
        <w:pStyle w:val="TOC1"/>
      </w:pPr>
      <w:hyperlink w:anchor="_Toc388018661" w:history="1">
        <w:r w:rsidRPr="00600B7E">
          <w:rPr>
            <w:rStyle w:val="Hyperlink"/>
            <w:u w:val="none"/>
          </w:rPr>
          <w:t>IFRIC 21 Levies</w:t>
        </w:r>
        <w:r>
          <w:rPr>
            <w:webHidden/>
          </w:rPr>
          <w:t xml:space="preserve">                                                                                                                       </w:t>
        </w:r>
        <w:r w:rsidRPr="00600B7E">
          <w:rPr>
            <w:webHidden/>
          </w:rPr>
          <w:t>7</w:t>
        </w:r>
      </w:hyperlink>
    </w:p>
    <w:p w:rsidR="00EE4004" w:rsidRPr="00600B7E" w:rsidRDefault="00EE4004" w:rsidP="00600B7E">
      <w:pPr>
        <w:pStyle w:val="TOC1"/>
      </w:pPr>
      <w:hyperlink w:anchor="_Toc388018662" w:history="1">
        <w:r w:rsidRPr="00600B7E">
          <w:rPr>
            <w:rStyle w:val="Hyperlink"/>
            <w:u w:val="none"/>
          </w:rPr>
          <w:t>Offsetting Financial Assets and Financial Liabilities</w:t>
        </w:r>
        <w:r>
          <w:rPr>
            <w:rStyle w:val="Hyperlink"/>
            <w:u w:val="none"/>
          </w:rPr>
          <w:t xml:space="preserve"> </w:t>
        </w:r>
        <w:r w:rsidRPr="00600B7E">
          <w:rPr>
            <w:rStyle w:val="Hyperlink"/>
            <w:u w:val="none"/>
          </w:rPr>
          <w:t>(Amendments to IAS 32)</w:t>
        </w:r>
        <w:r>
          <w:rPr>
            <w:webHidden/>
          </w:rPr>
          <w:t xml:space="preserve">                     </w:t>
        </w:r>
        <w:r w:rsidRPr="00600B7E">
          <w:rPr>
            <w:webHidden/>
          </w:rPr>
          <w:t>9</w:t>
        </w:r>
      </w:hyperlink>
    </w:p>
    <w:p w:rsidR="00EE4004" w:rsidRPr="00600B7E" w:rsidRDefault="00EE4004" w:rsidP="00600B7E">
      <w:pPr>
        <w:pStyle w:val="TOC1"/>
      </w:pPr>
      <w:hyperlink w:anchor="_Toc388018663" w:history="1">
        <w:r w:rsidRPr="00600B7E">
          <w:rPr>
            <w:rStyle w:val="Hyperlink"/>
            <w:u w:val="none"/>
          </w:rPr>
          <w:t>Recoverable Amount Disclosures for Non-Financial Assets</w:t>
        </w:r>
        <w:r>
          <w:rPr>
            <w:rStyle w:val="Hyperlink"/>
            <w:u w:val="none"/>
          </w:rPr>
          <w:t xml:space="preserve"> </w:t>
        </w:r>
        <w:r w:rsidRPr="00600B7E">
          <w:rPr>
            <w:rStyle w:val="Hyperlink"/>
            <w:u w:val="none"/>
          </w:rPr>
          <w:t>(Amendments to IAS 36)</w:t>
        </w:r>
        <w:r>
          <w:rPr>
            <w:webHidden/>
          </w:rPr>
          <w:t xml:space="preserve">         </w:t>
        </w:r>
        <w:r w:rsidRPr="00600B7E">
          <w:rPr>
            <w:webHidden/>
          </w:rPr>
          <w:t>9</w:t>
        </w:r>
      </w:hyperlink>
    </w:p>
    <w:p w:rsidR="00EE4004" w:rsidRPr="00600B7E" w:rsidRDefault="00EE4004" w:rsidP="00600B7E">
      <w:pPr>
        <w:pStyle w:val="TOC1"/>
      </w:pPr>
      <w:r w:rsidRPr="00600B7E">
        <w:fldChar w:fldCharType="end"/>
      </w:r>
      <w:hyperlink w:anchor="_Toc388018663" w:history="1">
        <w:r w:rsidRPr="00600B7E">
          <w:rPr>
            <w:rStyle w:val="Hyperlink"/>
            <w:color w:val="auto"/>
            <w:u w:val="none"/>
          </w:rPr>
          <w:t>Novation of Derivatives and Continuation of Hedge Accounting</w:t>
        </w:r>
        <w:r>
          <w:rPr>
            <w:rStyle w:val="Hyperlink"/>
            <w:color w:val="auto"/>
            <w:u w:val="none"/>
          </w:rPr>
          <w:t xml:space="preserve"> </w:t>
        </w:r>
        <w:r w:rsidRPr="00600B7E">
          <w:rPr>
            <w:rStyle w:val="Hyperlink"/>
            <w:color w:val="auto"/>
            <w:u w:val="none"/>
          </w:rPr>
          <w:t>(Amendments to IAS 39)</w:t>
        </w:r>
        <w:r w:rsidRPr="00600B7E">
          <w:rPr>
            <w:webHidden/>
          </w:rPr>
          <w:t>10</w:t>
        </w:r>
      </w:hyperlink>
    </w:p>
    <w:p w:rsidR="00EE4004" w:rsidRDefault="00EE4004" w:rsidP="00600B7E">
      <w:pPr>
        <w:rPr>
          <w:lang w:val="en-US"/>
        </w:rPr>
      </w:pPr>
    </w:p>
    <w:p w:rsidR="00EE4004" w:rsidRPr="00600B7E" w:rsidRDefault="00EE4004" w:rsidP="00600B7E">
      <w:pPr>
        <w:rPr>
          <w:lang w:val="en-US"/>
        </w:rPr>
      </w:pPr>
    </w:p>
    <w:p w:rsidR="00EE4004" w:rsidRPr="002F744F" w:rsidRDefault="00EE4004" w:rsidP="002F744F">
      <w:pPr>
        <w:rPr>
          <w:sz w:val="24"/>
        </w:rPr>
      </w:pPr>
    </w:p>
    <w:p w:rsidR="00EE4004" w:rsidRPr="002F744F" w:rsidRDefault="00EE4004" w:rsidP="002F744F">
      <w:pPr>
        <w:rPr>
          <w:sz w:val="24"/>
        </w:rPr>
      </w:pPr>
    </w:p>
    <w:p w:rsidR="00EE4004" w:rsidRPr="002F744F" w:rsidRDefault="00EE4004" w:rsidP="002F744F">
      <w:pPr>
        <w:rPr>
          <w:sz w:val="24"/>
        </w:rPr>
      </w:pPr>
    </w:p>
    <w:p w:rsidR="00EE4004" w:rsidRPr="002F744F" w:rsidRDefault="00EE4004" w:rsidP="002F744F">
      <w:pPr>
        <w:rPr>
          <w:sz w:val="24"/>
        </w:rPr>
      </w:pPr>
    </w:p>
    <w:p w:rsidR="00EE4004" w:rsidRPr="002F744F" w:rsidRDefault="00EE4004" w:rsidP="002F744F">
      <w:pPr>
        <w:rPr>
          <w:sz w:val="24"/>
        </w:rPr>
      </w:pPr>
    </w:p>
    <w:p w:rsidR="00EE4004" w:rsidRPr="002F744F" w:rsidRDefault="00EE4004" w:rsidP="002F744F">
      <w:pPr>
        <w:rPr>
          <w:sz w:val="24"/>
        </w:rPr>
      </w:pPr>
    </w:p>
    <w:p w:rsidR="00EE4004" w:rsidRPr="002F744F" w:rsidRDefault="00EE4004" w:rsidP="002F744F">
      <w:pPr>
        <w:rPr>
          <w:sz w:val="24"/>
        </w:rPr>
      </w:pPr>
    </w:p>
    <w:p w:rsidR="00EE4004" w:rsidRPr="002F744F" w:rsidRDefault="00EE4004" w:rsidP="002F744F">
      <w:pPr>
        <w:rPr>
          <w:sz w:val="24"/>
        </w:rPr>
      </w:pPr>
    </w:p>
    <w:p w:rsidR="00EE4004" w:rsidRPr="002F744F" w:rsidRDefault="00EE4004" w:rsidP="002F744F">
      <w:pPr>
        <w:rPr>
          <w:sz w:val="24"/>
        </w:rPr>
      </w:pPr>
    </w:p>
    <w:p w:rsidR="00EE4004" w:rsidRPr="002F744F" w:rsidRDefault="00EE4004" w:rsidP="002F744F">
      <w:pPr>
        <w:rPr>
          <w:sz w:val="24"/>
        </w:rPr>
      </w:pPr>
    </w:p>
    <w:p w:rsidR="00EE4004" w:rsidRPr="002F744F" w:rsidRDefault="00EE4004" w:rsidP="002F744F">
      <w:pPr>
        <w:rPr>
          <w:sz w:val="24"/>
        </w:rPr>
      </w:pPr>
    </w:p>
    <w:p w:rsidR="00EE4004" w:rsidRPr="002F744F" w:rsidRDefault="00EE4004" w:rsidP="002F744F">
      <w:pPr>
        <w:rPr>
          <w:sz w:val="24"/>
        </w:rPr>
      </w:pPr>
    </w:p>
    <w:p w:rsidR="00EE4004" w:rsidRPr="002F744F" w:rsidRDefault="00EE4004" w:rsidP="002F744F">
      <w:pPr>
        <w:pStyle w:val="NoSpacing"/>
        <w:rPr>
          <w:sz w:val="24"/>
        </w:rPr>
      </w:pPr>
    </w:p>
    <w:p w:rsidR="00EE4004" w:rsidRPr="002F744F" w:rsidRDefault="00EE4004" w:rsidP="002F744F">
      <w:pPr>
        <w:pStyle w:val="NoSpacing"/>
        <w:rPr>
          <w:sz w:val="24"/>
        </w:rPr>
      </w:pPr>
    </w:p>
    <w:p w:rsidR="00EE4004" w:rsidRDefault="00EE4004">
      <w:pPr>
        <w:rPr>
          <w:sz w:val="24"/>
        </w:rPr>
        <w:sectPr w:rsidR="00EE4004" w:rsidSect="002F744F">
          <w:footerReference w:type="default" r:id="rId7"/>
          <w:pgSz w:w="11906" w:h="16838"/>
          <w:pgMar w:top="1134" w:right="1440" w:bottom="1276" w:left="1440" w:header="708" w:footer="708" w:gutter="0"/>
          <w:cols w:space="708"/>
          <w:docGrid w:linePitch="360"/>
        </w:sectPr>
      </w:pPr>
      <w:r w:rsidRPr="002F744F">
        <w:rPr>
          <w:sz w:val="24"/>
        </w:rPr>
        <w:br w:type="page"/>
      </w:r>
    </w:p>
    <w:p w:rsidR="00EE4004" w:rsidRDefault="00EE4004" w:rsidP="002F744F">
      <w:pPr>
        <w:pStyle w:val="Heading1"/>
        <w:jc w:val="center"/>
        <w:rPr>
          <w:rFonts w:ascii="Times New Roman" w:hAnsi="Times New Roman"/>
          <w:color w:val="auto"/>
          <w:szCs w:val="24"/>
        </w:rPr>
      </w:pPr>
      <w:bookmarkStart w:id="1" w:name="_Toc388018654"/>
    </w:p>
    <w:p w:rsidR="00EE4004" w:rsidRDefault="00EE4004" w:rsidP="004740EB">
      <w:pPr>
        <w:pStyle w:val="ListParagraph"/>
        <w:tabs>
          <w:tab w:val="left" w:pos="360"/>
        </w:tabs>
        <w:autoSpaceDE w:val="0"/>
        <w:autoSpaceDN w:val="0"/>
        <w:adjustRightInd w:val="0"/>
        <w:spacing w:after="0" w:line="240" w:lineRule="auto"/>
        <w:ind w:left="0"/>
        <w:rPr>
          <w:bCs/>
          <w:sz w:val="28"/>
          <w:szCs w:val="24"/>
          <w:lang w:val="en-US"/>
        </w:rPr>
      </w:pPr>
      <w:r>
        <w:rPr>
          <w:bCs/>
          <w:sz w:val="28"/>
          <w:szCs w:val="24"/>
          <w:lang w:val="en-US"/>
        </w:rPr>
        <w:t>Introduction</w:t>
      </w:r>
    </w:p>
    <w:p w:rsidR="00EE4004" w:rsidRDefault="00EE4004" w:rsidP="004740EB">
      <w:pPr>
        <w:pStyle w:val="ListParagraph"/>
        <w:tabs>
          <w:tab w:val="left" w:pos="360"/>
        </w:tabs>
        <w:autoSpaceDE w:val="0"/>
        <w:autoSpaceDN w:val="0"/>
        <w:adjustRightInd w:val="0"/>
        <w:spacing w:after="0" w:line="240" w:lineRule="auto"/>
        <w:ind w:left="0"/>
        <w:rPr>
          <w:bCs/>
          <w:sz w:val="28"/>
          <w:szCs w:val="24"/>
          <w:lang w:val="en-US"/>
        </w:rPr>
      </w:pPr>
    </w:p>
    <w:p w:rsidR="00EE4004" w:rsidRPr="004740EB" w:rsidRDefault="00EE4004" w:rsidP="004740EB">
      <w:pPr>
        <w:pStyle w:val="ListParagraph"/>
        <w:numPr>
          <w:ilvl w:val="0"/>
          <w:numId w:val="9"/>
        </w:numPr>
        <w:tabs>
          <w:tab w:val="left" w:pos="360"/>
        </w:tabs>
        <w:autoSpaceDE w:val="0"/>
        <w:autoSpaceDN w:val="0"/>
        <w:adjustRightInd w:val="0"/>
        <w:spacing w:after="0" w:line="240" w:lineRule="auto"/>
        <w:ind w:left="0" w:firstLine="0"/>
        <w:rPr>
          <w:bCs/>
          <w:sz w:val="26"/>
          <w:szCs w:val="26"/>
          <w:lang w:val="en-US"/>
        </w:rPr>
      </w:pPr>
      <w:r w:rsidRPr="004740EB">
        <w:rPr>
          <w:bCs/>
          <w:sz w:val="26"/>
          <w:szCs w:val="26"/>
          <w:lang w:val="en-US"/>
        </w:rPr>
        <w:t>Purpose of Highlights</w:t>
      </w:r>
    </w:p>
    <w:p w:rsidR="00EE4004" w:rsidRPr="00A234B8" w:rsidRDefault="00EE4004" w:rsidP="00C366DF">
      <w:pPr>
        <w:autoSpaceDE w:val="0"/>
        <w:autoSpaceDN w:val="0"/>
        <w:adjustRightInd w:val="0"/>
        <w:spacing w:after="0" w:line="240" w:lineRule="auto"/>
        <w:rPr>
          <w:rFonts w:cs="EYInterstate-Regular"/>
          <w:color w:val="302C2D"/>
          <w:sz w:val="24"/>
          <w:szCs w:val="24"/>
        </w:rPr>
      </w:pPr>
    </w:p>
    <w:p w:rsidR="00EE4004" w:rsidRDefault="00EE4004" w:rsidP="00C366DF">
      <w:pPr>
        <w:autoSpaceDE w:val="0"/>
        <w:autoSpaceDN w:val="0"/>
        <w:adjustRightInd w:val="0"/>
        <w:spacing w:after="0" w:line="240" w:lineRule="auto"/>
        <w:jc w:val="both"/>
        <w:rPr>
          <w:sz w:val="24"/>
          <w:szCs w:val="24"/>
        </w:rPr>
      </w:pPr>
      <w:r w:rsidRPr="00C366DF">
        <w:rPr>
          <w:sz w:val="24"/>
          <w:szCs w:val="24"/>
        </w:rPr>
        <w:t>The</w:t>
      </w:r>
      <w:r>
        <w:rPr>
          <w:sz w:val="24"/>
          <w:szCs w:val="24"/>
        </w:rPr>
        <w:t>se</w:t>
      </w:r>
      <w:r w:rsidRPr="00C366DF">
        <w:rPr>
          <w:sz w:val="24"/>
          <w:szCs w:val="24"/>
        </w:rPr>
        <w:t xml:space="preserve"> Highlights provide an overview of amendments </w:t>
      </w:r>
      <w:r>
        <w:rPr>
          <w:sz w:val="24"/>
          <w:szCs w:val="24"/>
        </w:rPr>
        <w:t xml:space="preserve">to </w:t>
      </w:r>
      <w:r w:rsidRPr="00C366DF">
        <w:rPr>
          <w:sz w:val="24"/>
          <w:szCs w:val="24"/>
        </w:rPr>
        <w:t>standards and</w:t>
      </w:r>
      <w:r>
        <w:rPr>
          <w:sz w:val="24"/>
          <w:szCs w:val="24"/>
        </w:rPr>
        <w:t xml:space="preserve"> interpretations effective on or after 1</w:t>
      </w:r>
      <w:r w:rsidRPr="006C1403">
        <w:rPr>
          <w:sz w:val="24"/>
          <w:szCs w:val="24"/>
          <w:vertAlign w:val="superscript"/>
        </w:rPr>
        <w:t>st</w:t>
      </w:r>
      <w:r>
        <w:rPr>
          <w:sz w:val="24"/>
          <w:szCs w:val="24"/>
        </w:rPr>
        <w:t xml:space="preserve"> </w:t>
      </w:r>
      <w:r w:rsidRPr="00C366DF">
        <w:rPr>
          <w:sz w:val="24"/>
          <w:szCs w:val="24"/>
        </w:rPr>
        <w:t>January 2014 (early application</w:t>
      </w:r>
      <w:r>
        <w:rPr>
          <w:sz w:val="24"/>
          <w:szCs w:val="24"/>
        </w:rPr>
        <w:t xml:space="preserve"> is permissible).</w:t>
      </w:r>
      <w:r w:rsidRPr="00C366DF">
        <w:rPr>
          <w:sz w:val="24"/>
          <w:szCs w:val="24"/>
        </w:rPr>
        <w:t xml:space="preserve"> </w:t>
      </w:r>
      <w:r>
        <w:rPr>
          <w:sz w:val="24"/>
          <w:szCs w:val="24"/>
        </w:rPr>
        <w:t>E</w:t>
      </w:r>
      <w:r w:rsidRPr="00C366DF">
        <w:rPr>
          <w:sz w:val="24"/>
          <w:szCs w:val="24"/>
        </w:rPr>
        <w:t>xt</w:t>
      </w:r>
      <w:r>
        <w:rPr>
          <w:sz w:val="24"/>
          <w:szCs w:val="24"/>
        </w:rPr>
        <w:t>racts from revised and amended Standards and I</w:t>
      </w:r>
      <w:r w:rsidRPr="00C366DF">
        <w:rPr>
          <w:sz w:val="24"/>
          <w:szCs w:val="24"/>
        </w:rPr>
        <w:t>nterpretations published by the IFRS Foundation</w:t>
      </w:r>
      <w:r>
        <w:rPr>
          <w:sz w:val="24"/>
          <w:szCs w:val="24"/>
        </w:rPr>
        <w:t xml:space="preserve"> are reproduced</w:t>
      </w:r>
      <w:r w:rsidRPr="00C366DF">
        <w:rPr>
          <w:sz w:val="24"/>
          <w:szCs w:val="24"/>
        </w:rPr>
        <w:t>. T</w:t>
      </w:r>
      <w:r>
        <w:rPr>
          <w:sz w:val="24"/>
          <w:szCs w:val="24"/>
        </w:rPr>
        <w:t xml:space="preserve">he objective is to provide </w:t>
      </w:r>
      <w:r w:rsidRPr="00C366DF">
        <w:rPr>
          <w:sz w:val="24"/>
          <w:szCs w:val="24"/>
        </w:rPr>
        <w:t>snapshot</w:t>
      </w:r>
      <w:r>
        <w:rPr>
          <w:sz w:val="24"/>
          <w:szCs w:val="24"/>
        </w:rPr>
        <w:t>s</w:t>
      </w:r>
      <w:r w:rsidRPr="00C366DF">
        <w:rPr>
          <w:sz w:val="24"/>
          <w:szCs w:val="24"/>
        </w:rPr>
        <w:t xml:space="preserve"> of key aspects of the changes in IFRS and their potential effects on an entity’s financial statements</w:t>
      </w:r>
      <w:r>
        <w:rPr>
          <w:sz w:val="24"/>
          <w:szCs w:val="24"/>
        </w:rPr>
        <w:t>.</w:t>
      </w:r>
      <w:r w:rsidRPr="00C366DF">
        <w:rPr>
          <w:sz w:val="24"/>
          <w:szCs w:val="24"/>
        </w:rPr>
        <w:t xml:space="preserve"> </w:t>
      </w:r>
    </w:p>
    <w:p w:rsidR="00EE4004" w:rsidRPr="00C366DF" w:rsidRDefault="00EE4004" w:rsidP="00C366DF">
      <w:pPr>
        <w:autoSpaceDE w:val="0"/>
        <w:autoSpaceDN w:val="0"/>
        <w:adjustRightInd w:val="0"/>
        <w:spacing w:after="0" w:line="240" w:lineRule="auto"/>
        <w:jc w:val="both"/>
        <w:rPr>
          <w:sz w:val="24"/>
          <w:szCs w:val="24"/>
        </w:rPr>
      </w:pPr>
    </w:p>
    <w:p w:rsidR="00EE4004" w:rsidRPr="00C366DF" w:rsidRDefault="00EE4004" w:rsidP="00C366DF">
      <w:pPr>
        <w:autoSpaceDE w:val="0"/>
        <w:autoSpaceDN w:val="0"/>
        <w:adjustRightInd w:val="0"/>
        <w:spacing w:after="0" w:line="240" w:lineRule="auto"/>
        <w:jc w:val="both"/>
        <w:rPr>
          <w:sz w:val="24"/>
          <w:szCs w:val="24"/>
        </w:rPr>
      </w:pPr>
      <w:r w:rsidRPr="00C366DF">
        <w:rPr>
          <w:sz w:val="24"/>
          <w:szCs w:val="24"/>
        </w:rPr>
        <w:t>FRC recommends that the text of the standards and/or interpretations (</w:t>
      </w:r>
      <w:r>
        <w:rPr>
          <w:sz w:val="24"/>
          <w:szCs w:val="24"/>
        </w:rPr>
        <w:t xml:space="preserve">IASB </w:t>
      </w:r>
      <w:r w:rsidRPr="00C366DF">
        <w:rPr>
          <w:sz w:val="24"/>
          <w:szCs w:val="24"/>
        </w:rPr>
        <w:t>Red Book with early application) must be consu</w:t>
      </w:r>
      <w:r>
        <w:rPr>
          <w:sz w:val="24"/>
          <w:szCs w:val="24"/>
        </w:rPr>
        <w:t>lted before application of the S</w:t>
      </w:r>
      <w:r w:rsidRPr="00C366DF">
        <w:rPr>
          <w:sz w:val="24"/>
          <w:szCs w:val="24"/>
        </w:rPr>
        <w:t>tandards.</w:t>
      </w:r>
    </w:p>
    <w:p w:rsidR="00EE4004" w:rsidRPr="00C366DF" w:rsidRDefault="00EE4004" w:rsidP="00C366DF">
      <w:pPr>
        <w:autoSpaceDE w:val="0"/>
        <w:autoSpaceDN w:val="0"/>
        <w:adjustRightInd w:val="0"/>
        <w:spacing w:after="0" w:line="240" w:lineRule="auto"/>
        <w:jc w:val="both"/>
        <w:rPr>
          <w:sz w:val="24"/>
          <w:szCs w:val="24"/>
        </w:rPr>
      </w:pPr>
    </w:p>
    <w:p w:rsidR="00EE4004" w:rsidRPr="004740EB" w:rsidRDefault="00EE4004" w:rsidP="00CA584C">
      <w:pPr>
        <w:pStyle w:val="ListParagraph"/>
        <w:numPr>
          <w:ilvl w:val="0"/>
          <w:numId w:val="9"/>
        </w:numPr>
        <w:tabs>
          <w:tab w:val="left" w:pos="360"/>
        </w:tabs>
        <w:autoSpaceDE w:val="0"/>
        <w:autoSpaceDN w:val="0"/>
        <w:adjustRightInd w:val="0"/>
        <w:spacing w:after="0" w:line="240" w:lineRule="auto"/>
        <w:ind w:left="0" w:firstLine="0"/>
        <w:rPr>
          <w:bCs/>
          <w:sz w:val="26"/>
          <w:szCs w:val="26"/>
          <w:lang w:val="en-US"/>
        </w:rPr>
      </w:pPr>
      <w:r w:rsidRPr="004740EB">
        <w:rPr>
          <w:bCs/>
          <w:sz w:val="26"/>
          <w:szCs w:val="26"/>
          <w:lang w:val="en-US"/>
        </w:rPr>
        <w:t>Snapshots of Amendments</w:t>
      </w:r>
    </w:p>
    <w:p w:rsidR="00EE4004" w:rsidRPr="00844878" w:rsidRDefault="00EE4004" w:rsidP="00C366DF">
      <w:pPr>
        <w:pStyle w:val="ListParagraph"/>
        <w:autoSpaceDE w:val="0"/>
        <w:autoSpaceDN w:val="0"/>
        <w:adjustRightInd w:val="0"/>
        <w:spacing w:after="0" w:line="240" w:lineRule="auto"/>
        <w:ind w:left="0"/>
        <w:jc w:val="both"/>
        <w:rPr>
          <w:rFonts w:cs="EYInterstate-Light"/>
          <w:b w:val="0"/>
          <w:color w:val="302C2D"/>
          <w:sz w:val="24"/>
          <w:szCs w:val="24"/>
        </w:rPr>
      </w:pPr>
    </w:p>
    <w:p w:rsidR="00EE4004" w:rsidRPr="00C366DF" w:rsidRDefault="00EE4004" w:rsidP="00C366DF">
      <w:pPr>
        <w:autoSpaceDE w:val="0"/>
        <w:autoSpaceDN w:val="0"/>
        <w:adjustRightInd w:val="0"/>
        <w:spacing w:after="0" w:line="240" w:lineRule="auto"/>
        <w:jc w:val="both"/>
        <w:rPr>
          <w:sz w:val="24"/>
          <w:szCs w:val="24"/>
        </w:rPr>
      </w:pPr>
      <w:r>
        <w:rPr>
          <w:sz w:val="24"/>
          <w:szCs w:val="24"/>
        </w:rPr>
        <w:t>These</w:t>
      </w:r>
      <w:r w:rsidRPr="00C366DF">
        <w:rPr>
          <w:sz w:val="24"/>
          <w:szCs w:val="24"/>
        </w:rPr>
        <w:t xml:space="preserve"> provide</w:t>
      </w:r>
      <w:r>
        <w:rPr>
          <w:sz w:val="24"/>
          <w:szCs w:val="24"/>
        </w:rPr>
        <w:t xml:space="preserve"> snapshots of </w:t>
      </w:r>
      <w:r w:rsidRPr="00C366DF">
        <w:rPr>
          <w:sz w:val="24"/>
          <w:szCs w:val="24"/>
        </w:rPr>
        <w:t>the key requirements of each pronouncement issued by the IASB and the IFRS Interpretations Committee (Interpretations Committee)</w:t>
      </w:r>
      <w:r>
        <w:rPr>
          <w:sz w:val="24"/>
          <w:szCs w:val="24"/>
        </w:rPr>
        <w:t>, effective for annual periods beginning on or after 1st January 2014 and takes into consideration the Mauritian context.</w:t>
      </w:r>
    </w:p>
    <w:p w:rsidR="00EE4004" w:rsidRDefault="00EE4004" w:rsidP="00C366DF">
      <w:pPr>
        <w:autoSpaceDE w:val="0"/>
        <w:autoSpaceDN w:val="0"/>
        <w:adjustRightInd w:val="0"/>
        <w:spacing w:after="0" w:line="240" w:lineRule="auto"/>
        <w:jc w:val="both"/>
        <w:rPr>
          <w:sz w:val="24"/>
          <w:szCs w:val="24"/>
        </w:rPr>
      </w:pPr>
    </w:p>
    <w:p w:rsidR="00EE4004" w:rsidRPr="00E1248F" w:rsidRDefault="00EE4004" w:rsidP="00C366DF">
      <w:pPr>
        <w:autoSpaceDE w:val="0"/>
        <w:autoSpaceDN w:val="0"/>
        <w:adjustRightInd w:val="0"/>
        <w:spacing w:after="0" w:line="240" w:lineRule="auto"/>
        <w:jc w:val="both"/>
        <w:rPr>
          <w:sz w:val="24"/>
          <w:szCs w:val="24"/>
        </w:rPr>
      </w:pPr>
      <w:r w:rsidRPr="00E1248F">
        <w:rPr>
          <w:sz w:val="24"/>
          <w:szCs w:val="24"/>
        </w:rPr>
        <w:t>They are</w:t>
      </w:r>
      <w:r>
        <w:rPr>
          <w:sz w:val="24"/>
          <w:szCs w:val="24"/>
        </w:rPr>
        <w:t xml:space="preserve"> amendments to</w:t>
      </w:r>
      <w:r w:rsidRPr="00E1248F">
        <w:rPr>
          <w:sz w:val="24"/>
          <w:szCs w:val="24"/>
        </w:rPr>
        <w:t>:</w:t>
      </w:r>
    </w:p>
    <w:p w:rsidR="00EE4004" w:rsidRPr="00E1248F" w:rsidRDefault="00EE4004" w:rsidP="00C366DF">
      <w:pPr>
        <w:autoSpaceDE w:val="0"/>
        <w:autoSpaceDN w:val="0"/>
        <w:adjustRightInd w:val="0"/>
        <w:spacing w:after="0" w:line="240" w:lineRule="auto"/>
        <w:jc w:val="both"/>
        <w:rPr>
          <w:sz w:val="24"/>
          <w:szCs w:val="24"/>
        </w:rPr>
      </w:pPr>
    </w:p>
    <w:p w:rsidR="00EE4004" w:rsidRPr="00E1248F" w:rsidRDefault="00EE4004" w:rsidP="00113F43">
      <w:pPr>
        <w:autoSpaceDE w:val="0"/>
        <w:autoSpaceDN w:val="0"/>
        <w:adjustRightInd w:val="0"/>
        <w:spacing w:after="0" w:line="240" w:lineRule="auto"/>
        <w:ind w:left="360"/>
        <w:jc w:val="both"/>
        <w:rPr>
          <w:sz w:val="24"/>
          <w:szCs w:val="24"/>
        </w:rPr>
      </w:pPr>
      <w:r w:rsidRPr="00E1248F">
        <w:rPr>
          <w:sz w:val="24"/>
          <w:szCs w:val="24"/>
        </w:rPr>
        <w:t>IFRS 10, Consolidated Financial Statements</w:t>
      </w:r>
    </w:p>
    <w:p w:rsidR="00EE4004" w:rsidRPr="00E1248F" w:rsidRDefault="00EE4004" w:rsidP="00113F43">
      <w:pPr>
        <w:autoSpaceDE w:val="0"/>
        <w:autoSpaceDN w:val="0"/>
        <w:adjustRightInd w:val="0"/>
        <w:spacing w:after="0" w:line="240" w:lineRule="auto"/>
        <w:ind w:left="360"/>
        <w:jc w:val="both"/>
        <w:rPr>
          <w:sz w:val="24"/>
          <w:szCs w:val="24"/>
        </w:rPr>
      </w:pPr>
      <w:r w:rsidRPr="00E1248F">
        <w:rPr>
          <w:sz w:val="24"/>
          <w:szCs w:val="24"/>
        </w:rPr>
        <w:t>IFRS 12, Disclosure of Interests in Other Entities</w:t>
      </w:r>
    </w:p>
    <w:p w:rsidR="00EE4004" w:rsidRPr="00E1248F" w:rsidRDefault="00EE4004" w:rsidP="00113F43">
      <w:pPr>
        <w:autoSpaceDE w:val="0"/>
        <w:autoSpaceDN w:val="0"/>
        <w:adjustRightInd w:val="0"/>
        <w:spacing w:after="0" w:line="240" w:lineRule="auto"/>
        <w:ind w:left="360"/>
        <w:jc w:val="both"/>
        <w:rPr>
          <w:sz w:val="24"/>
          <w:szCs w:val="24"/>
        </w:rPr>
      </w:pPr>
      <w:r w:rsidRPr="00E1248F">
        <w:rPr>
          <w:sz w:val="24"/>
          <w:szCs w:val="24"/>
        </w:rPr>
        <w:t>IFRS 27, Separate Financial Statements</w:t>
      </w:r>
    </w:p>
    <w:p w:rsidR="00EE4004" w:rsidRPr="00E1248F" w:rsidRDefault="00EE4004" w:rsidP="00113F43">
      <w:pPr>
        <w:autoSpaceDE w:val="0"/>
        <w:autoSpaceDN w:val="0"/>
        <w:adjustRightInd w:val="0"/>
        <w:spacing w:after="0" w:line="240" w:lineRule="auto"/>
        <w:ind w:left="360"/>
        <w:jc w:val="both"/>
        <w:rPr>
          <w:sz w:val="24"/>
          <w:szCs w:val="24"/>
        </w:rPr>
      </w:pPr>
      <w:r w:rsidRPr="00E1248F">
        <w:rPr>
          <w:sz w:val="24"/>
          <w:szCs w:val="24"/>
        </w:rPr>
        <w:t>IFRIC 21, Levies</w:t>
      </w:r>
    </w:p>
    <w:p w:rsidR="00EE4004" w:rsidRPr="00DB3AE3" w:rsidRDefault="00EE4004" w:rsidP="00113F43">
      <w:pPr>
        <w:autoSpaceDE w:val="0"/>
        <w:autoSpaceDN w:val="0"/>
        <w:adjustRightInd w:val="0"/>
        <w:spacing w:after="0" w:line="240" w:lineRule="auto"/>
        <w:ind w:left="360"/>
        <w:jc w:val="both"/>
        <w:rPr>
          <w:sz w:val="24"/>
          <w:szCs w:val="24"/>
          <w:highlight w:val="yellow"/>
        </w:rPr>
      </w:pPr>
    </w:p>
    <w:p w:rsidR="00EE4004" w:rsidRDefault="00EE4004" w:rsidP="00C366DF">
      <w:pPr>
        <w:autoSpaceDE w:val="0"/>
        <w:autoSpaceDN w:val="0"/>
        <w:adjustRightInd w:val="0"/>
        <w:spacing w:after="0" w:line="240" w:lineRule="auto"/>
        <w:jc w:val="both"/>
        <w:rPr>
          <w:sz w:val="24"/>
          <w:szCs w:val="24"/>
        </w:rPr>
      </w:pPr>
      <w:r w:rsidRPr="00E1248F">
        <w:rPr>
          <w:sz w:val="24"/>
          <w:szCs w:val="24"/>
        </w:rPr>
        <w:t xml:space="preserve">There are also Amendments to IAS 32 Financial Instruments: Presentation; IAS 36 Impairment of Assets; and IAS 39 Financial Instruments: Recognition and measurement, effective </w:t>
      </w:r>
      <w:r>
        <w:rPr>
          <w:sz w:val="24"/>
          <w:szCs w:val="24"/>
        </w:rPr>
        <w:t xml:space="preserve">for annual periods beginning on or after </w:t>
      </w:r>
      <w:r w:rsidRPr="00E1248F">
        <w:rPr>
          <w:sz w:val="24"/>
          <w:szCs w:val="24"/>
        </w:rPr>
        <w:t>1</w:t>
      </w:r>
      <w:r w:rsidRPr="00E1248F">
        <w:rPr>
          <w:sz w:val="24"/>
          <w:szCs w:val="24"/>
          <w:vertAlign w:val="superscript"/>
        </w:rPr>
        <w:t>st</w:t>
      </w:r>
      <w:r w:rsidRPr="00E1248F">
        <w:rPr>
          <w:sz w:val="24"/>
          <w:szCs w:val="24"/>
        </w:rPr>
        <w:t xml:space="preserve"> January 2014.</w:t>
      </w:r>
    </w:p>
    <w:p w:rsidR="00EE4004" w:rsidRDefault="00EE4004" w:rsidP="00C366DF">
      <w:pPr>
        <w:autoSpaceDE w:val="0"/>
        <w:autoSpaceDN w:val="0"/>
        <w:adjustRightInd w:val="0"/>
        <w:spacing w:after="0" w:line="240" w:lineRule="auto"/>
        <w:jc w:val="both"/>
        <w:rPr>
          <w:sz w:val="24"/>
          <w:szCs w:val="24"/>
        </w:rPr>
      </w:pPr>
    </w:p>
    <w:p w:rsidR="00EE4004" w:rsidRPr="004740EB" w:rsidRDefault="00EE4004" w:rsidP="004740EB">
      <w:pPr>
        <w:pStyle w:val="ListParagraph"/>
        <w:numPr>
          <w:ilvl w:val="0"/>
          <w:numId w:val="9"/>
        </w:numPr>
        <w:tabs>
          <w:tab w:val="left" w:pos="360"/>
        </w:tabs>
        <w:autoSpaceDE w:val="0"/>
        <w:autoSpaceDN w:val="0"/>
        <w:adjustRightInd w:val="0"/>
        <w:spacing w:after="0" w:line="240" w:lineRule="auto"/>
        <w:ind w:left="0" w:firstLine="0"/>
        <w:rPr>
          <w:bCs/>
          <w:sz w:val="26"/>
          <w:szCs w:val="26"/>
          <w:lang w:val="en-US"/>
        </w:rPr>
      </w:pPr>
      <w:r w:rsidRPr="004740EB">
        <w:rPr>
          <w:bCs/>
          <w:sz w:val="26"/>
          <w:szCs w:val="26"/>
          <w:lang w:val="en-US"/>
        </w:rPr>
        <w:t>Practical implication on Financial Statements</w:t>
      </w:r>
    </w:p>
    <w:p w:rsidR="00EE4004" w:rsidRPr="00C366DF" w:rsidRDefault="00EE4004" w:rsidP="00C366DF">
      <w:pPr>
        <w:autoSpaceDE w:val="0"/>
        <w:autoSpaceDN w:val="0"/>
        <w:adjustRightInd w:val="0"/>
        <w:spacing w:after="0" w:line="240" w:lineRule="auto"/>
        <w:jc w:val="both"/>
        <w:rPr>
          <w:sz w:val="24"/>
          <w:szCs w:val="24"/>
        </w:rPr>
      </w:pPr>
    </w:p>
    <w:p w:rsidR="00EE4004" w:rsidRPr="00C366DF" w:rsidRDefault="00EE4004" w:rsidP="00C366DF">
      <w:pPr>
        <w:autoSpaceDE w:val="0"/>
        <w:autoSpaceDN w:val="0"/>
        <w:adjustRightInd w:val="0"/>
        <w:spacing w:after="0" w:line="240" w:lineRule="auto"/>
        <w:jc w:val="both"/>
        <w:rPr>
          <w:sz w:val="24"/>
          <w:szCs w:val="24"/>
        </w:rPr>
      </w:pPr>
      <w:r w:rsidRPr="00C366DF">
        <w:rPr>
          <w:sz w:val="24"/>
          <w:szCs w:val="24"/>
        </w:rPr>
        <w:t>This overview provides a summary of the potential effect that the changes may have on an entity’s financial statements.</w:t>
      </w:r>
    </w:p>
    <w:p w:rsidR="00EE4004" w:rsidRDefault="00EE4004" w:rsidP="00C366DF">
      <w:pPr>
        <w:autoSpaceDE w:val="0"/>
        <w:autoSpaceDN w:val="0"/>
        <w:adjustRightInd w:val="0"/>
        <w:spacing w:after="0" w:line="240" w:lineRule="auto"/>
        <w:jc w:val="both"/>
        <w:rPr>
          <w:sz w:val="24"/>
          <w:szCs w:val="24"/>
        </w:rPr>
      </w:pPr>
    </w:p>
    <w:p w:rsidR="00EE4004" w:rsidRDefault="00EE4004" w:rsidP="00C366DF">
      <w:pPr>
        <w:autoSpaceDE w:val="0"/>
        <w:autoSpaceDN w:val="0"/>
        <w:adjustRightInd w:val="0"/>
        <w:spacing w:after="0" w:line="240" w:lineRule="auto"/>
        <w:jc w:val="both"/>
        <w:rPr>
          <w:sz w:val="24"/>
          <w:szCs w:val="24"/>
        </w:rPr>
      </w:pPr>
    </w:p>
    <w:p w:rsidR="00EE4004" w:rsidRDefault="00EE4004" w:rsidP="00C366DF">
      <w:pPr>
        <w:autoSpaceDE w:val="0"/>
        <w:autoSpaceDN w:val="0"/>
        <w:adjustRightInd w:val="0"/>
        <w:spacing w:after="0" w:line="240" w:lineRule="auto"/>
        <w:jc w:val="both"/>
        <w:rPr>
          <w:sz w:val="24"/>
          <w:szCs w:val="24"/>
        </w:rPr>
      </w:pPr>
    </w:p>
    <w:p w:rsidR="00EE4004" w:rsidRDefault="00EE4004" w:rsidP="00C366DF">
      <w:pPr>
        <w:autoSpaceDE w:val="0"/>
        <w:autoSpaceDN w:val="0"/>
        <w:adjustRightInd w:val="0"/>
        <w:spacing w:after="0" w:line="240" w:lineRule="auto"/>
        <w:jc w:val="both"/>
        <w:rPr>
          <w:sz w:val="24"/>
          <w:szCs w:val="24"/>
        </w:rPr>
      </w:pPr>
    </w:p>
    <w:p w:rsidR="00EE4004" w:rsidRDefault="00EE4004" w:rsidP="00C366DF">
      <w:pPr>
        <w:autoSpaceDE w:val="0"/>
        <w:autoSpaceDN w:val="0"/>
        <w:adjustRightInd w:val="0"/>
        <w:spacing w:after="0" w:line="240" w:lineRule="auto"/>
        <w:jc w:val="both"/>
        <w:rPr>
          <w:sz w:val="24"/>
          <w:szCs w:val="24"/>
        </w:rPr>
      </w:pPr>
    </w:p>
    <w:p w:rsidR="00EE4004" w:rsidRDefault="00EE4004" w:rsidP="00C366DF">
      <w:pPr>
        <w:autoSpaceDE w:val="0"/>
        <w:autoSpaceDN w:val="0"/>
        <w:adjustRightInd w:val="0"/>
        <w:spacing w:after="0" w:line="240" w:lineRule="auto"/>
        <w:jc w:val="both"/>
        <w:rPr>
          <w:sz w:val="24"/>
          <w:szCs w:val="24"/>
        </w:rPr>
      </w:pPr>
    </w:p>
    <w:p w:rsidR="00EE4004" w:rsidRDefault="00EE4004" w:rsidP="00C366DF">
      <w:pPr>
        <w:autoSpaceDE w:val="0"/>
        <w:autoSpaceDN w:val="0"/>
        <w:adjustRightInd w:val="0"/>
        <w:spacing w:after="0" w:line="240" w:lineRule="auto"/>
        <w:jc w:val="both"/>
        <w:rPr>
          <w:sz w:val="24"/>
          <w:szCs w:val="24"/>
        </w:rPr>
      </w:pPr>
    </w:p>
    <w:p w:rsidR="00EE4004" w:rsidRDefault="00EE4004" w:rsidP="00C366DF">
      <w:pPr>
        <w:autoSpaceDE w:val="0"/>
        <w:autoSpaceDN w:val="0"/>
        <w:adjustRightInd w:val="0"/>
        <w:spacing w:after="0" w:line="240" w:lineRule="auto"/>
        <w:jc w:val="both"/>
        <w:rPr>
          <w:sz w:val="24"/>
          <w:szCs w:val="24"/>
        </w:rPr>
      </w:pPr>
    </w:p>
    <w:p w:rsidR="00EE4004" w:rsidRDefault="00EE4004" w:rsidP="00C366DF">
      <w:pPr>
        <w:autoSpaceDE w:val="0"/>
        <w:autoSpaceDN w:val="0"/>
        <w:adjustRightInd w:val="0"/>
        <w:spacing w:after="0" w:line="240" w:lineRule="auto"/>
        <w:jc w:val="both"/>
        <w:rPr>
          <w:sz w:val="24"/>
          <w:szCs w:val="24"/>
        </w:rPr>
      </w:pPr>
    </w:p>
    <w:p w:rsidR="00EE4004" w:rsidRDefault="00EE4004" w:rsidP="00C366DF">
      <w:pPr>
        <w:autoSpaceDE w:val="0"/>
        <w:autoSpaceDN w:val="0"/>
        <w:adjustRightInd w:val="0"/>
        <w:spacing w:after="0" w:line="240" w:lineRule="auto"/>
        <w:jc w:val="both"/>
        <w:rPr>
          <w:sz w:val="24"/>
          <w:szCs w:val="24"/>
        </w:rPr>
      </w:pPr>
    </w:p>
    <w:p w:rsidR="00EE4004" w:rsidRDefault="00EE4004" w:rsidP="00C366DF">
      <w:pPr>
        <w:autoSpaceDE w:val="0"/>
        <w:autoSpaceDN w:val="0"/>
        <w:adjustRightInd w:val="0"/>
        <w:spacing w:after="0" w:line="240" w:lineRule="auto"/>
        <w:jc w:val="both"/>
        <w:rPr>
          <w:sz w:val="24"/>
          <w:szCs w:val="24"/>
        </w:rPr>
      </w:pPr>
    </w:p>
    <w:p w:rsidR="00EE4004" w:rsidRDefault="00EE4004" w:rsidP="00C366DF">
      <w:pPr>
        <w:autoSpaceDE w:val="0"/>
        <w:autoSpaceDN w:val="0"/>
        <w:adjustRightInd w:val="0"/>
        <w:spacing w:after="0" w:line="240" w:lineRule="auto"/>
        <w:jc w:val="both"/>
        <w:rPr>
          <w:sz w:val="24"/>
          <w:szCs w:val="24"/>
        </w:rPr>
      </w:pPr>
    </w:p>
    <w:p w:rsidR="00EE4004" w:rsidRDefault="00EE4004" w:rsidP="00C366DF">
      <w:pPr>
        <w:autoSpaceDE w:val="0"/>
        <w:autoSpaceDN w:val="0"/>
        <w:adjustRightInd w:val="0"/>
        <w:spacing w:after="0" w:line="240" w:lineRule="auto"/>
        <w:jc w:val="both"/>
        <w:rPr>
          <w:sz w:val="24"/>
          <w:szCs w:val="24"/>
        </w:rPr>
      </w:pPr>
    </w:p>
    <w:p w:rsidR="00EE4004" w:rsidRDefault="00EE4004" w:rsidP="00C366DF">
      <w:pPr>
        <w:autoSpaceDE w:val="0"/>
        <w:autoSpaceDN w:val="0"/>
        <w:adjustRightInd w:val="0"/>
        <w:spacing w:after="0" w:line="240" w:lineRule="auto"/>
        <w:jc w:val="both"/>
        <w:rPr>
          <w:sz w:val="24"/>
          <w:szCs w:val="24"/>
        </w:rPr>
      </w:pPr>
    </w:p>
    <w:p w:rsidR="00EE4004" w:rsidRDefault="00EE4004" w:rsidP="00C366DF">
      <w:pPr>
        <w:autoSpaceDE w:val="0"/>
        <w:autoSpaceDN w:val="0"/>
        <w:adjustRightInd w:val="0"/>
        <w:spacing w:after="0" w:line="240" w:lineRule="auto"/>
        <w:jc w:val="both"/>
        <w:rPr>
          <w:sz w:val="24"/>
          <w:szCs w:val="24"/>
        </w:rPr>
      </w:pPr>
    </w:p>
    <w:p w:rsidR="00EE4004" w:rsidRPr="002F744F" w:rsidRDefault="00EE4004" w:rsidP="002F744F">
      <w:pPr>
        <w:pStyle w:val="Heading1"/>
        <w:jc w:val="center"/>
        <w:rPr>
          <w:rFonts w:ascii="Times New Roman" w:hAnsi="Times New Roman"/>
          <w:color w:val="auto"/>
          <w:szCs w:val="24"/>
        </w:rPr>
      </w:pPr>
      <w:r w:rsidRPr="002F744F">
        <w:rPr>
          <w:rFonts w:ascii="Times New Roman" w:hAnsi="Times New Roman"/>
          <w:color w:val="auto"/>
          <w:szCs w:val="24"/>
        </w:rPr>
        <w:t>Investment Entities</w:t>
      </w:r>
      <w:r w:rsidRPr="002F744F">
        <w:rPr>
          <w:rFonts w:ascii="Times New Roman" w:hAnsi="Times New Roman"/>
          <w:color w:val="auto"/>
          <w:szCs w:val="24"/>
        </w:rPr>
        <w:tab/>
      </w:r>
      <w:r w:rsidRPr="002F744F">
        <w:rPr>
          <w:rFonts w:ascii="Times New Roman" w:hAnsi="Times New Roman"/>
          <w:color w:val="auto"/>
          <w:szCs w:val="24"/>
        </w:rPr>
        <w:br/>
        <w:t>(Amendments to IFRS 10, IFRS 12 and IAS 27)</w:t>
      </w:r>
      <w:bookmarkEnd w:id="1"/>
    </w:p>
    <w:p w:rsidR="00EE4004" w:rsidRPr="002F744F" w:rsidRDefault="00EE4004" w:rsidP="002F744F">
      <w:pPr>
        <w:pStyle w:val="NoSpacing"/>
        <w:rPr>
          <w:sz w:val="24"/>
          <w:szCs w:val="24"/>
        </w:rPr>
      </w:pPr>
    </w:p>
    <w:p w:rsidR="00EE4004" w:rsidRPr="00D979F8" w:rsidRDefault="00EE4004" w:rsidP="00D979F8">
      <w:pPr>
        <w:pStyle w:val="ListParagraph"/>
        <w:numPr>
          <w:ilvl w:val="0"/>
          <w:numId w:val="12"/>
        </w:numPr>
        <w:tabs>
          <w:tab w:val="left" w:pos="360"/>
        </w:tabs>
        <w:autoSpaceDE w:val="0"/>
        <w:autoSpaceDN w:val="0"/>
        <w:adjustRightInd w:val="0"/>
        <w:spacing w:after="0" w:line="240" w:lineRule="auto"/>
        <w:ind w:hanging="720"/>
        <w:rPr>
          <w:bCs/>
          <w:sz w:val="26"/>
          <w:szCs w:val="26"/>
          <w:lang w:val="en-US"/>
        </w:rPr>
      </w:pPr>
      <w:r w:rsidRPr="00D979F8">
        <w:rPr>
          <w:bCs/>
          <w:sz w:val="26"/>
          <w:szCs w:val="26"/>
          <w:lang w:val="en-US"/>
        </w:rPr>
        <w:t>Snapshots of amendments</w:t>
      </w:r>
    </w:p>
    <w:p w:rsidR="00EE4004" w:rsidRPr="00D00904" w:rsidRDefault="00EE4004" w:rsidP="002F744F">
      <w:pPr>
        <w:autoSpaceDE w:val="0"/>
        <w:autoSpaceDN w:val="0"/>
        <w:adjustRightInd w:val="0"/>
        <w:spacing w:after="0" w:line="240" w:lineRule="auto"/>
        <w:jc w:val="both"/>
        <w:rPr>
          <w:bCs/>
          <w:sz w:val="16"/>
          <w:szCs w:val="16"/>
        </w:rPr>
      </w:pPr>
    </w:p>
    <w:p w:rsidR="00EE4004" w:rsidRPr="002F744F" w:rsidRDefault="00EE4004" w:rsidP="002F744F">
      <w:pPr>
        <w:autoSpaceDE w:val="0"/>
        <w:autoSpaceDN w:val="0"/>
        <w:adjustRightInd w:val="0"/>
        <w:spacing w:after="0" w:line="240" w:lineRule="auto"/>
        <w:jc w:val="both"/>
        <w:rPr>
          <w:b/>
          <w:sz w:val="24"/>
          <w:szCs w:val="24"/>
        </w:rPr>
      </w:pPr>
      <w:r>
        <w:rPr>
          <w:sz w:val="24"/>
          <w:szCs w:val="24"/>
        </w:rPr>
        <w:t xml:space="preserve">Prior to the amendments, </w:t>
      </w:r>
      <w:r w:rsidRPr="002F744F">
        <w:rPr>
          <w:sz w:val="24"/>
          <w:szCs w:val="24"/>
        </w:rPr>
        <w:t>IFRS 10 requir</w:t>
      </w:r>
      <w:r>
        <w:rPr>
          <w:sz w:val="24"/>
          <w:szCs w:val="24"/>
        </w:rPr>
        <w:t xml:space="preserve">ed </w:t>
      </w:r>
      <w:r w:rsidRPr="002F744F">
        <w:rPr>
          <w:sz w:val="24"/>
          <w:szCs w:val="24"/>
        </w:rPr>
        <w:t>an entity that is a parent to present consolidated financial statements in which it consolidat</w:t>
      </w:r>
      <w:r>
        <w:rPr>
          <w:sz w:val="24"/>
          <w:szCs w:val="24"/>
        </w:rPr>
        <w:t>ed</w:t>
      </w:r>
      <w:r w:rsidRPr="002F744F">
        <w:rPr>
          <w:sz w:val="24"/>
          <w:szCs w:val="24"/>
        </w:rPr>
        <w:t xml:space="preserve"> all </w:t>
      </w:r>
      <w:r>
        <w:rPr>
          <w:sz w:val="24"/>
          <w:szCs w:val="24"/>
        </w:rPr>
        <w:t>of its subsidiaries. Under the a</w:t>
      </w:r>
      <w:r w:rsidRPr="002F744F">
        <w:rPr>
          <w:sz w:val="24"/>
          <w:szCs w:val="24"/>
        </w:rPr>
        <w:t>mendment</w:t>
      </w:r>
      <w:r>
        <w:rPr>
          <w:sz w:val="24"/>
          <w:szCs w:val="24"/>
        </w:rPr>
        <w:t>s</w:t>
      </w:r>
      <w:r w:rsidRPr="002F744F">
        <w:rPr>
          <w:sz w:val="24"/>
          <w:szCs w:val="24"/>
        </w:rPr>
        <w:t xml:space="preserve">, if an entity is an </w:t>
      </w:r>
      <w:r w:rsidRPr="00D979F8">
        <w:rPr>
          <w:b/>
          <w:sz w:val="24"/>
          <w:szCs w:val="24"/>
        </w:rPr>
        <w:t>investment entity</w:t>
      </w:r>
      <w:r w:rsidRPr="002F744F">
        <w:rPr>
          <w:sz w:val="24"/>
          <w:szCs w:val="24"/>
        </w:rPr>
        <w:t xml:space="preserve">, </w:t>
      </w:r>
      <w:r>
        <w:rPr>
          <w:sz w:val="24"/>
          <w:szCs w:val="24"/>
        </w:rPr>
        <w:t>the entity</w:t>
      </w:r>
      <w:r w:rsidRPr="002F744F">
        <w:rPr>
          <w:sz w:val="24"/>
          <w:szCs w:val="24"/>
        </w:rPr>
        <w:t xml:space="preserve"> is exempted from consolidating the underlying investees that it controls.</w:t>
      </w:r>
    </w:p>
    <w:p w:rsidR="00EE4004" w:rsidRDefault="00EE4004" w:rsidP="00D32D84">
      <w:pPr>
        <w:pStyle w:val="NoSpacing"/>
      </w:pPr>
    </w:p>
    <w:p w:rsidR="00EE4004" w:rsidRPr="00D979F8" w:rsidRDefault="00EE4004" w:rsidP="00D979F8">
      <w:pPr>
        <w:pStyle w:val="ListParagraph"/>
        <w:numPr>
          <w:ilvl w:val="0"/>
          <w:numId w:val="12"/>
        </w:numPr>
        <w:tabs>
          <w:tab w:val="left" w:pos="360"/>
        </w:tabs>
        <w:autoSpaceDE w:val="0"/>
        <w:autoSpaceDN w:val="0"/>
        <w:adjustRightInd w:val="0"/>
        <w:spacing w:after="0" w:line="240" w:lineRule="auto"/>
        <w:ind w:hanging="720"/>
        <w:rPr>
          <w:bCs/>
          <w:sz w:val="26"/>
          <w:szCs w:val="26"/>
          <w:lang w:val="en-US"/>
        </w:rPr>
      </w:pPr>
      <w:bookmarkStart w:id="2" w:name="_Toc388018656"/>
      <w:r w:rsidRPr="00D979F8">
        <w:rPr>
          <w:bCs/>
          <w:sz w:val="26"/>
          <w:szCs w:val="26"/>
          <w:lang w:val="en-US"/>
        </w:rPr>
        <w:t>Definition of an investment entity</w:t>
      </w:r>
      <w:bookmarkEnd w:id="2"/>
      <w:r>
        <w:rPr>
          <w:bCs/>
          <w:sz w:val="26"/>
          <w:szCs w:val="26"/>
          <w:lang w:val="en-US"/>
        </w:rPr>
        <w:t xml:space="preserve"> (Paragraph 27 of IFRS 10) </w:t>
      </w:r>
    </w:p>
    <w:p w:rsidR="00EE4004" w:rsidRPr="00D00904" w:rsidRDefault="00EE4004" w:rsidP="002F744F">
      <w:pPr>
        <w:autoSpaceDE w:val="0"/>
        <w:autoSpaceDN w:val="0"/>
        <w:adjustRightInd w:val="0"/>
        <w:spacing w:after="0" w:line="240" w:lineRule="auto"/>
        <w:jc w:val="both"/>
        <w:rPr>
          <w:sz w:val="16"/>
          <w:szCs w:val="16"/>
        </w:rPr>
      </w:pPr>
    </w:p>
    <w:p w:rsidR="00EE4004" w:rsidRPr="002F744F" w:rsidRDefault="00EE4004" w:rsidP="002F744F">
      <w:pPr>
        <w:autoSpaceDE w:val="0"/>
        <w:autoSpaceDN w:val="0"/>
        <w:adjustRightInd w:val="0"/>
        <w:spacing w:after="0" w:line="240" w:lineRule="auto"/>
        <w:jc w:val="both"/>
        <w:rPr>
          <w:b/>
          <w:sz w:val="24"/>
          <w:szCs w:val="24"/>
        </w:rPr>
      </w:pPr>
      <w:r w:rsidRPr="002F744F">
        <w:rPr>
          <w:sz w:val="24"/>
          <w:szCs w:val="24"/>
        </w:rPr>
        <w:t>The standard defines an investment entity as “</w:t>
      </w:r>
      <w:r w:rsidRPr="002F744F">
        <w:rPr>
          <w:iCs/>
          <w:sz w:val="24"/>
          <w:szCs w:val="24"/>
        </w:rPr>
        <w:t>an entity that:</w:t>
      </w:r>
    </w:p>
    <w:p w:rsidR="00EE4004" w:rsidRPr="002F744F" w:rsidRDefault="00EE4004" w:rsidP="00C230C2">
      <w:pPr>
        <w:pStyle w:val="ListParagraph"/>
        <w:numPr>
          <w:ilvl w:val="0"/>
          <w:numId w:val="14"/>
        </w:numPr>
        <w:autoSpaceDE w:val="0"/>
        <w:autoSpaceDN w:val="0"/>
        <w:adjustRightInd w:val="0"/>
        <w:spacing w:after="0" w:line="240" w:lineRule="auto"/>
        <w:ind w:hanging="90"/>
        <w:jc w:val="both"/>
        <w:rPr>
          <w:b w:val="0"/>
          <w:iCs/>
          <w:sz w:val="24"/>
          <w:szCs w:val="24"/>
        </w:rPr>
      </w:pPr>
      <w:r w:rsidRPr="002F744F">
        <w:rPr>
          <w:b w:val="0"/>
          <w:iCs/>
          <w:sz w:val="24"/>
          <w:szCs w:val="24"/>
        </w:rPr>
        <w:t>obtains funds from one or more investors for the purpose of providing those investor(s) with investment management services;</w:t>
      </w:r>
    </w:p>
    <w:p w:rsidR="00EE4004" w:rsidRPr="002F744F" w:rsidRDefault="00EE4004" w:rsidP="00C230C2">
      <w:pPr>
        <w:pStyle w:val="ListParagraph"/>
        <w:numPr>
          <w:ilvl w:val="0"/>
          <w:numId w:val="14"/>
        </w:numPr>
        <w:autoSpaceDE w:val="0"/>
        <w:autoSpaceDN w:val="0"/>
        <w:adjustRightInd w:val="0"/>
        <w:spacing w:after="0" w:line="240" w:lineRule="auto"/>
        <w:ind w:hanging="90"/>
        <w:jc w:val="both"/>
        <w:rPr>
          <w:b w:val="0"/>
          <w:iCs/>
          <w:sz w:val="24"/>
          <w:szCs w:val="24"/>
        </w:rPr>
      </w:pPr>
      <w:r w:rsidRPr="002F744F">
        <w:rPr>
          <w:b w:val="0"/>
          <w:iCs/>
          <w:sz w:val="24"/>
          <w:szCs w:val="24"/>
        </w:rPr>
        <w:t xml:space="preserve">commits to its investor(s) that its </w:t>
      </w:r>
      <w:r w:rsidRPr="00C44117">
        <w:rPr>
          <w:b w:val="0"/>
          <w:iCs/>
          <w:sz w:val="24"/>
          <w:szCs w:val="24"/>
        </w:rPr>
        <w:t>business purpose</w:t>
      </w:r>
      <w:r w:rsidRPr="002F744F">
        <w:rPr>
          <w:b w:val="0"/>
          <w:iCs/>
          <w:sz w:val="24"/>
          <w:szCs w:val="24"/>
        </w:rPr>
        <w:t xml:space="preserve"> is to invest funds solely for returns from capital appreciation, investment income or both; and</w:t>
      </w:r>
    </w:p>
    <w:p w:rsidR="00EE4004" w:rsidRPr="002F744F" w:rsidRDefault="00EE4004" w:rsidP="00C230C2">
      <w:pPr>
        <w:pStyle w:val="ListParagraph"/>
        <w:numPr>
          <w:ilvl w:val="0"/>
          <w:numId w:val="14"/>
        </w:numPr>
        <w:autoSpaceDE w:val="0"/>
        <w:autoSpaceDN w:val="0"/>
        <w:adjustRightInd w:val="0"/>
        <w:spacing w:after="0" w:line="240" w:lineRule="auto"/>
        <w:ind w:hanging="90"/>
        <w:jc w:val="both"/>
        <w:rPr>
          <w:b w:val="0"/>
          <w:iCs/>
          <w:sz w:val="24"/>
          <w:szCs w:val="24"/>
        </w:rPr>
      </w:pPr>
      <w:r w:rsidRPr="002F744F">
        <w:rPr>
          <w:b w:val="0"/>
          <w:iCs/>
          <w:sz w:val="24"/>
          <w:szCs w:val="24"/>
        </w:rPr>
        <w:t>measures and evaluates the performance of substantially all of its investments on a fair value basis.”</w:t>
      </w:r>
    </w:p>
    <w:p w:rsidR="00EE4004" w:rsidRPr="002F744F" w:rsidRDefault="00EE4004" w:rsidP="002F744F">
      <w:pPr>
        <w:autoSpaceDE w:val="0"/>
        <w:autoSpaceDN w:val="0"/>
        <w:adjustRightInd w:val="0"/>
        <w:spacing w:after="0" w:line="240" w:lineRule="auto"/>
        <w:jc w:val="both"/>
        <w:rPr>
          <w:bCs/>
          <w:sz w:val="24"/>
          <w:szCs w:val="24"/>
        </w:rPr>
      </w:pPr>
    </w:p>
    <w:p w:rsidR="00EE4004" w:rsidRDefault="00EE4004" w:rsidP="002F744F">
      <w:pPr>
        <w:autoSpaceDE w:val="0"/>
        <w:autoSpaceDN w:val="0"/>
        <w:adjustRightInd w:val="0"/>
        <w:spacing w:after="0" w:line="240" w:lineRule="auto"/>
        <w:jc w:val="both"/>
        <w:rPr>
          <w:sz w:val="24"/>
          <w:szCs w:val="24"/>
        </w:rPr>
      </w:pPr>
      <w:r>
        <w:rPr>
          <w:sz w:val="24"/>
          <w:szCs w:val="24"/>
        </w:rPr>
        <w:t xml:space="preserve">An investment entity shall have an </w:t>
      </w:r>
      <w:r w:rsidRPr="00C366DF">
        <w:rPr>
          <w:b/>
          <w:sz w:val="24"/>
          <w:szCs w:val="24"/>
        </w:rPr>
        <w:t>exit strategy</w:t>
      </w:r>
      <w:r>
        <w:rPr>
          <w:b/>
          <w:sz w:val="24"/>
          <w:szCs w:val="24"/>
        </w:rPr>
        <w:t xml:space="preserve">. </w:t>
      </w:r>
      <w:r w:rsidRPr="00D979F8">
        <w:rPr>
          <w:sz w:val="24"/>
          <w:szCs w:val="24"/>
        </w:rPr>
        <w:t>One feature that differentiates</w:t>
      </w:r>
      <w:r>
        <w:rPr>
          <w:sz w:val="24"/>
          <w:szCs w:val="24"/>
        </w:rPr>
        <w:t xml:space="preserve"> an investment from another entity is that an investment entity does not plan to hold investments indefinitely. It holds them for a limited period The investment entity should</w:t>
      </w:r>
      <w:r w:rsidRPr="002F744F">
        <w:rPr>
          <w:sz w:val="24"/>
          <w:szCs w:val="24"/>
        </w:rPr>
        <w:t xml:space="preserve"> document how it plans to realise capital appreciation on substantially all of its equity and non-financial investments. The absence of such a strategy indicates an intention to hold investments indefinitely and is not consistent with a business purpose of investing for capital appreciation and/or income. </w:t>
      </w:r>
    </w:p>
    <w:p w:rsidR="00EE4004" w:rsidRPr="00D00904" w:rsidRDefault="00EE4004" w:rsidP="002F744F">
      <w:pPr>
        <w:autoSpaceDE w:val="0"/>
        <w:autoSpaceDN w:val="0"/>
        <w:adjustRightInd w:val="0"/>
        <w:spacing w:after="0" w:line="240" w:lineRule="auto"/>
        <w:jc w:val="both"/>
        <w:rPr>
          <w:b/>
          <w:sz w:val="16"/>
          <w:szCs w:val="16"/>
        </w:rPr>
      </w:pPr>
    </w:p>
    <w:p w:rsidR="00EE4004" w:rsidRPr="00C230C2" w:rsidRDefault="00EE4004" w:rsidP="00C230C2">
      <w:pPr>
        <w:pStyle w:val="ListParagraph"/>
        <w:numPr>
          <w:ilvl w:val="0"/>
          <w:numId w:val="12"/>
        </w:numPr>
        <w:tabs>
          <w:tab w:val="left" w:pos="360"/>
        </w:tabs>
        <w:autoSpaceDE w:val="0"/>
        <w:autoSpaceDN w:val="0"/>
        <w:adjustRightInd w:val="0"/>
        <w:spacing w:after="0" w:line="240" w:lineRule="auto"/>
        <w:ind w:hanging="720"/>
        <w:rPr>
          <w:sz w:val="24"/>
          <w:szCs w:val="24"/>
        </w:rPr>
      </w:pPr>
      <w:bookmarkStart w:id="3" w:name="_Toc388018657"/>
      <w:r w:rsidRPr="00C230C2">
        <w:rPr>
          <w:bCs/>
          <w:sz w:val="26"/>
          <w:szCs w:val="26"/>
          <w:lang w:val="en-US"/>
        </w:rPr>
        <w:t>Typical characteristics of an investment entity</w:t>
      </w:r>
      <w:bookmarkEnd w:id="3"/>
    </w:p>
    <w:p w:rsidR="00EE4004" w:rsidRPr="00D00904" w:rsidRDefault="00EE4004" w:rsidP="00C230C2">
      <w:pPr>
        <w:tabs>
          <w:tab w:val="left" w:pos="360"/>
        </w:tabs>
        <w:autoSpaceDE w:val="0"/>
        <w:autoSpaceDN w:val="0"/>
        <w:adjustRightInd w:val="0"/>
        <w:spacing w:after="0" w:line="240" w:lineRule="auto"/>
        <w:rPr>
          <w:sz w:val="16"/>
          <w:szCs w:val="16"/>
        </w:rPr>
      </w:pPr>
    </w:p>
    <w:p w:rsidR="00EE4004" w:rsidRDefault="00EE4004" w:rsidP="002F744F">
      <w:pPr>
        <w:autoSpaceDE w:val="0"/>
        <w:autoSpaceDN w:val="0"/>
        <w:adjustRightInd w:val="0"/>
        <w:spacing w:after="0" w:line="240" w:lineRule="auto"/>
        <w:jc w:val="both"/>
        <w:rPr>
          <w:sz w:val="24"/>
          <w:szCs w:val="24"/>
        </w:rPr>
      </w:pPr>
      <w:r w:rsidRPr="002F744F">
        <w:rPr>
          <w:sz w:val="24"/>
          <w:szCs w:val="24"/>
        </w:rPr>
        <w:t>For an entity to qualify as an investment entity the above definition must be met. The following typical characteristics of an investment entity must also be considered:</w:t>
      </w:r>
    </w:p>
    <w:p w:rsidR="00EE4004" w:rsidRDefault="00EE4004" w:rsidP="002F744F">
      <w:pPr>
        <w:autoSpaceDE w:val="0"/>
        <w:autoSpaceDN w:val="0"/>
        <w:adjustRightInd w:val="0"/>
        <w:spacing w:after="0" w:line="240" w:lineRule="auto"/>
        <w:jc w:val="both"/>
        <w:rPr>
          <w:sz w:val="24"/>
          <w:szCs w:val="24"/>
        </w:rPr>
      </w:pPr>
    </w:p>
    <w:p w:rsidR="00EE4004" w:rsidRPr="002F744F" w:rsidRDefault="00EE4004" w:rsidP="002F744F">
      <w:pPr>
        <w:autoSpaceDE w:val="0"/>
        <w:autoSpaceDN w:val="0"/>
        <w:adjustRightInd w:val="0"/>
        <w:spacing w:after="0" w:line="240" w:lineRule="auto"/>
        <w:jc w:val="both"/>
        <w:rPr>
          <w:sz w:val="24"/>
          <w:szCs w:val="24"/>
        </w:rPr>
      </w:pPr>
      <w:r w:rsidRPr="00C45F98">
        <w:rPr>
          <w:noProof/>
          <w:sz w:val="24"/>
          <w:szCs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 2" o:spid="_x0000_i1025" type="#_x0000_t75" style="width:427.5pt;height:235.5pt;visibility:visible" o:gfxdata="UEsDBBQABgAIAAAAIQDq7GcDXgEAAHYEAAATAAAAW0NvbnRlbnRfVHlwZXNdLnhtbLRUXU/CMBR9&#10;N/E/LH01tMCDMYbBA8Mno0bxB9y0d6OhH7PtBvv3lrHFqAH2wmPTnI97e05ni71WSY3OS2tSMqFj&#10;kqDhVkhTpORz/TR6IIkPYAQoazAlDXqymN/ezNZNiT6JaONTsgmhfGTM8w1q8NSWaOJNbp2GEI+u&#10;YCXwLRTIpuPxPePWBDRhFA4cZD57jQacFJi8gQsvoKMOE84znNrMchqpSLI8Yg6yKYGyVJJDiKZZ&#10;bQTVfmTzXHKkmfOrFnV3QLHT3EJC4UB7pqCxVZgMUPk9VqcoLK90HIYKB7u4Na1oR/3cEg/2ISDA&#10;FVxkkXawh69K8u1HaBRewUnL21vJMIdKhWS1j0k4hs+h8hfe+c8LdKGiEdlmwW9k6c8onA/S0MBw&#10;q6zzV1jQsiXu/Z8qhbA747AekNdfrcgi7B3ri+x9Lbo4DxnzR+dfB7JjKXpV1v4a828A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ARiHOszAgAAEwtAAAWAAAA&#10;ZHJzL2RpYWdyYW1zL2RhdGExLnhtbOxa7W7byBX9X6DvQKi/J+IM59NYZzEcctoA2WywcYsWRVHQ&#10;Em0TlUiFpBN7Fwv0Nfp6fZKeoSVZim2AkeNgi/iPTI3JK865956598x89/3VchF9KNuuaurjCX0R&#10;T6KynjXzqj4/nvz5xBM9ibq+qOfFoqnL48l12U2+f/n73303P18ezYu++KGZl4sIVuruCGPHk4u+&#10;Xx1Np93solwW3YtmVdb471nTLoseX9vz6bwtPsL+cjFlcSyn86o4b4vlZG2kOMDEsqjqycvhnVb9&#10;667fXEbL8Hav5seTXzzPhElVSrTLGeHCSWJpnBOb+ST2UqTa218nUX+9wiznzWxjrn1X9tGiOcF4&#10;sHPZ1kfLatY2XXPWv5g1y2lzdlbNyvWfou3DpMRUTxfFdXPZTzHrtrpKJrDhij6YuBmZRO+7zzf6&#10;/rKa/avrrxfltKuWq0VJ/0CDpbXpm7FJNDvA9KxZNG03LWazsu7pP1kwPNsYXo9OotXFYt4iUCbT&#10;G4y71dt2fQnUi6PTZn49jBRHi65/N7xpGF+Fj7Kevy3a4qe3bbQoQoCVNfljGkxNhzumIahgZvi7&#10;us+LjtlM6FQTL5OYcB5LopWNSZLnMmfWKZeqX/dcN7zwyfHk7yflVf8PTOmy6/H1sAm0YRbtJ68f&#10;dT/DHryO38Wsi76qhzA6K2YIpZNqWXbRm/Jj9FOzLGogWPWzC18sq8U1HkN6zS6Ktiv740kckCiO&#10;Zt0jHgeQeL9gpn950SxCHiMJ2jLqL4o6QgpHVf2h7PolnBxQD2jjkfEeiJnlmc1SolKWEJ5kgqSx&#10;FUTHXuepyoQ0dJtHq6I9aYu6wySv6iENpWFO88SSWDKkoUmRgRppKBOncpo7qZXfc+AXjLPfmqNu&#10;02E8/FYnKmeUk9wwT7jOKGiMx0RlzLjU5Tpncgt/V50+w39/miHoD4FfMqukiimhuTGE5y4jVgpJ&#10;chYzSa3I0mf+ueWf4sND9NO0B5EP9d5lxghCndaEZyYmmktBnNFOJF7mMb9dxO+ST5JRI7mA4wxP&#10;CWc+weOWksRyk1GRG0rdM/k8vPpSr7VgqSUZTyjhMRyRhmTIUoXSyjkuJFbfdQ11l3ye4V+v8QeS&#10;DwodHjumiXAUxY+UhmirFJE5lt4sF9SwZC98b6o1VDvfYvFzQz431Q4K21AA9VGBSqhuenwp0ef0&#10;VX/933//p4vaEmVbOY9AGX1VdgdxEwMbMQ5GstZbwpWjRGfOE2FibVyc0oRn2+S4y00ZF6nTEoyk&#10;LeoqRj0KI54Tl6lEOyzsVKOuWjc2oSl5LoxW/U5/FwtNM+MYyWLF0RmYjBhvcpJmoHjptRLKbOG/&#10;y03P8D+Wm7iySieE+hwrMzNotJWyRBmqvLe5itUzN20bsxtuaj7WEF4uqhV6sr5s0ZV1uBq4Kcgl&#10;UXMWlWj4++uoaSO09tWiaG9vPYikNEObxmlG4hQe4kYLYoVH/6x06mSq04zH2yy5S1LU5J4nXBCT&#10;G3g5AdFZGTu0INblPk0yafD4M0lBxrhXvkgy5wwKJUIFl4Q7y4hRzJEUvYPxLE6UQQH6YAH1DP/j&#10;SIrlwikZCxJbtMxcWh/WCLQDMnWonZAJfif6kZC7oRytMGC7rpm9ysbrieGhN8USQtBG9gsjgy7m&#10;6j5MZ5MtZfd6UAz/AjXoZmx28UNxFX0oFjty1bzayG0wU/1c/gnS7AIC03BXeVXM+kFOC0Ja+KFd&#10;kzd1fSgdbsx/ZenOCG1ipT2R1qDAwZqMsGcxyanBqBd5wvJt7Id33yITFNgw8AjwoTEvm3oO9Q12&#10;BvRfnwLW0/N3F6udwVfzq+CS27sGHwUhFKrh66r2wPdNWZ1fnDbtX48nCeP3/utvcJhgdNDzgifW&#10;SD/cWKnMZNxCBqMa5T0XWkFUA80yEWdJAn2HxfzJsHl/WcwxxX1kagjnu4P3I7Oevg1a7shI3oIy&#10;u3jblmc3gbsdPL1cLMo+r4vTBcrx29Bfx+5vKqCVTHkODYLkChoC5xmHCJpmBJ5XQjqpULY/qdPY&#10;KKftenEIZ75NrH04Q6TuUM7WJ//3jvLQeAwTnLiYQnN2QhOjrSNOoCfTPo9d9nS0H7ILuz8jsmvX&#10;nd+mo7g0xqJ3INRC1+YGKodOsFFHQYYyET5j8a2+FBDdRvIXWCKCo8BnIxy1685vwlHrhWu7sYrN&#10;nN3rnS4czbdOEquJdTSHCIKVXksqiNDaxZ4mTOY7Ai08+OMZ9pfb2eds0c7RKA33jyznYP7Hdj6s&#10;6+HRzXVwdDBz8I7uWoABGDsAjNvfOnjK4/Y/g/nNNPemvN6OG9AbuZG3kUqGZ8btPt0LzDjx92Bg&#10;xm3MbIHBovggMCM3GfaAGaeM3w+MZLnzCu1gluPDozm3lFHiKeUisYYyC+Vk3ROGoN1NGWXHyC7D&#10;XAcHjmTYh+LnSVJmXFd7cGSMhGgzZZD7g5ExUj3Zi4xxLf+9kZFBNBYiZiTOQaHYclHEWCyHWCTD&#10;m2Aj3e3XLbuRMZIpwlyHyBjZgmxgQpO0B9OTRIZIcaKABbnJ56FlxMEdw32KLkknGQOjZEo/mBoj&#10;GeEWgHHl/FcFYJwq/YjUGLOhtCVNFKh7Pt9dTUbufuylxjjJ/t7UoImCbMCQC+EgF6cckaGFx6kS&#10;yvPcCsPYzimUO6Q5atrbyBjZP3zVyABpKmudINKFVUPgLE6apZ54EESiE5Z4LvZS423R7tLDyNpp&#10;i8FI9ebrYpDLTIqgprIg4iUQUo3Gxr7LE8lpLg1O9n1JDD6TIj+tMZ6EIjn2fjWkSwL9EnHAOJQj&#10;yEX40JIlSjL5yRrxyDgYKXps4uBTyngiDFJqE8EIMz7sPfGMaI/OI2E4lyCtcMayLxkHn8kHn1YU&#10;T4IBFkRszKgc6pPCUuk0MMD6iCNKnKUSVyzbb7weGQefWUiisd5bOr4ABkNTutuJnp6vl4qPOPhY&#10;rq9x6HNoVXHc66qPLtvqzunie0/zro8oh7O8entAGSaHH93YHL5sz0C//B8AAAD//wMAUEsDBBQA&#10;BgAIAAAAIQDdlVpoFgEAAFcCAAAOAAAAZHJzL2Uyb0RvYy54bWykks9KAzEQxu+C7xByt2mriCzd&#10;7aUIPXnRBxiTyW4g/5pJXX17Z7dF6kmol+GbGfjly5dstp/Biw8s5FJs5WqxlAKjTsbFvpVvr893&#10;T1JQhWjAp4it/EKS2+72ZjPmBtdpSN5gEQyJ1Iy5lUOtuVGK9IABaJEyRl7aVAJUbkuvTIGR6cGr&#10;9XL5qMZUTC5JIxFPd6el7Ga+tajri7WEVfhWsrc61zLX96mqbgNNXyAPTp9twBUuArjIh/6gdlBB&#10;HIu7AmUcsJ/ANNOHpqDfGzo748E/gGcIX/7vkJO1TuMu6WPAWE9JsxWo/Mw0uExSlMawm7I3q0n7&#10;NOv1pA806/tJ65N+mIJWv+K57Flf/ofuGwAA//8DAFBLAwQUAAYACAAAACEA0jPc+R0BAABmAwAA&#10;GQAAAGRycy9fcmVscy9lMm9Eb2MueG1sLnJlbHO0k11PwyAUhu9N/A+Ee0s7P2NGd2FjssQbdf6A&#10;E0pbMuBUYGr/vbjpYhNWvdklPOE9T3Je5osPo8mbdF6h5bTIckqkFVgr23L6sro/u6HEB7A1aLSS&#10;00F6uihPT+ZPUkOIj3ynek9iivWcdiH0t4x50UkDPsNe2kgadAZCPLqW9SDW0Eo2y/Mr5n5n0HKU&#10;SZY1p25Zn1OyGvo4+e9sbBolZIViY6QNiRGsVtA6MI8bJdbPYdAyhoNrZeD0G3n2uodFFuUpS3vN&#10;juD1AANuQsJJb8GkT3EEnwoCJGzqeD3pcnnAxSjh0GMTMoGG7db1tabrcRN+1lQ5eI89TBnsyKTE&#10;xQGJRCn/XZw71Oh8Qkhswd6HjX5H+QkAAP//AwBQSwMEFAAGAAgAAAAhAGkKd6jaAAAABQEAAA8A&#10;AABkcnMvZG93bnJldi54bWxMj8FOwzAQRO9I/IO1SNyo06otJcSpKiTEEdqinp14iSPitYmdJvw9&#10;Cxd6GWk0q5m3xXZynThjH1tPCuazDARS7U1LjYL34/PdBkRMmozuPKGCb4ywLa+vCp0bP9Iez4fU&#10;CC6hmGsFNqWQSxlri07HmQ9InH343unEtm+k6fXI5a6TiyxbS6db4gWrAz5ZrD8Pg1Pwdqpevuzp&#10;9air1X4xDrvV8BCCUrc30+4RRMIp/R/DLz6jQ8lMlR/IRNEp4EfSn3K2WS/ZVgqW9/MMZFnIS/ry&#10;BwAA//8DAFBLAwQUAAYACAAAACEADwNBoxQEAADhQQAAGAAAAGRycy9kaWFncmFtcy9jb2xvcnMx&#10;LnhtbOycXU/bMBSG7yftP0Te9UjbAWIVAfGxSkgITRq7ntzESSMcp7PdUv79bCdO0g5amrikAXMD&#10;TZRj57H9+pzjU07PFwl25oiyOCUe6B/0gIOInwYxiTzw+3709QQ4jEMSQJwS5IEnxMD52edPp0GU&#10;DP0Up5Rdo9ARVggbimsemHA+Hbou8ycogewgnSIi7oYpTSAXH2nkBhQ+CvsJdge93rEbxDCiMAG5&#10;EVjDRAJjApwZif/O0E3ggRklwyT2acrSkB/4aeKmYRj7KP8FKZdNH7knbvYKLvR9RHj/z+BLH5yp&#10;d+Mxx8iZQ+wB4GaXAsT85Ss+5LeMZ3fF3w5/mgpGuTHgTGksmPZFU9KEq5BVnmD8CaPbMXYITMRj&#10;JA1QL289jDG+wlQYdxLEJx6gaIogF3fhUJFF4m7WF92abqF8NOsXjskrLWHeL/pZPJUZQWGIfJ7Z&#10;yWnwxa22XFwZFd0uLv1YflJB0C+e2dafcgwQxxG5Eyz0SJQv9IYsVqm2x0NOi1ZR7Me0wO3Pif0A&#10;MUekKQqpIhBPJzBTkKOe+FErvyIuuV6Vi6+baiJXz8CKqsTwzWKQGA4thjC6SaKfGPpNNhYpIjwm&#10;vCsastF5qMo7X5SuTCZ8fFHPk7Gk/3dZjZMe2wn9TGRgHDOLx/cUEja4buCQLuvG8U58D+29v76t&#10;9vz7MPplsapQt4gZS+0tLm0tvmOLNY/7C4YmsGoJ6DeRANEjlQeoH1zoBa4tNV2+G50DvihzI0ac&#10;Ax9inM5kRkemhUoSG3uy+urlo9tGaNrSskquiwa7hxkyxm1SDUgMDfZsvczqz7WqL9J0FhWCtvWm&#10;IDHYbICaDTYboDDYbACYQno1sX69OGsphGVUnGNs3I6rwmbEMagOR6tapd0DLf5NZbtdlK3q3ftC&#10;2apmvieUexJEqdTRBAb5cfe6lMzONcB4nFXKaf96L+T0w9DeC8VdoX2yJt3Y7bm9F6L8rmmH0YXv&#10;1wiipYcowVRO3L+vmYb1Y+w33xqDB9NJsZSMLOWVAi/jlFWFlZ3LskCxLKMzTpnTC1nJZozzodWM&#10;LMG9Ui84toKxa8FgKY6DJsKsUwgfeW9TEBtKguXoAcXxssGitxA9oHzZUSqOIB/vmtUXv+TZVovD&#10;drt1Ne3BzuM+466FduDsAKoygu4NoPJZ7Oh1dPSUeNYoKrCJAPmFJr39ajf+WadeIa6RrrWIt0Nc&#10;I0drEW+HuEZi1iJ+NWJR5jmZ1i+ik75j+SWG3fqpWvi6564ED5fNMbPyhHHdKUyHUgRymepBNVL6&#10;wakBzuV0Lio5l84e3skkNw5f1OGbU5J1Z+j1Z3j1nbunIhTN7xfbS/Uzm6H5L6vKEH0lj/BSIzsH&#10;36wEQsVU2X81EP+Y4ewfAAAA//8DAFBLAwQUAAYACAAAACEAipLFod0DAAAPUQAAHAAAAGRycy9k&#10;aWFncmFtcy9xdWlja1N0eWxlMS54bWzsnN1O2zAUx+8n7R0i73qkhW1CFSniQ5WQEEIbewDXcVIL&#10;xw62C+XtZztpyiQmUkqYE85Nm6Y5Tu2ffc7x306PjlcFj+6p0kyKBI33RiiigsiUiTxBv29mXw9R&#10;pA0WKeZS0AQ9Uo2Op58/HaV5MdHmkdNzmkW2EKEn9lSCFsaUkzjWZEELrPdkSYX9NpOqwMZ+VHmc&#10;Kvxgiy94vD8a/YhThnOFC1QXgl9RRIGZQNFSsLslvUgTtFRiUjCipJaZ2SOyiGWWMULrN6yMu/X3&#10;+DC+WzJy66sRa1aUnI6/jNHUV84ww2l0j3mCUFydSqkmf58h2FxqU31rjyPzWNpGqopCUamYbdPR&#10;eDRyJcSuyZ4aaEIFPUinR9ieLqjC1kCbBEllFtK2SblgZKakMM4aTzjLF+YnyyPFLBuzUJReGxSl&#10;TNlPzQ2aQhtAl3MeCVt+goRM6aiuXnNddzcvD9K64czqWtWHvrF9dcRP23NYukrQvv1NeKKJyudn&#10;XEW2PrYb2jra17l7dY1n6+8M3IUZ47yxdbhetq1N3KU0yygxjb1rj5ftGyN/f4uksS+YkKouw3Z5&#10;6irgOw034/qHZ9X1dQ+oG8D3Bn9s+VQdaP2ppsXFleW17o7Aq+or4fK6pwKIvecIM6sdRxi2LhWQ&#10;vSeynZ2iC2HgEvsSwhwtF9x9LtJ9tgMJR5UpvTLhcLQOgFZP0kNH6xvQ6gmtLL8o8muOCUSvZi71&#10;lgm9c3zNjPfp8b9mVz73Ayb1lDoMJnMYJE7Y6Cwh33qQaDa/UVjo/fMQc+52UsBHk42y/BdQ63QY&#10;ufHp9e03FPvmQK1SdTtzfl1QW/vHcZD+sZ00/rx/bOdbu5bVtw5YBHMulwamRR1Mi7aGgbU2rh+B&#10;+rNZLmo3rpp03DmtWs2pZkvdLTc5WiFmebA4uFlr3yzlOlqgrPZFB3e0QFntEy1QVvtCq8TqbBGw&#10;SgHx67n49ZQaxLE+jjWIZ32kBnGtf9TCVJd2iWvtZsHBqUuboDU+H1rQGgCSoUWkASAZWrjpKZIs&#10;PyEExL0uQv/WqjiRYgY4unoQY2scfh8QjI6OnovZGodRJ25TfqBAdllRbWcbXM47B18VjK/SkrMU&#10;gkdnW0S29lYeSMgOa5dJek8dlmdyCl4rGK/lJx8zaTfmPFzB01uhJFrrvBfA+IfJw4kpPuECKoFR&#10;8U7MqT+wme2tN7NtnXV5FkPT33uabXkWQxPe+8xiaIp7T1nY5zkWZYDhot0CxvPPBPQURXp7CjBC&#10;mXYYBTACmpmH6aQ+oGql6P3NamDxol2s+b8rHps/DbD/Yzj9AwAA//8DAFBLAwQUAAYACAAAACEA&#10;KD/N3SAFAABvHwAAGAAAAGRycy9kaWFncmFtcy9sYXlvdXQxLnhtbOxZTW/jNhC9F+h/EHhv5Dgf&#10;mxrr7CVdtMAmKZotsD3SEmWpoEiFpBJnf32HImmNHVOxnRSLAD5FFsU3M4+Pwxnm46dFzZMHpnQl&#10;xZQcH41IwkQm80rMp+Tvr59/uSCJNlTklEvBpuSJafLp8uefPubzesLpk2zNFSsSQBF6Au+mpDSm&#10;maSpzkpWU30kGyZgtJCqpgZ+qnmaK/oI+DVPx6PReZpXdK5oTTwI3QOippUgSSuq+5b9kU9Jq8Sk&#10;rjIltSzMUSbrVBZFlTH/hypjTZ+lF6kLIQXfVLU4IZddXKYynCUPlE8JSd2rnOls9U1GzRdt3Cg8&#10;J+apAX4cEEkaVQGdo9EoAPSfZFIA4SZ8c+E/Si2jGFTTurmihnoH4Ola5oy7n01vvDFJbQds4LB8&#10;zo9cZsEyHj/2ETbqjpmkKXmuwE37ZWe+8fHgKePdpwQed7By+rIV72FP+kLg556EM5CsyjwdsHDG&#10;Ph53L2+VI8m+9c9+gbOF6BHONyGMewQAewHhwyaEkx4BFuoFBLvxnkVx2iM888EJCJEym/vYHkvJ&#10;WVjjvBdSN2NVZto8cWZVl7Sawc62xMUF6PG3NBSg/Z7h6v+xkzlgZ8Xt7xvYH4mgdb9B3egDVb2E&#10;ymu6cFu82xB2O+aV8iEqpqvv7HdIhJxp9xVb0Mwstw6GonzutyGknkbqyrAgbwqZzo9RRZC5bi1g&#10;onNMl7RhPiHCDn05p7r8diWztmaiy27nqWKcGsjruqwaTRI1mfGqgZTmTND8X4g9qKIz6AYaiPW2&#10;8HFnpZQ6cHcDDI789KrwhNqXoMWiFdmUAAskoQrODqCOJBLMsfvWxyngDPCzIQdqg7jvfnpeHgFM&#10;QtBZ2T1YfAtHaylyiIIVX7tM+xjym8Pyk92cFyeXGydvtHzf0hziQ3aTAhYecu3Rya8bYTb6sA5j&#10;PxqGyYz6tomKdSTrtUcab3YIkP7ZBgn5FEGKMgTJ8S0YwjDImwjRQwxhJMTQh+XeXpHNEEMYCfm0&#10;K0OQ/N+CIQyDvNmDIYyEGIrENcQQRkI+RbiOaggOt7dgCMMgb/ZgCCMhhiJxDTGEkZBPESQoHuvP&#10;Upi7737XQqkA5aJxiU/AYbaeWs/PlgcRSq3dmVIVLq0zvpLHQ1mHPu8K0EMm7lqA9ezwbZv8+TqN&#10;4EMGaSSyH6O7CKcr5FBE/tbQs8PWnjAYBnkTgdkjE0fiGtpFEZ8iSFGGcLp6BUMY5nUMYSTkUCQ7&#10;DDGEkZBPEaQoQzhdIYciix/VEIZB3kRghjSEkZBDkZUfYggjIZ8iDL1pJrYZ2Dfarqx2iVm1nLlK&#10;vEvA6wV3aKZXCm6Igi4q7erc1YPBFeKZMO6MmEPvEdoMZ+9ZS7Ssrbvm78sMrj1m87uyCY3CspvR&#10;Tah3XX/irxpCae4ugX5suzLcVyzLC1j50JuEDmjtIOxXpTtFe9IiJLqq3A3iXjDr28r+Lqj8Ezxx&#10;q7J8OWs5Z+Y3QWec5WHFgnMYse8uzWLTeijZivwvBr3pD20glwK1Fx23cN/Ei9UaJnGFjIZW6jiB&#10;ww8ka5+WhKwtyMqJDDkgspbPihhzDf0o+nxlS4cOLPC4YmS290y+90y17cxOlWsUec32acU3xTjk&#10;7lYTbshcy3hDb0hS08WU2KegtiXO9tIP5SQW6kH6W0h/fJC+V+l7lX44oA/Sh2vDXbL+yUH671z6&#10;4b82B+nvKP3Tg/Tfh/SHrtDQnVvXtPneDrcKqICCf6Zd/gcAAP//AwBQSwMEFAAGAAgAAAAhAAL3&#10;8gQnBQAAyB4AABkAAABkcnMvZGlhZ3JhbXMvZHJhd2luZzEueG1s7FnNbuM2EL4X6DsQuivWvyUj&#10;zsKW7cUCi22QpECvjERZQiVSS9JOsosCfY2+Xp+kQ1KyHbdNDW8TtIBycPgzQ86QM/PNUJfvHpsa&#10;bQkXFaNTy71wLERoxvKKrqfWj3crO7aQkJjmuGaUTK0nIqx3V99/d5mLdpJz/ACECNagYpKvm6lV&#10;StlORiORlaTB4oK1hMJswXiDJXT5etQxNfXIc5xolFd4zXFjdYvgM5ZocEV7fhDrTys0VcaZYIW8&#10;yFgzYkVRZaQXQwkR74S40mqJ9o4TYtp0+563t+01N93s0/aaoyqfWnBQFDdwItZoN9WRwsBIHc8R&#10;79os1JGLFjUsJ/UHWOtrEsaJM45XdjRLfDuYRSt7HnmOvXQTGF2FS99b/mL1Ep0qjqLby7LnElod&#10;PHkseHN1iSdwIugRLt8Lx0EUWuhJaQeMeEIeJcpgyksSJw5B5Qzm+o5aer9Iy4V8T1iDVGNqwbU2&#10;jOYgM57g7UchDXVPpYYFq6t8VdW17iiDIWnN0RbXUwtnGaHS1eyyotKMBg78GcnKDfkBxNbE3ZDA&#10;8nio3jTHQ7huS/x8ELTQ9qq21zo9k6ymSj7KlKRGCTNCioJkstNMXbc5Vt2STzXYD57U9IYUYC5w&#10;hI7WRWR8fa+05NqCwMfgUO/Vb780MCjOAnbb8Zpz+CfejkVxG9l2/KftvWPS+zMqd/xNRRnXEh5o&#10;p01ctMYon1nzeJEsgpmztN3Yi+0gjMf23AlC2wudhe+7geM5wetbc+i7iWOs2YsD1z8yadeNosB3&#10;jUn3nRdNmrMNzW/gzv8No35L+0UP4LQhOA8oiyE8FjWW0GxaCD2Cri2E6zUE/0xyY6Mv+GXd+eTb&#10;ia8ixgKL0ri69sydr+xN/WQ39P73bqiU3oUrcyrqVozpFsZtOwASJg4pp5WPc5Y/Kd57+A8YJtps&#10;VcHZfsRCXmMOuAvmAYkAxO6S8S8WeuDKVsTnDebEQvUHKqZWEI49IJOHHX7YuT/s0E2TMgjm4GSw&#10;m2l6Y+DHNIM9jMV1nVTqiKgEpGy2kayoOsgw8qqJWshbpRGoiicQeOAHFKm3sIVadGfEKCfFHb6/&#10;/TK1Qt9Xdq+56W2bqQbIcp11iJL0iAIYUB8QzE0UPiTtQzSM7WdnhTxe0g87kFKw0maaApod5nJF&#10;zpXYWGVYhNrv53A8IKoLmYiFfiZc5WGqrYXGgH5IPrWkwBkkG3dVQwT6RB7QDWswZD1tJbNyhZuq&#10;BmR2IVnLSswFgVvs4l0mvoEd5AZZlSDyqmS1ygoha+EEyRJTBAkhquiWCNkAWKtkAA5DsehfuCAN&#10;Eb3lGSv86SjnODdKH672AhJF82AZLBJ7OZ65dhAsAjt25gs79NxxGKXROE7TV0cibxzHTuTpvGpA&#10;ogGJuoRwQKIBiQYkOhXIniER3v4dEDF+FgydHaJPg6FVMHMTyMDt1HE9O0jD2E7iWWqnoesH8Wrp&#10;pAvn1WHIPYBaF6oBLx6rpHFf5PdFkC7y+85QEamMcaiI9EuGspb/4MOEEmuoiIaK6M0rIoNDpgRi&#10;HAqtEksE5TKiTEKHwFO6rOTT77/+JhAn8OpCctRiLisizoKp80P4aTgVREkyC7zEdmcLKJcS17Fj&#10;P41sF57vIj9cLTxn/Oo4dYjFA04NL3f9A/pQLw310lAvfUO9xB4ofOctqxYe7STh8GwnoKVxSn2f&#10;RaxA5PMG8AoxeB6u4EkRw6fOnvQswDo/lv8lYHUPfebrrO50H5Ov/gAAAP//AwBQSwECLQAUAAYA&#10;CAAAACEA6uxnA14BAAB2BAAAEwAAAAAAAAAAAAAAAAAAAAAAW0NvbnRlbnRfVHlwZXNdLnhtbFBL&#10;AQItABQABgAIAAAAIQA4/SH/1gAAAJQBAAALAAAAAAAAAAAAAAAAAI8BAABfcmVscy8ucmVsc1BL&#10;AQItABQABgAIAAAAIQARiHOszAgAAEwtAAAWAAAAAAAAAAAAAAAAAI4CAABkcnMvZGlhZ3JhbXMv&#10;ZGF0YTEueG1sUEsBAi0AFAAGAAgAAAAhAN2VWmgWAQAAVwIAAA4AAAAAAAAAAAAAAAAAjgsAAGRy&#10;cy9lMm9Eb2MueG1sUEsBAi0AFAAGAAgAAAAhANIz3PkdAQAAZgMAABkAAAAAAAAAAAAAAAAA0AwA&#10;AGRycy9fcmVscy9lMm9Eb2MueG1sLnJlbHNQSwECLQAUAAYACAAAACEAaQp3qNoAAAAFAQAADwAA&#10;AAAAAAAAAAAAAAAkDgAAZHJzL2Rvd25yZXYueG1sUEsBAi0AFAAGAAgAAAAhAA8DQaMUBAAA4UEA&#10;ABgAAAAAAAAAAAAAAAAAKw8AAGRycy9kaWFncmFtcy9jb2xvcnMxLnhtbFBLAQItABQABgAIAAAA&#10;IQCKksWh3QMAAA9RAAAcAAAAAAAAAAAAAAAAAHUTAABkcnMvZGlhZ3JhbXMvcXVpY2tTdHlsZTEu&#10;eG1sUEsBAi0AFAAGAAgAAAAhACg/zd0gBQAAbx8AABgAAAAAAAAAAAAAAAAAjBcAAGRycy9kaWFn&#10;cmFtcy9sYXlvdXQxLnhtbFBLAQItABQABgAIAAAAIQAC9/IEJwUAAMgeAAAZAAAAAAAAAAAAAAAA&#10;AOIcAABkcnMvZGlhZ3JhbXMvZHJhd2luZzEueG1sUEsFBgAAAAAKAAoAmwIAAEAiAAAAAA==&#10;">
            <v:imagedata r:id="rId8" o:title="" cropbottom="-84f" cropleft="-27302f" cropright="-27038f"/>
            <o:lock v:ext="edit" aspectratio="f"/>
          </v:shape>
        </w:pict>
      </w:r>
    </w:p>
    <w:p w:rsidR="00EE4004" w:rsidRDefault="00EE4004" w:rsidP="002F744F">
      <w:pPr>
        <w:autoSpaceDE w:val="0"/>
        <w:autoSpaceDN w:val="0"/>
        <w:adjustRightInd w:val="0"/>
        <w:spacing w:after="0" w:line="240" w:lineRule="auto"/>
        <w:jc w:val="both"/>
        <w:rPr>
          <w:sz w:val="24"/>
          <w:szCs w:val="24"/>
        </w:rPr>
      </w:pPr>
      <w:r w:rsidRPr="002F744F">
        <w:rPr>
          <w:sz w:val="24"/>
          <w:szCs w:val="24"/>
        </w:rPr>
        <w:t xml:space="preserve">An entity can be an investment entity in the absence of one or more of these characteristics provided management has assessed why it is appropriate for the entity to qualify as an investment entity and makes appropriate disclosure in the financial statements. </w:t>
      </w:r>
    </w:p>
    <w:p w:rsidR="00EE4004" w:rsidRPr="002F744F" w:rsidRDefault="00EE4004" w:rsidP="002F744F">
      <w:pPr>
        <w:autoSpaceDE w:val="0"/>
        <w:autoSpaceDN w:val="0"/>
        <w:adjustRightInd w:val="0"/>
        <w:spacing w:after="0" w:line="240" w:lineRule="auto"/>
        <w:jc w:val="both"/>
        <w:rPr>
          <w:b/>
          <w:sz w:val="24"/>
          <w:szCs w:val="24"/>
        </w:rPr>
      </w:pPr>
    </w:p>
    <w:p w:rsidR="00EE4004" w:rsidRPr="00895EFF" w:rsidRDefault="00EE4004" w:rsidP="00895EFF">
      <w:pPr>
        <w:pStyle w:val="ListParagraph"/>
        <w:numPr>
          <w:ilvl w:val="0"/>
          <w:numId w:val="12"/>
        </w:numPr>
        <w:tabs>
          <w:tab w:val="left" w:pos="360"/>
        </w:tabs>
        <w:autoSpaceDE w:val="0"/>
        <w:autoSpaceDN w:val="0"/>
        <w:adjustRightInd w:val="0"/>
        <w:spacing w:after="0" w:line="240" w:lineRule="auto"/>
        <w:ind w:hanging="720"/>
        <w:rPr>
          <w:bCs/>
          <w:sz w:val="26"/>
          <w:szCs w:val="26"/>
          <w:lang w:val="en-US"/>
        </w:rPr>
      </w:pPr>
      <w:bookmarkStart w:id="4" w:name="_Toc388018658"/>
      <w:r w:rsidRPr="00895EFF">
        <w:rPr>
          <w:bCs/>
          <w:sz w:val="26"/>
          <w:szCs w:val="26"/>
          <w:lang w:val="en-US"/>
        </w:rPr>
        <w:t>Accounting by an investment entity</w:t>
      </w:r>
      <w:bookmarkEnd w:id="4"/>
    </w:p>
    <w:p w:rsidR="00EE4004" w:rsidRPr="002F744F" w:rsidRDefault="00EE4004" w:rsidP="002F744F">
      <w:pPr>
        <w:autoSpaceDE w:val="0"/>
        <w:autoSpaceDN w:val="0"/>
        <w:adjustRightInd w:val="0"/>
        <w:spacing w:after="0" w:line="240" w:lineRule="auto"/>
        <w:jc w:val="both"/>
        <w:rPr>
          <w:sz w:val="24"/>
          <w:szCs w:val="24"/>
        </w:rPr>
      </w:pPr>
    </w:p>
    <w:p w:rsidR="00EE4004" w:rsidRDefault="00EE4004" w:rsidP="002F744F">
      <w:pPr>
        <w:autoSpaceDE w:val="0"/>
        <w:autoSpaceDN w:val="0"/>
        <w:adjustRightInd w:val="0"/>
        <w:spacing w:after="0" w:line="240" w:lineRule="auto"/>
        <w:jc w:val="both"/>
        <w:rPr>
          <w:sz w:val="24"/>
          <w:szCs w:val="24"/>
        </w:rPr>
      </w:pPr>
      <w:r w:rsidRPr="002F744F">
        <w:rPr>
          <w:sz w:val="24"/>
          <w:szCs w:val="24"/>
        </w:rPr>
        <w:t xml:space="preserve">A parent that is an ‘investment entity is required to account for its subsidiaries at fair value through profit or loss under IFRS 9. </w:t>
      </w:r>
    </w:p>
    <w:p w:rsidR="00EE4004" w:rsidRPr="002F744F" w:rsidRDefault="00EE4004" w:rsidP="002F744F">
      <w:pPr>
        <w:autoSpaceDE w:val="0"/>
        <w:autoSpaceDN w:val="0"/>
        <w:adjustRightInd w:val="0"/>
        <w:spacing w:after="0" w:line="240" w:lineRule="auto"/>
        <w:jc w:val="both"/>
        <w:rPr>
          <w:b/>
          <w:sz w:val="24"/>
          <w:szCs w:val="24"/>
        </w:rPr>
      </w:pPr>
    </w:p>
    <w:p w:rsidR="00EE4004" w:rsidRPr="00895EFF" w:rsidRDefault="00EE4004" w:rsidP="00895EFF">
      <w:pPr>
        <w:pStyle w:val="ListParagraph"/>
        <w:numPr>
          <w:ilvl w:val="0"/>
          <w:numId w:val="12"/>
        </w:numPr>
        <w:tabs>
          <w:tab w:val="left" w:pos="360"/>
        </w:tabs>
        <w:autoSpaceDE w:val="0"/>
        <w:autoSpaceDN w:val="0"/>
        <w:adjustRightInd w:val="0"/>
        <w:spacing w:after="0" w:line="240" w:lineRule="auto"/>
        <w:ind w:hanging="720"/>
        <w:rPr>
          <w:bCs/>
          <w:sz w:val="26"/>
          <w:szCs w:val="26"/>
          <w:lang w:val="en-US"/>
        </w:rPr>
      </w:pPr>
      <w:bookmarkStart w:id="5" w:name="_Toc388018659"/>
      <w:r w:rsidRPr="00895EFF">
        <w:rPr>
          <w:bCs/>
          <w:sz w:val="26"/>
          <w:szCs w:val="26"/>
          <w:lang w:val="en-US"/>
        </w:rPr>
        <w:t>Separate financial statements</w:t>
      </w:r>
      <w:bookmarkEnd w:id="5"/>
    </w:p>
    <w:p w:rsidR="00EE4004" w:rsidRPr="002F744F" w:rsidRDefault="00EE4004" w:rsidP="002F744F">
      <w:pPr>
        <w:autoSpaceDE w:val="0"/>
        <w:autoSpaceDN w:val="0"/>
        <w:adjustRightInd w:val="0"/>
        <w:spacing w:after="0" w:line="240" w:lineRule="auto"/>
        <w:jc w:val="both"/>
        <w:rPr>
          <w:sz w:val="24"/>
          <w:szCs w:val="24"/>
        </w:rPr>
      </w:pPr>
    </w:p>
    <w:p w:rsidR="00EE4004" w:rsidRPr="002F744F" w:rsidRDefault="00EE4004" w:rsidP="002F744F">
      <w:pPr>
        <w:autoSpaceDE w:val="0"/>
        <w:autoSpaceDN w:val="0"/>
        <w:adjustRightInd w:val="0"/>
        <w:spacing w:after="0" w:line="240" w:lineRule="auto"/>
        <w:jc w:val="both"/>
        <w:rPr>
          <w:b/>
          <w:bCs/>
          <w:sz w:val="24"/>
          <w:szCs w:val="24"/>
        </w:rPr>
      </w:pPr>
      <w:r w:rsidRPr="002F744F">
        <w:rPr>
          <w:bCs/>
          <w:sz w:val="24"/>
          <w:szCs w:val="24"/>
        </w:rPr>
        <w:t xml:space="preserve">An entity might be an investment entity having some subsidiaries that are accounted for at fair value through profit or loss, and other subsidiaries that provide investment-related services. </w:t>
      </w:r>
    </w:p>
    <w:p w:rsidR="00EE4004" w:rsidRPr="002F744F" w:rsidRDefault="00EE4004" w:rsidP="002F744F">
      <w:pPr>
        <w:autoSpaceDE w:val="0"/>
        <w:autoSpaceDN w:val="0"/>
        <w:adjustRightInd w:val="0"/>
        <w:spacing w:after="0" w:line="240" w:lineRule="auto"/>
        <w:jc w:val="both"/>
        <w:rPr>
          <w:b/>
          <w:bCs/>
          <w:sz w:val="24"/>
          <w:szCs w:val="24"/>
        </w:rPr>
      </w:pPr>
    </w:p>
    <w:p w:rsidR="00EE4004" w:rsidRDefault="00EE4004" w:rsidP="002F744F">
      <w:pPr>
        <w:autoSpaceDE w:val="0"/>
        <w:autoSpaceDN w:val="0"/>
        <w:adjustRightInd w:val="0"/>
        <w:spacing w:after="0" w:line="240" w:lineRule="auto"/>
        <w:jc w:val="both"/>
        <w:rPr>
          <w:bCs/>
          <w:sz w:val="24"/>
          <w:szCs w:val="24"/>
        </w:rPr>
      </w:pPr>
      <w:r w:rsidRPr="002F744F">
        <w:rPr>
          <w:bCs/>
          <w:sz w:val="24"/>
          <w:szCs w:val="24"/>
        </w:rPr>
        <w:t>The entity will have to prepare consolidated financial statements in which the subsidiaries providing investment-related services are consolidated. If the entity also prepare separate financial statements, it must account for the subsidiaries that are measured at fair value through profit or loss in its consolidated financial statements in the same way as in its separate financial statements (that is, at fair value through profit or loss) [</w:t>
      </w:r>
      <w:r w:rsidRPr="00C366DF">
        <w:rPr>
          <w:b/>
          <w:bCs/>
          <w:sz w:val="24"/>
          <w:szCs w:val="24"/>
        </w:rPr>
        <w:t>IAS 27 para 11A</w:t>
      </w:r>
      <w:r w:rsidRPr="002F744F">
        <w:rPr>
          <w:bCs/>
          <w:sz w:val="24"/>
          <w:szCs w:val="24"/>
        </w:rPr>
        <w:t>].</w:t>
      </w:r>
    </w:p>
    <w:p w:rsidR="00EE4004" w:rsidRPr="002F744F" w:rsidRDefault="00EE4004" w:rsidP="002F744F">
      <w:pPr>
        <w:autoSpaceDE w:val="0"/>
        <w:autoSpaceDN w:val="0"/>
        <w:adjustRightInd w:val="0"/>
        <w:spacing w:after="0" w:line="240" w:lineRule="auto"/>
        <w:jc w:val="both"/>
        <w:rPr>
          <w:b/>
          <w:bCs/>
          <w:sz w:val="24"/>
          <w:szCs w:val="24"/>
        </w:rPr>
      </w:pPr>
    </w:p>
    <w:p w:rsidR="00EE4004" w:rsidRPr="00895EFF" w:rsidRDefault="00EE4004" w:rsidP="00895EFF">
      <w:pPr>
        <w:pStyle w:val="ListParagraph"/>
        <w:numPr>
          <w:ilvl w:val="0"/>
          <w:numId w:val="12"/>
        </w:numPr>
        <w:tabs>
          <w:tab w:val="left" w:pos="360"/>
        </w:tabs>
        <w:autoSpaceDE w:val="0"/>
        <w:autoSpaceDN w:val="0"/>
        <w:adjustRightInd w:val="0"/>
        <w:spacing w:after="0" w:line="240" w:lineRule="auto"/>
        <w:ind w:hanging="720"/>
        <w:rPr>
          <w:bCs/>
          <w:sz w:val="26"/>
          <w:szCs w:val="26"/>
          <w:lang w:val="en-US"/>
        </w:rPr>
      </w:pPr>
      <w:r w:rsidRPr="00895EFF">
        <w:rPr>
          <w:bCs/>
          <w:sz w:val="26"/>
          <w:szCs w:val="26"/>
          <w:lang w:val="en-US"/>
        </w:rPr>
        <w:t>Practical implication on Financial Statements</w:t>
      </w:r>
    </w:p>
    <w:p w:rsidR="00EE4004" w:rsidRPr="002F744F" w:rsidRDefault="00EE4004" w:rsidP="002F744F">
      <w:pPr>
        <w:autoSpaceDE w:val="0"/>
        <w:autoSpaceDN w:val="0"/>
        <w:adjustRightInd w:val="0"/>
        <w:spacing w:after="0" w:line="240" w:lineRule="auto"/>
        <w:jc w:val="both"/>
        <w:rPr>
          <w:b/>
          <w:bCs/>
          <w:sz w:val="24"/>
          <w:szCs w:val="24"/>
        </w:rPr>
      </w:pPr>
    </w:p>
    <w:p w:rsidR="00EE4004" w:rsidRPr="002F744F" w:rsidRDefault="00EE4004" w:rsidP="002F744F">
      <w:pPr>
        <w:autoSpaceDE w:val="0"/>
        <w:autoSpaceDN w:val="0"/>
        <w:adjustRightInd w:val="0"/>
        <w:spacing w:after="0" w:line="240" w:lineRule="auto"/>
        <w:jc w:val="both"/>
        <w:rPr>
          <w:b/>
          <w:bCs/>
          <w:sz w:val="24"/>
          <w:szCs w:val="24"/>
        </w:rPr>
      </w:pPr>
      <w:r w:rsidRPr="00C366DF">
        <w:rPr>
          <w:b/>
          <w:bCs/>
          <w:sz w:val="24"/>
          <w:szCs w:val="24"/>
        </w:rPr>
        <w:t>Disclosures</w:t>
      </w:r>
      <w:r w:rsidRPr="002F744F">
        <w:rPr>
          <w:bCs/>
          <w:sz w:val="24"/>
          <w:szCs w:val="24"/>
        </w:rPr>
        <w:t xml:space="preserve"> to be provided by investment entities with controlled subsidiaries </w:t>
      </w:r>
      <w:r>
        <w:rPr>
          <w:bCs/>
          <w:sz w:val="24"/>
          <w:szCs w:val="24"/>
        </w:rPr>
        <w:t xml:space="preserve">are </w:t>
      </w:r>
      <w:r w:rsidRPr="002F744F">
        <w:rPr>
          <w:bCs/>
          <w:sz w:val="24"/>
          <w:szCs w:val="24"/>
        </w:rPr>
        <w:t xml:space="preserve">set out in IFRS 12, ‘Disclosure of interests in other entities’. These disclosures are also required by an investment entity parent that prepares separate financial statements as its only financial statements. Refer to </w:t>
      </w:r>
      <w:r w:rsidRPr="00C366DF">
        <w:rPr>
          <w:b/>
          <w:bCs/>
          <w:sz w:val="24"/>
          <w:szCs w:val="24"/>
        </w:rPr>
        <w:t>IFRS 12 paragraph 19A to 19G</w:t>
      </w:r>
      <w:r w:rsidRPr="002F744F">
        <w:rPr>
          <w:bCs/>
          <w:sz w:val="24"/>
          <w:szCs w:val="24"/>
        </w:rPr>
        <w:t xml:space="preserve"> for the required disclosures. </w:t>
      </w:r>
    </w:p>
    <w:p w:rsidR="00EE4004" w:rsidRDefault="00EE4004" w:rsidP="002F744F">
      <w:pPr>
        <w:autoSpaceDE w:val="0"/>
        <w:autoSpaceDN w:val="0"/>
        <w:adjustRightInd w:val="0"/>
        <w:spacing w:after="0" w:line="240" w:lineRule="auto"/>
        <w:jc w:val="both"/>
        <w:rPr>
          <w:b/>
          <w:sz w:val="24"/>
          <w:szCs w:val="24"/>
        </w:rPr>
      </w:pPr>
    </w:p>
    <w:p w:rsidR="00EE4004" w:rsidRDefault="00EE4004" w:rsidP="002F744F">
      <w:pPr>
        <w:autoSpaceDE w:val="0"/>
        <w:autoSpaceDN w:val="0"/>
        <w:adjustRightInd w:val="0"/>
        <w:spacing w:after="0" w:line="240" w:lineRule="auto"/>
        <w:jc w:val="both"/>
        <w:rPr>
          <w:b/>
          <w:sz w:val="24"/>
          <w:szCs w:val="24"/>
        </w:rPr>
      </w:pPr>
    </w:p>
    <w:p w:rsidR="00EE4004" w:rsidRDefault="00EE4004" w:rsidP="002F744F">
      <w:pPr>
        <w:autoSpaceDE w:val="0"/>
        <w:autoSpaceDN w:val="0"/>
        <w:adjustRightInd w:val="0"/>
        <w:spacing w:after="0" w:line="240" w:lineRule="auto"/>
        <w:jc w:val="both"/>
        <w:rPr>
          <w:b/>
          <w:sz w:val="24"/>
          <w:szCs w:val="24"/>
        </w:rPr>
      </w:pPr>
    </w:p>
    <w:p w:rsidR="00EE4004" w:rsidRDefault="00EE4004" w:rsidP="002F744F">
      <w:pPr>
        <w:autoSpaceDE w:val="0"/>
        <w:autoSpaceDN w:val="0"/>
        <w:adjustRightInd w:val="0"/>
        <w:spacing w:after="0" w:line="240" w:lineRule="auto"/>
        <w:jc w:val="both"/>
        <w:rPr>
          <w:b/>
          <w:sz w:val="24"/>
          <w:szCs w:val="24"/>
        </w:rPr>
      </w:pPr>
    </w:p>
    <w:p w:rsidR="00EE4004" w:rsidRDefault="00EE4004" w:rsidP="002F744F">
      <w:pPr>
        <w:autoSpaceDE w:val="0"/>
        <w:autoSpaceDN w:val="0"/>
        <w:adjustRightInd w:val="0"/>
        <w:spacing w:after="0" w:line="240" w:lineRule="auto"/>
        <w:jc w:val="both"/>
        <w:rPr>
          <w:b/>
          <w:sz w:val="24"/>
          <w:szCs w:val="24"/>
        </w:rPr>
      </w:pPr>
    </w:p>
    <w:p w:rsidR="00EE4004" w:rsidRDefault="00EE4004" w:rsidP="002F744F">
      <w:pPr>
        <w:autoSpaceDE w:val="0"/>
        <w:autoSpaceDN w:val="0"/>
        <w:adjustRightInd w:val="0"/>
        <w:spacing w:after="0" w:line="240" w:lineRule="auto"/>
        <w:jc w:val="both"/>
        <w:rPr>
          <w:b/>
          <w:sz w:val="24"/>
          <w:szCs w:val="24"/>
        </w:rPr>
      </w:pPr>
    </w:p>
    <w:p w:rsidR="00EE4004" w:rsidRDefault="00EE4004" w:rsidP="002F744F">
      <w:pPr>
        <w:autoSpaceDE w:val="0"/>
        <w:autoSpaceDN w:val="0"/>
        <w:adjustRightInd w:val="0"/>
        <w:spacing w:after="0" w:line="240" w:lineRule="auto"/>
        <w:jc w:val="both"/>
        <w:rPr>
          <w:b/>
          <w:sz w:val="24"/>
          <w:szCs w:val="24"/>
        </w:rPr>
      </w:pPr>
    </w:p>
    <w:p w:rsidR="00EE4004" w:rsidRDefault="00EE4004" w:rsidP="002F744F">
      <w:pPr>
        <w:autoSpaceDE w:val="0"/>
        <w:autoSpaceDN w:val="0"/>
        <w:adjustRightInd w:val="0"/>
        <w:spacing w:after="0" w:line="240" w:lineRule="auto"/>
        <w:jc w:val="both"/>
        <w:rPr>
          <w:b/>
          <w:sz w:val="24"/>
          <w:szCs w:val="24"/>
        </w:rPr>
      </w:pPr>
    </w:p>
    <w:p w:rsidR="00EE4004" w:rsidRDefault="00EE4004" w:rsidP="002F744F">
      <w:pPr>
        <w:autoSpaceDE w:val="0"/>
        <w:autoSpaceDN w:val="0"/>
        <w:adjustRightInd w:val="0"/>
        <w:spacing w:after="0" w:line="240" w:lineRule="auto"/>
        <w:jc w:val="both"/>
        <w:rPr>
          <w:b/>
          <w:sz w:val="24"/>
          <w:szCs w:val="24"/>
        </w:rPr>
      </w:pPr>
    </w:p>
    <w:p w:rsidR="00EE4004" w:rsidRDefault="00EE4004" w:rsidP="002F744F">
      <w:pPr>
        <w:autoSpaceDE w:val="0"/>
        <w:autoSpaceDN w:val="0"/>
        <w:adjustRightInd w:val="0"/>
        <w:spacing w:after="0" w:line="240" w:lineRule="auto"/>
        <w:jc w:val="both"/>
        <w:rPr>
          <w:b/>
          <w:sz w:val="24"/>
          <w:szCs w:val="24"/>
        </w:rPr>
      </w:pPr>
    </w:p>
    <w:p w:rsidR="00EE4004" w:rsidRDefault="00EE4004" w:rsidP="002F744F">
      <w:pPr>
        <w:autoSpaceDE w:val="0"/>
        <w:autoSpaceDN w:val="0"/>
        <w:adjustRightInd w:val="0"/>
        <w:spacing w:after="0" w:line="240" w:lineRule="auto"/>
        <w:jc w:val="both"/>
        <w:rPr>
          <w:b/>
          <w:sz w:val="24"/>
          <w:szCs w:val="24"/>
        </w:rPr>
      </w:pPr>
    </w:p>
    <w:p w:rsidR="00EE4004" w:rsidRDefault="00EE4004" w:rsidP="002F744F">
      <w:pPr>
        <w:autoSpaceDE w:val="0"/>
        <w:autoSpaceDN w:val="0"/>
        <w:adjustRightInd w:val="0"/>
        <w:spacing w:after="0" w:line="240" w:lineRule="auto"/>
        <w:jc w:val="both"/>
        <w:rPr>
          <w:b/>
          <w:sz w:val="24"/>
          <w:szCs w:val="24"/>
        </w:rPr>
      </w:pPr>
    </w:p>
    <w:p w:rsidR="00EE4004" w:rsidRDefault="00EE4004" w:rsidP="002F744F">
      <w:pPr>
        <w:autoSpaceDE w:val="0"/>
        <w:autoSpaceDN w:val="0"/>
        <w:adjustRightInd w:val="0"/>
        <w:spacing w:after="0" w:line="240" w:lineRule="auto"/>
        <w:jc w:val="both"/>
        <w:rPr>
          <w:b/>
          <w:sz w:val="24"/>
          <w:szCs w:val="24"/>
        </w:rPr>
      </w:pPr>
    </w:p>
    <w:p w:rsidR="00EE4004" w:rsidRDefault="00EE4004" w:rsidP="002F744F">
      <w:pPr>
        <w:autoSpaceDE w:val="0"/>
        <w:autoSpaceDN w:val="0"/>
        <w:adjustRightInd w:val="0"/>
        <w:spacing w:after="0" w:line="240" w:lineRule="auto"/>
        <w:jc w:val="both"/>
        <w:rPr>
          <w:b/>
          <w:sz w:val="24"/>
          <w:szCs w:val="24"/>
        </w:rPr>
      </w:pPr>
    </w:p>
    <w:p w:rsidR="00EE4004" w:rsidRDefault="00EE4004" w:rsidP="002F744F">
      <w:pPr>
        <w:autoSpaceDE w:val="0"/>
        <w:autoSpaceDN w:val="0"/>
        <w:adjustRightInd w:val="0"/>
        <w:spacing w:after="0" w:line="240" w:lineRule="auto"/>
        <w:jc w:val="both"/>
        <w:rPr>
          <w:b/>
          <w:sz w:val="24"/>
          <w:szCs w:val="24"/>
        </w:rPr>
      </w:pPr>
    </w:p>
    <w:p w:rsidR="00EE4004" w:rsidRDefault="00EE4004" w:rsidP="002F744F">
      <w:pPr>
        <w:autoSpaceDE w:val="0"/>
        <w:autoSpaceDN w:val="0"/>
        <w:adjustRightInd w:val="0"/>
        <w:spacing w:after="0" w:line="240" w:lineRule="auto"/>
        <w:jc w:val="both"/>
        <w:rPr>
          <w:b/>
          <w:sz w:val="24"/>
          <w:szCs w:val="24"/>
        </w:rPr>
      </w:pPr>
    </w:p>
    <w:p w:rsidR="00EE4004" w:rsidRDefault="00EE4004" w:rsidP="002F744F">
      <w:pPr>
        <w:autoSpaceDE w:val="0"/>
        <w:autoSpaceDN w:val="0"/>
        <w:adjustRightInd w:val="0"/>
        <w:spacing w:after="0" w:line="240" w:lineRule="auto"/>
        <w:jc w:val="both"/>
        <w:rPr>
          <w:b/>
          <w:sz w:val="24"/>
          <w:szCs w:val="24"/>
        </w:rPr>
      </w:pPr>
    </w:p>
    <w:p w:rsidR="00EE4004" w:rsidRDefault="00EE4004" w:rsidP="002F744F">
      <w:pPr>
        <w:autoSpaceDE w:val="0"/>
        <w:autoSpaceDN w:val="0"/>
        <w:adjustRightInd w:val="0"/>
        <w:spacing w:after="0" w:line="240" w:lineRule="auto"/>
        <w:jc w:val="both"/>
        <w:rPr>
          <w:b/>
          <w:sz w:val="24"/>
          <w:szCs w:val="24"/>
        </w:rPr>
      </w:pPr>
    </w:p>
    <w:p w:rsidR="00EE4004" w:rsidRDefault="00EE4004" w:rsidP="002F744F">
      <w:pPr>
        <w:autoSpaceDE w:val="0"/>
        <w:autoSpaceDN w:val="0"/>
        <w:adjustRightInd w:val="0"/>
        <w:spacing w:after="0" w:line="240" w:lineRule="auto"/>
        <w:jc w:val="both"/>
        <w:rPr>
          <w:b/>
          <w:sz w:val="24"/>
          <w:szCs w:val="24"/>
        </w:rPr>
      </w:pPr>
    </w:p>
    <w:p w:rsidR="00EE4004" w:rsidRDefault="00EE4004" w:rsidP="002F744F">
      <w:pPr>
        <w:autoSpaceDE w:val="0"/>
        <w:autoSpaceDN w:val="0"/>
        <w:adjustRightInd w:val="0"/>
        <w:spacing w:after="0" w:line="240" w:lineRule="auto"/>
        <w:jc w:val="both"/>
        <w:rPr>
          <w:b/>
          <w:sz w:val="24"/>
          <w:szCs w:val="24"/>
        </w:rPr>
      </w:pPr>
    </w:p>
    <w:p w:rsidR="00EE4004" w:rsidRDefault="00EE4004" w:rsidP="002F744F">
      <w:pPr>
        <w:autoSpaceDE w:val="0"/>
        <w:autoSpaceDN w:val="0"/>
        <w:adjustRightInd w:val="0"/>
        <w:spacing w:after="0" w:line="240" w:lineRule="auto"/>
        <w:jc w:val="both"/>
        <w:rPr>
          <w:b/>
          <w:sz w:val="24"/>
          <w:szCs w:val="24"/>
        </w:rPr>
      </w:pPr>
    </w:p>
    <w:p w:rsidR="00EE4004" w:rsidRDefault="00EE4004" w:rsidP="002F744F">
      <w:pPr>
        <w:autoSpaceDE w:val="0"/>
        <w:autoSpaceDN w:val="0"/>
        <w:adjustRightInd w:val="0"/>
        <w:spacing w:after="0" w:line="240" w:lineRule="auto"/>
        <w:jc w:val="both"/>
        <w:rPr>
          <w:b/>
          <w:sz w:val="24"/>
          <w:szCs w:val="24"/>
        </w:rPr>
      </w:pPr>
    </w:p>
    <w:p w:rsidR="00EE4004" w:rsidRDefault="00EE4004" w:rsidP="002F744F">
      <w:pPr>
        <w:autoSpaceDE w:val="0"/>
        <w:autoSpaceDN w:val="0"/>
        <w:adjustRightInd w:val="0"/>
        <w:spacing w:after="0" w:line="240" w:lineRule="auto"/>
        <w:jc w:val="both"/>
        <w:rPr>
          <w:b/>
          <w:sz w:val="24"/>
          <w:szCs w:val="24"/>
        </w:rPr>
      </w:pPr>
    </w:p>
    <w:p w:rsidR="00EE4004" w:rsidRDefault="00EE4004" w:rsidP="002F744F">
      <w:pPr>
        <w:autoSpaceDE w:val="0"/>
        <w:autoSpaceDN w:val="0"/>
        <w:adjustRightInd w:val="0"/>
        <w:spacing w:after="0" w:line="240" w:lineRule="auto"/>
        <w:jc w:val="both"/>
        <w:rPr>
          <w:b/>
          <w:sz w:val="24"/>
          <w:szCs w:val="24"/>
        </w:rPr>
      </w:pPr>
    </w:p>
    <w:p w:rsidR="00EE4004" w:rsidRDefault="00EE4004" w:rsidP="002F744F">
      <w:pPr>
        <w:autoSpaceDE w:val="0"/>
        <w:autoSpaceDN w:val="0"/>
        <w:adjustRightInd w:val="0"/>
        <w:spacing w:after="0" w:line="240" w:lineRule="auto"/>
        <w:jc w:val="both"/>
        <w:rPr>
          <w:b/>
          <w:sz w:val="24"/>
          <w:szCs w:val="24"/>
        </w:rPr>
      </w:pPr>
    </w:p>
    <w:p w:rsidR="00EE4004" w:rsidRPr="00895EFF" w:rsidRDefault="00EE4004" w:rsidP="00895EFF">
      <w:pPr>
        <w:pStyle w:val="ListParagraph"/>
        <w:numPr>
          <w:ilvl w:val="0"/>
          <w:numId w:val="12"/>
        </w:numPr>
        <w:tabs>
          <w:tab w:val="left" w:pos="360"/>
        </w:tabs>
        <w:autoSpaceDE w:val="0"/>
        <w:autoSpaceDN w:val="0"/>
        <w:adjustRightInd w:val="0"/>
        <w:spacing w:after="0" w:line="240" w:lineRule="auto"/>
        <w:ind w:hanging="720"/>
        <w:rPr>
          <w:bCs/>
          <w:sz w:val="26"/>
          <w:szCs w:val="26"/>
          <w:lang w:val="en-US"/>
        </w:rPr>
      </w:pPr>
      <w:r w:rsidRPr="00895EFF">
        <w:rPr>
          <w:bCs/>
          <w:sz w:val="26"/>
          <w:szCs w:val="26"/>
          <w:lang w:val="en-US"/>
        </w:rPr>
        <w:t>Examples</w:t>
      </w:r>
    </w:p>
    <w:p w:rsidR="00EE4004" w:rsidRDefault="00EE4004" w:rsidP="00B75B51">
      <w:pPr>
        <w:tabs>
          <w:tab w:val="left" w:pos="7365"/>
        </w:tabs>
        <w:autoSpaceDE w:val="0"/>
        <w:autoSpaceDN w:val="0"/>
        <w:adjustRightInd w:val="0"/>
        <w:spacing w:after="0" w:line="240" w:lineRule="auto"/>
        <w:rPr>
          <w:b/>
          <w:bCs/>
          <w:color w:val="000000"/>
          <w:sz w:val="24"/>
          <w:szCs w:val="24"/>
        </w:rPr>
      </w:pPr>
      <w:r>
        <w:rPr>
          <w:b/>
          <w:bCs/>
          <w:color w:val="000000"/>
          <w:sz w:val="24"/>
          <w:szCs w:val="24"/>
        </w:rPr>
        <w:tab/>
      </w:r>
    </w:p>
    <w:p w:rsidR="00EE4004" w:rsidRPr="00C366DF" w:rsidRDefault="00EE4004" w:rsidP="00C366DF">
      <w:pPr>
        <w:autoSpaceDE w:val="0"/>
        <w:autoSpaceDN w:val="0"/>
        <w:adjustRightInd w:val="0"/>
        <w:spacing w:after="0" w:line="240" w:lineRule="auto"/>
        <w:rPr>
          <w:b/>
          <w:bCs/>
          <w:color w:val="000000"/>
          <w:sz w:val="24"/>
          <w:szCs w:val="24"/>
        </w:rPr>
      </w:pPr>
      <w:r w:rsidRPr="00B75B51">
        <w:rPr>
          <w:b/>
          <w:bCs/>
          <w:color w:val="000000"/>
          <w:sz w:val="24"/>
          <w:szCs w:val="24"/>
        </w:rPr>
        <w:t>A master-feeder structure (based on IFRS 10 para IE12, example 4</w:t>
      </w:r>
      <w:r>
        <w:rPr>
          <w:b/>
          <w:bCs/>
          <w:color w:val="000000"/>
          <w:sz w:val="24"/>
          <w:szCs w:val="24"/>
        </w:rPr>
        <w:t>)</w:t>
      </w:r>
    </w:p>
    <w:p w:rsidR="00EE4004" w:rsidRDefault="00EE4004" w:rsidP="00C366DF">
      <w:pPr>
        <w:autoSpaceDE w:val="0"/>
        <w:autoSpaceDN w:val="0"/>
        <w:adjustRightInd w:val="0"/>
        <w:spacing w:after="0" w:line="240" w:lineRule="auto"/>
        <w:rPr>
          <w:color w:val="000000"/>
          <w:sz w:val="24"/>
          <w:szCs w:val="24"/>
        </w:rPr>
      </w:pPr>
    </w:p>
    <w:p w:rsidR="00EE4004" w:rsidRPr="00C366DF" w:rsidRDefault="00EE4004" w:rsidP="00C366DF">
      <w:pPr>
        <w:autoSpaceDE w:val="0"/>
        <w:autoSpaceDN w:val="0"/>
        <w:adjustRightInd w:val="0"/>
        <w:spacing w:after="0" w:line="240" w:lineRule="auto"/>
        <w:jc w:val="both"/>
        <w:rPr>
          <w:bCs/>
          <w:sz w:val="24"/>
          <w:szCs w:val="24"/>
        </w:rPr>
      </w:pPr>
      <w:r w:rsidRPr="00C366DF">
        <w:rPr>
          <w:bCs/>
          <w:sz w:val="24"/>
          <w:szCs w:val="24"/>
        </w:rPr>
        <w:t>An entity, master fund ‘MF1’, is formed in 20X1 with a 10-year life. The equity of MF1 is held by two related feeder funds (FFD &amp; FFO) which are established in connection with each other to meet legal, regulatory, tax or similar requirements.</w:t>
      </w:r>
    </w:p>
    <w:p w:rsidR="00EE4004" w:rsidRPr="00C366DF" w:rsidRDefault="00EE4004" w:rsidP="00C366DF">
      <w:pPr>
        <w:autoSpaceDE w:val="0"/>
        <w:autoSpaceDN w:val="0"/>
        <w:adjustRightInd w:val="0"/>
        <w:spacing w:after="0" w:line="240" w:lineRule="auto"/>
        <w:jc w:val="both"/>
        <w:rPr>
          <w:bCs/>
          <w:sz w:val="24"/>
          <w:szCs w:val="24"/>
        </w:rPr>
      </w:pPr>
    </w:p>
    <w:p w:rsidR="00EE4004" w:rsidRPr="00C366DF" w:rsidRDefault="00EE4004" w:rsidP="00C366DF">
      <w:pPr>
        <w:autoSpaceDE w:val="0"/>
        <w:autoSpaceDN w:val="0"/>
        <w:adjustRightInd w:val="0"/>
        <w:spacing w:after="0" w:line="240" w:lineRule="auto"/>
        <w:jc w:val="both"/>
        <w:rPr>
          <w:bCs/>
          <w:sz w:val="24"/>
          <w:szCs w:val="24"/>
        </w:rPr>
      </w:pPr>
      <w:r w:rsidRPr="00C366DF">
        <w:rPr>
          <w:bCs/>
          <w:sz w:val="24"/>
          <w:szCs w:val="24"/>
        </w:rPr>
        <w:t>FFD &amp; FFO are capitalised with a 1% investment from the general partner and 99% from equity investors that are unrelated to the general partner (with no party holding a controlling financial interest). The general partner of both FFD (a domestic feeder) and FFO (an offshore feeder) is the manager of MF1, FFD and FFO.</w:t>
      </w:r>
    </w:p>
    <w:p w:rsidR="00EE4004" w:rsidRDefault="00EE4004" w:rsidP="00C366DF">
      <w:pPr>
        <w:autoSpaceDE w:val="0"/>
        <w:autoSpaceDN w:val="0"/>
        <w:adjustRightInd w:val="0"/>
        <w:spacing w:after="0" w:line="240" w:lineRule="auto"/>
        <w:rPr>
          <w:b/>
          <w:color w:val="000000"/>
          <w:sz w:val="24"/>
          <w:szCs w:val="24"/>
        </w:rPr>
      </w:pPr>
    </w:p>
    <w:p w:rsidR="00EE4004" w:rsidRDefault="00EE4004" w:rsidP="00C366DF">
      <w:pPr>
        <w:autoSpaceDE w:val="0"/>
        <w:autoSpaceDN w:val="0"/>
        <w:adjustRightInd w:val="0"/>
        <w:spacing w:after="0" w:line="240" w:lineRule="auto"/>
        <w:rPr>
          <w:b/>
          <w:color w:val="FFFFFF"/>
          <w:sz w:val="24"/>
          <w:szCs w:val="24"/>
        </w:rPr>
      </w:pPr>
      <w:r>
        <w:rPr>
          <w:noProof/>
          <w:lang w:val="en-US"/>
        </w:rPr>
        <w:pict>
          <v:rect id="_x0000_s1028" style="position:absolute;margin-left:.75pt;margin-top:2.7pt;width:93.75pt;height:32.45pt;z-index:251634176" fillcolor="#4f81bd" stroked="f">
            <v:textbox style="mso-next-textbox:#_x0000_s1028">
              <w:txbxContent>
                <w:p w:rsidR="00EE4004" w:rsidRPr="00C45F98" w:rsidRDefault="00EE4004" w:rsidP="00C366DF">
                  <w:pPr>
                    <w:jc w:val="center"/>
                    <w:rPr>
                      <w:color w:val="FFFFFF"/>
                      <w:sz w:val="24"/>
                      <w:szCs w:val="24"/>
                    </w:rPr>
                  </w:pPr>
                  <w:r w:rsidRPr="00C45F98">
                    <w:rPr>
                      <w:b/>
                      <w:color w:val="FFFFFF"/>
                      <w:sz w:val="24"/>
                      <w:szCs w:val="24"/>
                    </w:rPr>
                    <w:t>GP 1%</w:t>
                  </w:r>
                </w:p>
              </w:txbxContent>
            </v:textbox>
          </v:rect>
        </w:pict>
      </w:r>
      <w:r>
        <w:rPr>
          <w:noProof/>
          <w:lang w:val="en-US"/>
        </w:rPr>
        <w:pict>
          <v:rect id="_x0000_s1029" style="position:absolute;margin-left:106.5pt;margin-top:1.4pt;width:135.15pt;height:37.5pt;z-index:251635200" fillcolor="#4f81bd" stroked="f">
            <v:textbox style="mso-next-textbox:#_x0000_s1029">
              <w:txbxContent>
                <w:p w:rsidR="00EE4004" w:rsidRPr="00C45F98" w:rsidRDefault="00EE4004" w:rsidP="00C366DF">
                  <w:pPr>
                    <w:pStyle w:val="NoSpacing"/>
                    <w:jc w:val="center"/>
                    <w:rPr>
                      <w:color w:val="FFFFFF"/>
                    </w:rPr>
                  </w:pPr>
                  <w:r w:rsidRPr="00C45F98">
                    <w:rPr>
                      <w:b/>
                      <w:color w:val="FFFFFF"/>
                    </w:rPr>
                    <w:t>Multiple investors 99%</w:t>
                  </w:r>
                </w:p>
                <w:p w:rsidR="00EE4004" w:rsidRPr="00C45F98" w:rsidRDefault="00EE4004" w:rsidP="00C366DF">
                  <w:pPr>
                    <w:pStyle w:val="NoSpacing"/>
                    <w:jc w:val="center"/>
                    <w:rPr>
                      <w:b/>
                      <w:color w:val="FFFFFF"/>
                    </w:rPr>
                  </w:pPr>
                  <w:r w:rsidRPr="00C45F98">
                    <w:rPr>
                      <w:b/>
                      <w:color w:val="FFFFFF"/>
                    </w:rPr>
                    <w:t>(unrelated)</w:t>
                  </w:r>
                </w:p>
              </w:txbxContent>
            </v:textbox>
          </v:rect>
        </w:pict>
      </w:r>
      <w:r>
        <w:rPr>
          <w:noProof/>
          <w:lang w:val="en-US"/>
        </w:rPr>
        <w:pict>
          <v:rect id="_x0000_s1030" style="position:absolute;margin-left:261pt;margin-top:1.4pt;width:73.5pt;height:37.5pt;z-index:251636224" fillcolor="#4f81bd" stroked="f">
            <v:textbox style="mso-next-textbox:#_x0000_s1030">
              <w:txbxContent>
                <w:p w:rsidR="00EE4004" w:rsidRPr="00C45F98" w:rsidRDefault="00EE4004" w:rsidP="00C366DF">
                  <w:pPr>
                    <w:jc w:val="center"/>
                    <w:rPr>
                      <w:color w:val="FFFFFF"/>
                      <w:sz w:val="24"/>
                      <w:szCs w:val="24"/>
                    </w:rPr>
                  </w:pPr>
                  <w:r w:rsidRPr="00C45F98">
                    <w:rPr>
                      <w:b/>
                      <w:color w:val="FFFFFF"/>
                      <w:sz w:val="24"/>
                      <w:szCs w:val="24"/>
                    </w:rPr>
                    <w:t>GP 1%</w:t>
                  </w:r>
                </w:p>
              </w:txbxContent>
            </v:textbox>
          </v:rect>
        </w:pict>
      </w:r>
      <w:r>
        <w:rPr>
          <w:noProof/>
          <w:lang w:val="en-US"/>
        </w:rPr>
        <w:pict>
          <v:rect id="_x0000_s1031" style="position:absolute;margin-left:348pt;margin-top:2.7pt;width:129.15pt;height:36.2pt;z-index:251637248" fillcolor="#4f81bd" stroked="f">
            <v:textbox style="mso-next-textbox:#_x0000_s1031">
              <w:txbxContent>
                <w:p w:rsidR="00EE4004" w:rsidRPr="00C45F98" w:rsidRDefault="00EE4004" w:rsidP="00C366DF">
                  <w:pPr>
                    <w:pStyle w:val="NoSpacing"/>
                    <w:jc w:val="center"/>
                    <w:rPr>
                      <w:color w:val="FFFFFF"/>
                    </w:rPr>
                  </w:pPr>
                  <w:r w:rsidRPr="00C45F98">
                    <w:rPr>
                      <w:b/>
                      <w:color w:val="FFFFFF"/>
                    </w:rPr>
                    <w:t>Multiple investors 99%</w:t>
                  </w:r>
                </w:p>
                <w:p w:rsidR="00EE4004" w:rsidRPr="00C45F98" w:rsidRDefault="00EE4004" w:rsidP="00C366DF">
                  <w:pPr>
                    <w:pStyle w:val="NoSpacing"/>
                    <w:jc w:val="center"/>
                    <w:rPr>
                      <w:b/>
                      <w:color w:val="FFFFFF"/>
                    </w:rPr>
                  </w:pPr>
                  <w:r w:rsidRPr="00C45F98">
                    <w:rPr>
                      <w:b/>
                      <w:color w:val="FFFFFF"/>
                    </w:rPr>
                    <w:t>(unrelated)</w:t>
                  </w:r>
                </w:p>
                <w:p w:rsidR="00EE4004" w:rsidRPr="00C45F98" w:rsidRDefault="00EE4004" w:rsidP="00C366DF">
                  <w:pPr>
                    <w:rPr>
                      <w:b/>
                      <w:color w:val="FFFFFF"/>
                      <w:szCs w:val="24"/>
                    </w:rPr>
                  </w:pPr>
                </w:p>
              </w:txbxContent>
            </v:textbox>
          </v:rect>
        </w:pict>
      </w:r>
      <w:r>
        <w:rPr>
          <w:noProof/>
          <w:lang w:val="en-US"/>
        </w:rPr>
        <w:pict>
          <v:shapetype id="_x0000_t32" coordsize="21600,21600" o:spt="32" o:oned="t" path="m,l21600,21600e" filled="f">
            <v:path arrowok="t" fillok="f" o:connecttype="none"/>
            <o:lock v:ext="edit" shapetype="t"/>
          </v:shapetype>
          <v:shape id="_x0000_s1032" type="#_x0000_t32" style="position:absolute;margin-left:59.4pt;margin-top:36.05pt;width:0;height:21pt;z-index:251638272" o:connectortype="straight" strokeweight="1pt">
            <v:stroke endarrow="block"/>
          </v:shape>
        </w:pict>
      </w:r>
      <w:r>
        <w:rPr>
          <w:noProof/>
          <w:lang w:val="en-US"/>
        </w:rPr>
        <w:pict>
          <v:shape id="_x0000_s1033" type="#_x0000_t32" style="position:absolute;margin-left:156.15pt;margin-top:39.8pt;width:0;height:17.25pt;z-index:251640320" o:connectortype="straight" strokeweight="1pt">
            <v:stroke endarrow="block"/>
          </v:shape>
        </w:pict>
      </w:r>
      <w:r>
        <w:rPr>
          <w:noProof/>
          <w:lang w:val="en-US"/>
        </w:rPr>
        <w:pict>
          <v:shape id="_x0000_s1034" type="#_x0000_t32" style="position:absolute;margin-left:292.65pt;margin-top:39.8pt;width:0;height:17.25pt;z-index:251641344" o:connectortype="straight" strokeweight="1pt">
            <v:stroke endarrow="block"/>
          </v:shape>
        </w:pict>
      </w:r>
      <w:r>
        <w:rPr>
          <w:noProof/>
          <w:lang w:val="en-US"/>
        </w:rPr>
        <w:pict>
          <v:shape id="_x0000_s1035" type="#_x0000_t32" style="position:absolute;margin-left:381.75pt;margin-top:39.8pt;width:0;height:17.25pt;z-index:251643392" o:connectortype="straight" strokeweight="1pt">
            <v:stroke endarrow="block"/>
          </v:shape>
        </w:pict>
      </w:r>
      <w:r>
        <w:rPr>
          <w:noProof/>
          <w:lang w:val="en-US"/>
        </w:rPr>
        <w:pict>
          <v:rect id="_x0000_s1036" style="position:absolute;margin-left:148.65pt;margin-top:116.55pt;width:141pt;height:21.2pt;z-index:251645440" fillcolor="#4f81bd" stroked="f">
            <v:textbox style="mso-next-textbox:#_x0000_s1036">
              <w:txbxContent>
                <w:p w:rsidR="00EE4004" w:rsidRPr="00C45F98" w:rsidRDefault="00EE4004" w:rsidP="00C366DF">
                  <w:pPr>
                    <w:jc w:val="center"/>
                    <w:rPr>
                      <w:color w:val="FFFFFF"/>
                      <w:sz w:val="24"/>
                      <w:szCs w:val="24"/>
                    </w:rPr>
                  </w:pPr>
                  <w:r w:rsidRPr="00C45F98">
                    <w:rPr>
                      <w:b/>
                      <w:color w:val="FFFFFF"/>
                      <w:sz w:val="24"/>
                      <w:szCs w:val="24"/>
                    </w:rPr>
                    <w:t>MF1 (master fund)</w:t>
                  </w:r>
                </w:p>
              </w:txbxContent>
            </v:textbox>
          </v:rect>
        </w:pict>
      </w:r>
      <w:r>
        <w:rPr>
          <w:noProof/>
          <w:lang w:val="en-US"/>
        </w:rPr>
        <w:pict>
          <v:shape id="_x0000_s1037" type="#_x0000_t32" style="position:absolute;margin-left:289.65pt;margin-top:130.5pt;width:58.35pt;height:0;z-index:251647488" o:connectortype="straight" strokeweight="1pt">
            <v:stroke dashstyle="dash" endarrow="block"/>
          </v:shape>
        </w:pict>
      </w:r>
      <w:r>
        <w:rPr>
          <w:noProof/>
          <w:lang w:val="en-US"/>
        </w:rPr>
        <w:pict>
          <v:rect id="_x0000_s1038" style="position:absolute;margin-left:348pt;margin-top:121.8pt;width:141pt;height:21.75pt;z-index:251648512" fillcolor="#4f81bd" stroked="f">
            <v:textbox style="mso-next-textbox:#_x0000_s1038">
              <w:txbxContent>
                <w:p w:rsidR="00EE4004" w:rsidRPr="00C45F98" w:rsidRDefault="00EE4004" w:rsidP="00C366DF">
                  <w:pPr>
                    <w:jc w:val="center"/>
                    <w:rPr>
                      <w:color w:val="FFFFFF"/>
                      <w:sz w:val="24"/>
                    </w:rPr>
                  </w:pPr>
                  <w:r w:rsidRPr="00C45F98">
                    <w:rPr>
                      <w:b/>
                      <w:color w:val="FFFFFF"/>
                      <w:sz w:val="24"/>
                    </w:rPr>
                    <w:t>Portfolio of  investments</w:t>
                  </w:r>
                </w:p>
              </w:txbxContent>
            </v:textbox>
          </v:rect>
        </w:pict>
      </w:r>
    </w:p>
    <w:p w:rsidR="00EE4004" w:rsidRDefault="00EE4004" w:rsidP="00C366DF">
      <w:pPr>
        <w:autoSpaceDE w:val="0"/>
        <w:autoSpaceDN w:val="0"/>
        <w:adjustRightInd w:val="0"/>
        <w:spacing w:after="0" w:line="240" w:lineRule="auto"/>
        <w:rPr>
          <w:b/>
          <w:bCs/>
          <w:i/>
          <w:iCs/>
          <w:color w:val="FFFFFF"/>
          <w:sz w:val="24"/>
          <w:szCs w:val="24"/>
        </w:rPr>
      </w:pPr>
    </w:p>
    <w:p w:rsidR="00EE4004" w:rsidRDefault="00EE4004" w:rsidP="00C366DF">
      <w:pPr>
        <w:autoSpaceDE w:val="0"/>
        <w:autoSpaceDN w:val="0"/>
        <w:adjustRightInd w:val="0"/>
        <w:spacing w:after="0" w:line="240" w:lineRule="auto"/>
        <w:rPr>
          <w:b/>
          <w:bCs/>
          <w:i/>
          <w:iCs/>
          <w:color w:val="FFFFFF"/>
          <w:sz w:val="24"/>
          <w:szCs w:val="24"/>
        </w:rPr>
      </w:pPr>
    </w:p>
    <w:p w:rsidR="00EE4004" w:rsidRDefault="00EE4004" w:rsidP="00C366DF">
      <w:pPr>
        <w:autoSpaceDE w:val="0"/>
        <w:autoSpaceDN w:val="0"/>
        <w:adjustRightInd w:val="0"/>
        <w:spacing w:after="0" w:line="240" w:lineRule="auto"/>
        <w:rPr>
          <w:b/>
          <w:bCs/>
          <w:i/>
          <w:iCs/>
          <w:color w:val="FFFFFF"/>
          <w:sz w:val="24"/>
          <w:szCs w:val="24"/>
        </w:rPr>
      </w:pPr>
    </w:p>
    <w:p w:rsidR="00EE4004" w:rsidRDefault="00EE4004" w:rsidP="00C366DF">
      <w:pPr>
        <w:autoSpaceDE w:val="0"/>
        <w:autoSpaceDN w:val="0"/>
        <w:adjustRightInd w:val="0"/>
        <w:spacing w:after="0" w:line="240" w:lineRule="auto"/>
        <w:rPr>
          <w:b/>
          <w:bCs/>
          <w:i/>
          <w:iCs/>
          <w:color w:val="FFFFFF"/>
          <w:sz w:val="24"/>
          <w:szCs w:val="24"/>
        </w:rPr>
      </w:pPr>
      <w:r>
        <w:rPr>
          <w:noProof/>
          <w:lang w:val="en-US"/>
        </w:rPr>
        <w:pict>
          <v:rect id="_x0000_s1039" style="position:absolute;margin-left:19.5pt;margin-top:2.75pt;width:159pt;height:36.25pt;z-index:251639296" fillcolor="#4f81bd" stroked="f">
            <v:textbox style="mso-next-textbox:#_x0000_s1039">
              <w:txbxContent>
                <w:p w:rsidR="00EE4004" w:rsidRPr="00C45F98" w:rsidRDefault="00EE4004" w:rsidP="00C366DF">
                  <w:pPr>
                    <w:jc w:val="center"/>
                    <w:rPr>
                      <w:color w:val="FFFFFF"/>
                      <w:sz w:val="24"/>
                      <w:szCs w:val="24"/>
                    </w:rPr>
                  </w:pPr>
                  <w:r w:rsidRPr="00C45F98">
                    <w:rPr>
                      <w:b/>
                      <w:color w:val="FFFFFF"/>
                      <w:sz w:val="24"/>
                      <w:szCs w:val="24"/>
                    </w:rPr>
                    <w:t>FFD (Domestic Feeder fund)</w:t>
                  </w:r>
                </w:p>
              </w:txbxContent>
            </v:textbox>
          </v:rect>
        </w:pict>
      </w:r>
      <w:r>
        <w:rPr>
          <w:noProof/>
          <w:lang w:val="en-US"/>
        </w:rPr>
        <w:pict>
          <v:rect id="_x0000_s1040" style="position:absolute;margin-left:261pt;margin-top:2.75pt;width:153.9pt;height:36.25pt;z-index:251642368" fillcolor="#4f81bd" stroked="f">
            <v:textbox style="mso-next-textbox:#_x0000_s1040">
              <w:txbxContent>
                <w:p w:rsidR="00EE4004" w:rsidRPr="00C45F98" w:rsidRDefault="00EE4004" w:rsidP="00C366DF">
                  <w:pPr>
                    <w:jc w:val="center"/>
                    <w:rPr>
                      <w:color w:val="FFFFFF"/>
                      <w:sz w:val="24"/>
                      <w:szCs w:val="24"/>
                    </w:rPr>
                  </w:pPr>
                  <w:r w:rsidRPr="00C45F98">
                    <w:rPr>
                      <w:b/>
                      <w:color w:val="FFFFFF"/>
                      <w:sz w:val="24"/>
                      <w:szCs w:val="24"/>
                    </w:rPr>
                    <w:t>FFO (off shore Feeder fund)</w:t>
                  </w:r>
                </w:p>
              </w:txbxContent>
            </v:textbox>
          </v:rect>
        </w:pict>
      </w:r>
    </w:p>
    <w:p w:rsidR="00EE4004" w:rsidRDefault="00EE4004" w:rsidP="00C366DF">
      <w:pPr>
        <w:autoSpaceDE w:val="0"/>
        <w:autoSpaceDN w:val="0"/>
        <w:adjustRightInd w:val="0"/>
        <w:spacing w:after="0" w:line="240" w:lineRule="auto"/>
        <w:rPr>
          <w:b/>
          <w:bCs/>
          <w:i/>
          <w:iCs/>
          <w:color w:val="FFFFFF"/>
          <w:sz w:val="24"/>
          <w:szCs w:val="24"/>
        </w:rPr>
      </w:pPr>
    </w:p>
    <w:p w:rsidR="00EE4004" w:rsidRDefault="00EE4004" w:rsidP="00C366DF">
      <w:pPr>
        <w:autoSpaceDE w:val="0"/>
        <w:autoSpaceDN w:val="0"/>
        <w:adjustRightInd w:val="0"/>
        <w:spacing w:after="0" w:line="240" w:lineRule="auto"/>
        <w:rPr>
          <w:b/>
          <w:bCs/>
          <w:i/>
          <w:iCs/>
          <w:color w:val="FFFFFF"/>
          <w:sz w:val="24"/>
          <w:szCs w:val="24"/>
        </w:rPr>
      </w:pPr>
      <w:r>
        <w:rPr>
          <w:noProof/>
          <w:lang w:val="en-US"/>
        </w:rPr>
        <w:pict>
          <v:shape id="_x0000_s1041" type="#_x0000_t32" style="position:absolute;margin-left:278.25pt;margin-top:11.4pt;width:.05pt;height:21.45pt;z-index:251646464" o:connectortype="straight" strokeweight="1pt">
            <v:stroke endarrow="block"/>
          </v:shape>
        </w:pict>
      </w:r>
      <w:r>
        <w:rPr>
          <w:noProof/>
          <w:lang w:val="en-US"/>
        </w:rPr>
        <w:pict>
          <v:shape id="_x0000_s1042" type="#_x0000_t32" style="position:absolute;margin-left:159.9pt;margin-top:11.4pt;width:.05pt;height:21.45pt;z-index:251644416" o:connectortype="straight" strokeweight="1pt">
            <v:stroke endarrow="block"/>
          </v:shape>
        </w:pict>
      </w:r>
    </w:p>
    <w:p w:rsidR="00EE4004" w:rsidRDefault="00EE4004" w:rsidP="00C366DF">
      <w:pPr>
        <w:autoSpaceDE w:val="0"/>
        <w:autoSpaceDN w:val="0"/>
        <w:adjustRightInd w:val="0"/>
        <w:spacing w:after="0" w:line="240" w:lineRule="auto"/>
        <w:rPr>
          <w:b/>
          <w:bCs/>
          <w:i/>
          <w:iCs/>
          <w:color w:val="FFFFFF"/>
          <w:sz w:val="24"/>
          <w:szCs w:val="24"/>
        </w:rPr>
      </w:pPr>
    </w:p>
    <w:p w:rsidR="00EE4004" w:rsidRDefault="00EE4004" w:rsidP="00C366DF">
      <w:pPr>
        <w:autoSpaceDE w:val="0"/>
        <w:autoSpaceDN w:val="0"/>
        <w:adjustRightInd w:val="0"/>
        <w:spacing w:after="0" w:line="240" w:lineRule="auto"/>
        <w:rPr>
          <w:b/>
          <w:bCs/>
          <w:i/>
          <w:iCs/>
          <w:color w:val="FFFFFF"/>
          <w:sz w:val="24"/>
          <w:szCs w:val="24"/>
        </w:rPr>
      </w:pPr>
    </w:p>
    <w:p w:rsidR="00EE4004" w:rsidRDefault="00EE4004" w:rsidP="00C366DF">
      <w:pPr>
        <w:autoSpaceDE w:val="0"/>
        <w:autoSpaceDN w:val="0"/>
        <w:adjustRightInd w:val="0"/>
        <w:spacing w:after="0" w:line="240" w:lineRule="auto"/>
        <w:rPr>
          <w:b/>
          <w:bCs/>
          <w:i/>
          <w:iCs/>
          <w:color w:val="FFFFFF"/>
          <w:sz w:val="24"/>
          <w:szCs w:val="24"/>
        </w:rPr>
      </w:pPr>
    </w:p>
    <w:p w:rsidR="00EE4004" w:rsidRDefault="00EE4004" w:rsidP="00C366DF">
      <w:pPr>
        <w:autoSpaceDE w:val="0"/>
        <w:autoSpaceDN w:val="0"/>
        <w:adjustRightInd w:val="0"/>
        <w:spacing w:after="0" w:line="240" w:lineRule="auto"/>
        <w:rPr>
          <w:b/>
          <w:bCs/>
          <w:i/>
          <w:iCs/>
          <w:color w:val="FFFFFF"/>
          <w:sz w:val="24"/>
          <w:szCs w:val="24"/>
        </w:rPr>
      </w:pPr>
    </w:p>
    <w:p w:rsidR="00EE4004" w:rsidRDefault="00EE4004" w:rsidP="00C366DF">
      <w:pPr>
        <w:autoSpaceDE w:val="0"/>
        <w:autoSpaceDN w:val="0"/>
        <w:adjustRightInd w:val="0"/>
        <w:spacing w:after="0" w:line="240" w:lineRule="auto"/>
        <w:rPr>
          <w:b/>
          <w:bCs/>
          <w:i/>
          <w:iCs/>
          <w:color w:val="000000"/>
          <w:sz w:val="24"/>
          <w:szCs w:val="24"/>
        </w:rPr>
      </w:pPr>
      <w:r>
        <w:rPr>
          <w:b/>
          <w:bCs/>
          <w:i/>
          <w:iCs/>
          <w:color w:val="000000"/>
          <w:sz w:val="24"/>
          <w:szCs w:val="24"/>
        </w:rPr>
        <w:t>Facts</w:t>
      </w:r>
    </w:p>
    <w:p w:rsidR="00EE4004" w:rsidRDefault="00EE4004" w:rsidP="00C366DF">
      <w:pPr>
        <w:pStyle w:val="NoSpacing"/>
        <w:rPr>
          <w:b/>
        </w:rPr>
      </w:pPr>
    </w:p>
    <w:p w:rsidR="00EE4004" w:rsidRPr="00C366DF" w:rsidRDefault="00EE4004" w:rsidP="00C366DF">
      <w:pPr>
        <w:autoSpaceDE w:val="0"/>
        <w:autoSpaceDN w:val="0"/>
        <w:adjustRightInd w:val="0"/>
        <w:spacing w:after="0" w:line="240" w:lineRule="auto"/>
        <w:jc w:val="both"/>
        <w:rPr>
          <w:bCs/>
          <w:sz w:val="24"/>
          <w:szCs w:val="24"/>
        </w:rPr>
      </w:pPr>
      <w:r w:rsidRPr="00C366DF">
        <w:rPr>
          <w:bCs/>
          <w:sz w:val="24"/>
          <w:szCs w:val="24"/>
        </w:rPr>
        <w:t>The purpose of MF1 is to hold a portfolio of investments in order to generate capital appreciation and investment income (such as dividends, interest or rental income). The investment objective communicated to investors is that the sole purpose of the master-feeder structure is to provide investment opportunities for investors to invest in a large pool of assets. MF1 has identified and documented exit strategies for the equity and non-financial investments that it holds. MF1 measures and evaluates substantially all of its investments on a fair value basis. Are MF1, FFD and FFO investment entities?</w:t>
      </w:r>
    </w:p>
    <w:p w:rsidR="00EE4004" w:rsidRDefault="00EE4004" w:rsidP="00C366DF">
      <w:pPr>
        <w:autoSpaceDE w:val="0"/>
        <w:autoSpaceDN w:val="0"/>
        <w:adjustRightInd w:val="0"/>
        <w:spacing w:after="0" w:line="240" w:lineRule="auto"/>
        <w:rPr>
          <w:b/>
          <w:bCs/>
          <w:i/>
          <w:iCs/>
          <w:color w:val="000000"/>
          <w:sz w:val="24"/>
          <w:szCs w:val="24"/>
        </w:rPr>
      </w:pPr>
    </w:p>
    <w:p w:rsidR="00EE4004" w:rsidRDefault="00EE4004" w:rsidP="00C366DF">
      <w:pPr>
        <w:autoSpaceDE w:val="0"/>
        <w:autoSpaceDN w:val="0"/>
        <w:adjustRightInd w:val="0"/>
        <w:spacing w:after="0" w:line="240" w:lineRule="auto"/>
        <w:rPr>
          <w:bCs/>
          <w:i/>
          <w:iCs/>
          <w:color w:val="000000"/>
          <w:sz w:val="24"/>
          <w:szCs w:val="24"/>
        </w:rPr>
      </w:pPr>
      <w:r>
        <w:rPr>
          <w:b/>
          <w:bCs/>
          <w:i/>
          <w:iCs/>
          <w:color w:val="000000"/>
          <w:sz w:val="24"/>
          <w:szCs w:val="24"/>
        </w:rPr>
        <w:t>Conclusion</w:t>
      </w:r>
    </w:p>
    <w:p w:rsidR="00EE4004" w:rsidRDefault="00EE4004" w:rsidP="00C366DF">
      <w:pPr>
        <w:autoSpaceDE w:val="0"/>
        <w:autoSpaceDN w:val="0"/>
        <w:adjustRightInd w:val="0"/>
        <w:spacing w:after="0" w:line="240" w:lineRule="auto"/>
        <w:rPr>
          <w:b/>
          <w:color w:val="000000"/>
          <w:sz w:val="24"/>
          <w:szCs w:val="24"/>
        </w:rPr>
      </w:pPr>
    </w:p>
    <w:p w:rsidR="00EE4004" w:rsidRDefault="00EE4004" w:rsidP="00C366DF">
      <w:pPr>
        <w:autoSpaceDE w:val="0"/>
        <w:autoSpaceDN w:val="0"/>
        <w:adjustRightInd w:val="0"/>
        <w:spacing w:after="0" w:line="240" w:lineRule="auto"/>
        <w:rPr>
          <w:b/>
          <w:color w:val="000000"/>
          <w:sz w:val="24"/>
          <w:szCs w:val="24"/>
        </w:rPr>
      </w:pPr>
      <w:r>
        <w:rPr>
          <w:b/>
          <w:color w:val="000000"/>
          <w:sz w:val="24"/>
          <w:szCs w:val="24"/>
        </w:rPr>
        <w:t xml:space="preserve">MF1,  FFD &amp; FFO meet the definition of an investment entity because: </w:t>
      </w:r>
    </w:p>
    <w:p w:rsidR="00EE4004" w:rsidRDefault="00EE4004" w:rsidP="00C366DF">
      <w:pPr>
        <w:autoSpaceDE w:val="0"/>
        <w:autoSpaceDN w:val="0"/>
        <w:adjustRightInd w:val="0"/>
        <w:spacing w:after="0" w:line="240" w:lineRule="auto"/>
        <w:rPr>
          <w:b/>
          <w:color w:val="000000"/>
          <w:sz w:val="24"/>
          <w:szCs w:val="24"/>
        </w:rPr>
      </w:pPr>
    </w:p>
    <w:p w:rsidR="00EE4004" w:rsidRPr="00C366DF" w:rsidRDefault="00EE4004" w:rsidP="006E00EC">
      <w:pPr>
        <w:autoSpaceDE w:val="0"/>
        <w:autoSpaceDN w:val="0"/>
        <w:adjustRightInd w:val="0"/>
        <w:spacing w:after="0" w:line="240" w:lineRule="auto"/>
        <w:jc w:val="both"/>
        <w:rPr>
          <w:bCs/>
          <w:sz w:val="24"/>
          <w:szCs w:val="24"/>
        </w:rPr>
      </w:pPr>
      <w:r w:rsidRPr="00C366DF">
        <w:rPr>
          <w:bCs/>
          <w:sz w:val="24"/>
          <w:szCs w:val="24"/>
        </w:rPr>
        <w:t>MF1 and the feeder funds FFD and FFO have obtained funds for the purpose of providing investors with investment management services;</w:t>
      </w:r>
    </w:p>
    <w:p w:rsidR="00EE4004" w:rsidRPr="00C366DF" w:rsidRDefault="00EE4004" w:rsidP="006E00EC">
      <w:pPr>
        <w:autoSpaceDE w:val="0"/>
        <w:autoSpaceDN w:val="0"/>
        <w:adjustRightInd w:val="0"/>
        <w:spacing w:after="0" w:line="240" w:lineRule="auto"/>
        <w:jc w:val="both"/>
        <w:rPr>
          <w:bCs/>
          <w:sz w:val="24"/>
          <w:szCs w:val="24"/>
        </w:rPr>
      </w:pPr>
      <w:r w:rsidRPr="00C366DF">
        <w:rPr>
          <w:bCs/>
          <w:sz w:val="24"/>
          <w:szCs w:val="24"/>
        </w:rPr>
        <w:t>The master-feeder structure’s business purpose (which was communicated directly to investors of the feeder funds) is investing solely for capital appreciation and investment income and MF1 has identified and documented potential exit strategies for its investments;</w:t>
      </w:r>
    </w:p>
    <w:p w:rsidR="00EE4004" w:rsidRPr="00C366DF" w:rsidRDefault="00EE4004" w:rsidP="006E00EC">
      <w:pPr>
        <w:autoSpaceDE w:val="0"/>
        <w:autoSpaceDN w:val="0"/>
        <w:adjustRightInd w:val="0"/>
        <w:spacing w:after="0" w:line="240" w:lineRule="auto"/>
        <w:jc w:val="both"/>
        <w:rPr>
          <w:bCs/>
          <w:sz w:val="24"/>
          <w:szCs w:val="24"/>
        </w:rPr>
      </w:pPr>
      <w:r w:rsidRPr="00C366DF">
        <w:rPr>
          <w:bCs/>
          <w:sz w:val="24"/>
          <w:szCs w:val="24"/>
        </w:rPr>
        <w:t>Although FFD and FFO do not have an exit strategy for their interests in MF1, they can be considered to have an exit strategy for their investments; this is because MF1 was formed in connection with the feeder funds and holds investments on their behalf; and</w:t>
      </w:r>
      <w:r>
        <w:rPr>
          <w:bCs/>
          <w:sz w:val="24"/>
          <w:szCs w:val="24"/>
        </w:rPr>
        <w:t xml:space="preserve"> t</w:t>
      </w:r>
      <w:r w:rsidRPr="00C366DF">
        <w:rPr>
          <w:bCs/>
          <w:sz w:val="24"/>
          <w:szCs w:val="24"/>
        </w:rPr>
        <w:t>he investments held by MF1 are measured and evaluated on a fair value basis.</w:t>
      </w:r>
    </w:p>
    <w:p w:rsidR="00EE4004" w:rsidRDefault="00EE4004" w:rsidP="00C366DF">
      <w:pPr>
        <w:autoSpaceDE w:val="0"/>
        <w:autoSpaceDN w:val="0"/>
        <w:adjustRightInd w:val="0"/>
        <w:spacing w:after="0" w:line="240" w:lineRule="auto"/>
        <w:rPr>
          <w:b/>
          <w:color w:val="000000"/>
          <w:sz w:val="24"/>
          <w:szCs w:val="24"/>
        </w:rPr>
      </w:pPr>
    </w:p>
    <w:p w:rsidR="00EE4004" w:rsidRDefault="00EE4004" w:rsidP="00C366DF">
      <w:pPr>
        <w:autoSpaceDE w:val="0"/>
        <w:autoSpaceDN w:val="0"/>
        <w:adjustRightInd w:val="0"/>
        <w:spacing w:after="0" w:line="240" w:lineRule="auto"/>
        <w:rPr>
          <w:b/>
          <w:color w:val="000000"/>
          <w:sz w:val="24"/>
          <w:szCs w:val="24"/>
        </w:rPr>
      </w:pPr>
    </w:p>
    <w:p w:rsidR="00EE4004" w:rsidRDefault="00EE4004" w:rsidP="00C366DF">
      <w:pPr>
        <w:autoSpaceDE w:val="0"/>
        <w:autoSpaceDN w:val="0"/>
        <w:adjustRightInd w:val="0"/>
        <w:spacing w:after="0" w:line="240" w:lineRule="auto"/>
        <w:rPr>
          <w:b/>
          <w:color w:val="000000"/>
          <w:sz w:val="24"/>
          <w:szCs w:val="24"/>
        </w:rPr>
      </w:pPr>
    </w:p>
    <w:p w:rsidR="00EE4004" w:rsidRDefault="00EE4004" w:rsidP="00C366DF">
      <w:pPr>
        <w:autoSpaceDE w:val="0"/>
        <w:autoSpaceDN w:val="0"/>
        <w:adjustRightInd w:val="0"/>
        <w:spacing w:after="0" w:line="240" w:lineRule="auto"/>
        <w:rPr>
          <w:b/>
          <w:color w:val="000000"/>
          <w:sz w:val="24"/>
          <w:szCs w:val="24"/>
        </w:rPr>
      </w:pPr>
    </w:p>
    <w:p w:rsidR="00EE4004" w:rsidRDefault="00EE4004" w:rsidP="00C366DF">
      <w:pPr>
        <w:autoSpaceDE w:val="0"/>
        <w:autoSpaceDN w:val="0"/>
        <w:adjustRightInd w:val="0"/>
        <w:spacing w:after="0" w:line="240" w:lineRule="auto"/>
        <w:rPr>
          <w:b/>
          <w:color w:val="000000"/>
          <w:sz w:val="24"/>
          <w:szCs w:val="24"/>
        </w:rPr>
      </w:pPr>
      <w:r>
        <w:rPr>
          <w:b/>
          <w:color w:val="000000"/>
          <w:sz w:val="24"/>
          <w:szCs w:val="24"/>
        </w:rPr>
        <w:t>When considered together, MF1, FFD &amp; FFO display the following typical characteristics of an investment entity:</w:t>
      </w:r>
    </w:p>
    <w:p w:rsidR="00EE4004" w:rsidRDefault="00EE4004" w:rsidP="00C366DF">
      <w:pPr>
        <w:autoSpaceDE w:val="0"/>
        <w:autoSpaceDN w:val="0"/>
        <w:adjustRightInd w:val="0"/>
        <w:spacing w:after="0" w:line="240" w:lineRule="auto"/>
        <w:rPr>
          <w:b/>
          <w:color w:val="000000"/>
          <w:sz w:val="24"/>
          <w:szCs w:val="24"/>
        </w:rPr>
      </w:pPr>
    </w:p>
    <w:p w:rsidR="00EE4004" w:rsidRDefault="00EE4004" w:rsidP="006E00EC">
      <w:pPr>
        <w:pStyle w:val="ListParagraph"/>
        <w:numPr>
          <w:ilvl w:val="0"/>
          <w:numId w:val="4"/>
        </w:numPr>
        <w:autoSpaceDE w:val="0"/>
        <w:autoSpaceDN w:val="0"/>
        <w:adjustRightInd w:val="0"/>
        <w:spacing w:after="0" w:line="240" w:lineRule="auto"/>
        <w:jc w:val="both"/>
        <w:rPr>
          <w:b w:val="0"/>
          <w:color w:val="000000"/>
          <w:sz w:val="24"/>
          <w:szCs w:val="24"/>
        </w:rPr>
      </w:pPr>
      <w:r>
        <w:rPr>
          <w:b w:val="0"/>
          <w:color w:val="000000"/>
          <w:sz w:val="24"/>
          <w:szCs w:val="24"/>
        </w:rPr>
        <w:t>Although the feeder funds each hold a single investment in MF1, they could be considered indirectly to hold more than one investment; this is because MF1 holds a portfolio of investments;</w:t>
      </w:r>
    </w:p>
    <w:p w:rsidR="00EE4004" w:rsidRDefault="00EE4004" w:rsidP="006E00EC">
      <w:pPr>
        <w:pStyle w:val="ListParagraph"/>
        <w:numPr>
          <w:ilvl w:val="0"/>
          <w:numId w:val="4"/>
        </w:numPr>
        <w:autoSpaceDE w:val="0"/>
        <w:autoSpaceDN w:val="0"/>
        <w:adjustRightInd w:val="0"/>
        <w:spacing w:after="0" w:line="240" w:lineRule="auto"/>
        <w:jc w:val="both"/>
        <w:rPr>
          <w:b w:val="0"/>
          <w:color w:val="000000"/>
          <w:sz w:val="24"/>
          <w:szCs w:val="24"/>
        </w:rPr>
      </w:pPr>
      <w:r>
        <w:rPr>
          <w:b w:val="0"/>
          <w:color w:val="000000"/>
          <w:sz w:val="24"/>
          <w:szCs w:val="24"/>
        </w:rPr>
        <w:t xml:space="preserve">Although MF1 is 100% owned by the two feeder funds, the feeder funds FFD and FFO are funded by many investors who are unrelated to the feeder funds (and also unrelated to the general partner/manager of the funds); and  </w:t>
      </w:r>
    </w:p>
    <w:p w:rsidR="00EE4004" w:rsidRDefault="00EE4004" w:rsidP="00C366DF">
      <w:pPr>
        <w:pStyle w:val="NoSpacing"/>
        <w:rPr>
          <w:b/>
          <w:color w:val="000000"/>
          <w:sz w:val="24"/>
          <w:szCs w:val="24"/>
        </w:rPr>
      </w:pPr>
    </w:p>
    <w:p w:rsidR="00EE4004" w:rsidRPr="002F744F" w:rsidRDefault="00EE4004" w:rsidP="00C366DF">
      <w:pPr>
        <w:pStyle w:val="NoSpacing"/>
        <w:rPr>
          <w:sz w:val="24"/>
          <w:lang w:eastAsia="en-GB"/>
        </w:rPr>
      </w:pPr>
      <w:r>
        <w:rPr>
          <w:b/>
          <w:color w:val="000000"/>
          <w:sz w:val="24"/>
          <w:szCs w:val="24"/>
        </w:rPr>
        <w:t>Ownership in the feeder funds is represented by units of equity interests</w:t>
      </w:r>
    </w:p>
    <w:p w:rsidR="00EE4004" w:rsidRPr="002F744F" w:rsidRDefault="00EE4004" w:rsidP="002F744F">
      <w:pPr>
        <w:pStyle w:val="NoSpacing"/>
        <w:rPr>
          <w:sz w:val="24"/>
          <w:lang w:eastAsia="en-GB"/>
        </w:rPr>
      </w:pPr>
    </w:p>
    <w:p w:rsidR="00EE4004" w:rsidRPr="002F744F" w:rsidRDefault="00EE4004" w:rsidP="002F744F">
      <w:pPr>
        <w:pStyle w:val="NoSpacing"/>
        <w:rPr>
          <w:sz w:val="24"/>
          <w:lang w:eastAsia="en-GB"/>
        </w:rPr>
      </w:pPr>
    </w:p>
    <w:p w:rsidR="00EE4004" w:rsidRPr="002F744F" w:rsidRDefault="00EE4004" w:rsidP="002F744F">
      <w:pPr>
        <w:rPr>
          <w:sz w:val="24"/>
          <w:lang w:eastAsia="en-GB"/>
        </w:rPr>
      </w:pPr>
      <w:bookmarkStart w:id="6" w:name="_Toc388018661"/>
      <w:r>
        <w:rPr>
          <w:sz w:val="24"/>
          <w:lang w:eastAsia="en-GB"/>
        </w:rPr>
        <w:t>(An overall picture of IFRS 10 is provided in  Appendix 1)</w:t>
      </w:r>
    </w:p>
    <w:p w:rsidR="00EE4004" w:rsidRDefault="00EE4004" w:rsidP="002F744F">
      <w:pPr>
        <w:rPr>
          <w:sz w:val="24"/>
          <w:lang w:eastAsia="en-GB"/>
        </w:rPr>
      </w:pPr>
    </w:p>
    <w:p w:rsidR="00EE4004" w:rsidRDefault="00EE4004" w:rsidP="002F744F">
      <w:pPr>
        <w:rPr>
          <w:sz w:val="24"/>
          <w:lang w:eastAsia="en-GB"/>
        </w:rPr>
      </w:pPr>
    </w:p>
    <w:p w:rsidR="00EE4004" w:rsidRDefault="00EE4004" w:rsidP="002F744F">
      <w:pPr>
        <w:rPr>
          <w:sz w:val="24"/>
          <w:lang w:eastAsia="en-GB"/>
        </w:rPr>
      </w:pPr>
    </w:p>
    <w:p w:rsidR="00EE4004" w:rsidRDefault="00EE4004" w:rsidP="002F744F">
      <w:pPr>
        <w:rPr>
          <w:sz w:val="24"/>
          <w:lang w:eastAsia="en-GB"/>
        </w:rPr>
      </w:pPr>
    </w:p>
    <w:p w:rsidR="00EE4004" w:rsidRDefault="00EE4004" w:rsidP="002F744F">
      <w:pPr>
        <w:rPr>
          <w:sz w:val="24"/>
          <w:lang w:eastAsia="en-GB"/>
        </w:rPr>
      </w:pPr>
    </w:p>
    <w:p w:rsidR="00EE4004" w:rsidRDefault="00EE4004" w:rsidP="002F744F">
      <w:pPr>
        <w:rPr>
          <w:sz w:val="24"/>
          <w:lang w:eastAsia="en-GB"/>
        </w:rPr>
      </w:pPr>
    </w:p>
    <w:p w:rsidR="00EE4004" w:rsidRDefault="00EE4004" w:rsidP="002F744F">
      <w:pPr>
        <w:rPr>
          <w:sz w:val="24"/>
          <w:lang w:eastAsia="en-GB"/>
        </w:rPr>
      </w:pPr>
    </w:p>
    <w:p w:rsidR="00EE4004" w:rsidRDefault="00EE4004" w:rsidP="002F744F">
      <w:pPr>
        <w:rPr>
          <w:sz w:val="24"/>
          <w:lang w:eastAsia="en-GB"/>
        </w:rPr>
      </w:pPr>
    </w:p>
    <w:p w:rsidR="00EE4004" w:rsidRDefault="00EE4004" w:rsidP="002F744F">
      <w:pPr>
        <w:rPr>
          <w:sz w:val="24"/>
          <w:lang w:eastAsia="en-GB"/>
        </w:rPr>
      </w:pPr>
    </w:p>
    <w:p w:rsidR="00EE4004" w:rsidRDefault="00EE4004" w:rsidP="002F744F">
      <w:pPr>
        <w:rPr>
          <w:sz w:val="24"/>
          <w:lang w:eastAsia="en-GB"/>
        </w:rPr>
      </w:pPr>
    </w:p>
    <w:p w:rsidR="00EE4004" w:rsidRDefault="00EE4004" w:rsidP="002F744F">
      <w:pPr>
        <w:rPr>
          <w:sz w:val="24"/>
          <w:lang w:eastAsia="en-GB"/>
        </w:rPr>
      </w:pPr>
    </w:p>
    <w:p w:rsidR="00EE4004" w:rsidRDefault="00EE4004" w:rsidP="002F744F">
      <w:pPr>
        <w:rPr>
          <w:sz w:val="24"/>
          <w:lang w:eastAsia="en-GB"/>
        </w:rPr>
      </w:pPr>
    </w:p>
    <w:p w:rsidR="00EE4004" w:rsidRDefault="00EE4004" w:rsidP="002F744F">
      <w:pPr>
        <w:rPr>
          <w:sz w:val="24"/>
          <w:lang w:eastAsia="en-GB"/>
        </w:rPr>
      </w:pPr>
    </w:p>
    <w:p w:rsidR="00EE4004" w:rsidRDefault="00EE4004" w:rsidP="002F744F">
      <w:pPr>
        <w:rPr>
          <w:sz w:val="24"/>
          <w:lang w:eastAsia="en-GB"/>
        </w:rPr>
      </w:pPr>
    </w:p>
    <w:p w:rsidR="00EE4004" w:rsidRDefault="00EE4004" w:rsidP="002F744F">
      <w:pPr>
        <w:rPr>
          <w:sz w:val="24"/>
          <w:lang w:eastAsia="en-GB"/>
        </w:rPr>
      </w:pPr>
    </w:p>
    <w:p w:rsidR="00EE4004" w:rsidRDefault="00EE4004" w:rsidP="002F744F">
      <w:pPr>
        <w:rPr>
          <w:sz w:val="24"/>
          <w:lang w:eastAsia="en-GB"/>
        </w:rPr>
      </w:pPr>
    </w:p>
    <w:p w:rsidR="00EE4004" w:rsidRDefault="00EE4004" w:rsidP="002F744F">
      <w:pPr>
        <w:rPr>
          <w:sz w:val="24"/>
          <w:lang w:eastAsia="en-GB"/>
        </w:rPr>
      </w:pPr>
    </w:p>
    <w:p w:rsidR="00EE4004" w:rsidRDefault="00EE4004" w:rsidP="002F744F">
      <w:pPr>
        <w:rPr>
          <w:sz w:val="24"/>
          <w:lang w:eastAsia="en-GB"/>
        </w:rPr>
      </w:pPr>
    </w:p>
    <w:p w:rsidR="00EE4004" w:rsidRPr="002F744F" w:rsidRDefault="00EE4004" w:rsidP="002F744F">
      <w:pPr>
        <w:rPr>
          <w:sz w:val="24"/>
          <w:lang w:eastAsia="en-GB"/>
        </w:rPr>
      </w:pPr>
    </w:p>
    <w:p w:rsidR="00EE4004" w:rsidRDefault="00EE4004" w:rsidP="002F744F">
      <w:pPr>
        <w:pStyle w:val="Heading1"/>
        <w:jc w:val="center"/>
        <w:rPr>
          <w:rFonts w:ascii="Times New Roman" w:hAnsi="Times New Roman"/>
          <w:color w:val="auto"/>
          <w:sz w:val="32"/>
          <w:szCs w:val="24"/>
          <w:lang w:val="en-GB" w:eastAsia="en-GB"/>
        </w:rPr>
      </w:pPr>
      <w:r w:rsidRPr="002F744F">
        <w:rPr>
          <w:rFonts w:ascii="Times New Roman" w:hAnsi="Times New Roman"/>
          <w:color w:val="auto"/>
          <w:sz w:val="32"/>
          <w:szCs w:val="24"/>
          <w:lang w:val="en-GB" w:eastAsia="en-GB"/>
        </w:rPr>
        <w:t>IFRIC 21 Levies</w:t>
      </w:r>
      <w:bookmarkEnd w:id="6"/>
    </w:p>
    <w:p w:rsidR="00EE4004" w:rsidRPr="00D00904" w:rsidRDefault="00EE4004" w:rsidP="00C366DF">
      <w:pPr>
        <w:rPr>
          <w:b/>
          <w:sz w:val="16"/>
          <w:szCs w:val="16"/>
        </w:rPr>
      </w:pPr>
    </w:p>
    <w:p w:rsidR="00EE4004" w:rsidRDefault="00EE4004" w:rsidP="00895EFF">
      <w:pPr>
        <w:pStyle w:val="ListParagraph"/>
        <w:numPr>
          <w:ilvl w:val="0"/>
          <w:numId w:val="17"/>
        </w:numPr>
        <w:tabs>
          <w:tab w:val="left" w:pos="360"/>
        </w:tabs>
        <w:autoSpaceDE w:val="0"/>
        <w:autoSpaceDN w:val="0"/>
        <w:adjustRightInd w:val="0"/>
        <w:spacing w:after="0" w:line="240" w:lineRule="auto"/>
        <w:ind w:hanging="720"/>
        <w:rPr>
          <w:bCs/>
          <w:sz w:val="26"/>
          <w:szCs w:val="26"/>
          <w:lang w:val="en-US"/>
        </w:rPr>
      </w:pPr>
      <w:r>
        <w:rPr>
          <w:bCs/>
          <w:sz w:val="26"/>
          <w:szCs w:val="26"/>
          <w:lang w:val="en-US"/>
        </w:rPr>
        <w:t>Snapshot</w:t>
      </w:r>
      <w:r w:rsidRPr="00895EFF">
        <w:rPr>
          <w:bCs/>
          <w:sz w:val="26"/>
          <w:szCs w:val="26"/>
          <w:lang w:val="en-US"/>
        </w:rPr>
        <w:t xml:space="preserve"> of amendments</w:t>
      </w:r>
    </w:p>
    <w:p w:rsidR="00EE4004" w:rsidRPr="00895EFF" w:rsidRDefault="00EE4004" w:rsidP="00895EFF">
      <w:pPr>
        <w:pStyle w:val="ListParagraph"/>
        <w:tabs>
          <w:tab w:val="left" w:pos="360"/>
        </w:tabs>
        <w:autoSpaceDE w:val="0"/>
        <w:autoSpaceDN w:val="0"/>
        <w:adjustRightInd w:val="0"/>
        <w:spacing w:after="0" w:line="240" w:lineRule="auto"/>
        <w:rPr>
          <w:bCs/>
          <w:sz w:val="26"/>
          <w:szCs w:val="26"/>
          <w:lang w:val="en-US"/>
        </w:rPr>
      </w:pPr>
    </w:p>
    <w:p w:rsidR="00EE4004" w:rsidRPr="00DE1407" w:rsidRDefault="00EE4004" w:rsidP="00DE1407">
      <w:pPr>
        <w:spacing w:after="0" w:line="240" w:lineRule="auto"/>
        <w:jc w:val="both"/>
        <w:rPr>
          <w:sz w:val="24"/>
          <w:szCs w:val="24"/>
        </w:rPr>
      </w:pPr>
      <w:r w:rsidRPr="00C366DF">
        <w:rPr>
          <w:b/>
          <w:sz w:val="24"/>
          <w:szCs w:val="24"/>
        </w:rPr>
        <w:t>IFRIC 21</w:t>
      </w:r>
      <w:r w:rsidRPr="00C366DF">
        <w:rPr>
          <w:sz w:val="24"/>
          <w:szCs w:val="24"/>
        </w:rPr>
        <w:t xml:space="preserve"> provides guidance on when to recognise a liability for a levy imposed by a government, both for levies that are accounted for in accordance with </w:t>
      </w:r>
      <w:r w:rsidRPr="00C366DF">
        <w:rPr>
          <w:i/>
          <w:sz w:val="24"/>
          <w:szCs w:val="24"/>
        </w:rPr>
        <w:t>IAS 37 Provisions, Contingent Liabilities and Contingent Assets</w:t>
      </w:r>
      <w:r w:rsidRPr="00C366DF">
        <w:rPr>
          <w:sz w:val="24"/>
          <w:szCs w:val="24"/>
        </w:rPr>
        <w:t xml:space="preserve"> and those where the timing and amount of the levy is certain. </w:t>
      </w:r>
      <w:r w:rsidRPr="00DE1407">
        <w:rPr>
          <w:sz w:val="24"/>
          <w:szCs w:val="24"/>
        </w:rPr>
        <w:t xml:space="preserve">The IFRIC does not deal with fines and other penalties that are imposed for breaches of legislation.   </w:t>
      </w:r>
    </w:p>
    <w:p w:rsidR="00EE4004" w:rsidRPr="00C366DF" w:rsidRDefault="00EE4004" w:rsidP="00C366DF">
      <w:pPr>
        <w:autoSpaceDE w:val="0"/>
        <w:autoSpaceDN w:val="0"/>
        <w:adjustRightInd w:val="0"/>
        <w:spacing w:after="0" w:line="240" w:lineRule="auto"/>
        <w:jc w:val="both"/>
        <w:rPr>
          <w:sz w:val="24"/>
          <w:szCs w:val="24"/>
        </w:rPr>
      </w:pPr>
    </w:p>
    <w:p w:rsidR="00EE4004" w:rsidRPr="00DE1407" w:rsidRDefault="00EE4004" w:rsidP="00DE1407">
      <w:pPr>
        <w:spacing w:after="0" w:line="240" w:lineRule="auto"/>
        <w:jc w:val="both"/>
        <w:rPr>
          <w:sz w:val="24"/>
          <w:szCs w:val="24"/>
        </w:rPr>
      </w:pPr>
      <w:r w:rsidRPr="00DE1407">
        <w:rPr>
          <w:sz w:val="24"/>
          <w:szCs w:val="24"/>
        </w:rPr>
        <w:t xml:space="preserve">The interpretation addresses the diversity in practice with regard to when the liability to pay a levy is recognised. </w:t>
      </w:r>
    </w:p>
    <w:p w:rsidR="00EE4004" w:rsidRPr="00D00904" w:rsidRDefault="00EE4004" w:rsidP="00DE1407">
      <w:pPr>
        <w:spacing w:after="0" w:line="240" w:lineRule="auto"/>
        <w:jc w:val="both"/>
        <w:rPr>
          <w:rFonts w:ascii="Arial" w:hAnsi="Arial" w:cs="Arial"/>
          <w:bCs/>
          <w:sz w:val="16"/>
          <w:szCs w:val="16"/>
          <w:lang w:eastAsia="en-GB"/>
        </w:rPr>
      </w:pPr>
    </w:p>
    <w:p w:rsidR="00EE4004" w:rsidRDefault="00EE4004" w:rsidP="00DE1407">
      <w:pPr>
        <w:spacing w:after="0" w:line="240" w:lineRule="auto"/>
        <w:jc w:val="both"/>
        <w:rPr>
          <w:rFonts w:ascii="Arial" w:hAnsi="Arial" w:cs="Arial"/>
          <w:bCs/>
          <w:sz w:val="20"/>
          <w:lang w:eastAsia="en-GB"/>
        </w:rPr>
      </w:pPr>
    </w:p>
    <w:p w:rsidR="00EE4004" w:rsidRPr="00834EF2" w:rsidRDefault="00EE4004" w:rsidP="00834EF2">
      <w:pPr>
        <w:pStyle w:val="ListParagraph"/>
        <w:numPr>
          <w:ilvl w:val="0"/>
          <w:numId w:val="17"/>
        </w:numPr>
        <w:tabs>
          <w:tab w:val="left" w:pos="360"/>
        </w:tabs>
        <w:autoSpaceDE w:val="0"/>
        <w:autoSpaceDN w:val="0"/>
        <w:adjustRightInd w:val="0"/>
        <w:spacing w:after="0" w:line="240" w:lineRule="auto"/>
        <w:ind w:hanging="720"/>
        <w:rPr>
          <w:bCs/>
          <w:sz w:val="26"/>
          <w:szCs w:val="26"/>
          <w:lang w:val="en-US"/>
        </w:rPr>
      </w:pPr>
      <w:r w:rsidRPr="00834EF2">
        <w:rPr>
          <w:bCs/>
          <w:sz w:val="26"/>
          <w:szCs w:val="26"/>
          <w:lang w:val="en-US"/>
        </w:rPr>
        <w:t xml:space="preserve">Key provisions </w:t>
      </w:r>
    </w:p>
    <w:p w:rsidR="00EE4004" w:rsidRPr="00DE1407" w:rsidRDefault="00EE4004" w:rsidP="00DE1407">
      <w:pPr>
        <w:spacing w:after="0" w:line="240" w:lineRule="auto"/>
        <w:jc w:val="both"/>
        <w:rPr>
          <w:rFonts w:ascii="Arial" w:hAnsi="Arial" w:cs="Arial"/>
          <w:b/>
          <w:bCs/>
          <w:sz w:val="20"/>
          <w:lang w:eastAsia="en-GB"/>
        </w:rPr>
      </w:pPr>
    </w:p>
    <w:p w:rsidR="00EE4004" w:rsidRPr="00DE1407" w:rsidRDefault="00EE4004" w:rsidP="00D00904">
      <w:pPr>
        <w:pStyle w:val="ListParagraph"/>
        <w:numPr>
          <w:ilvl w:val="0"/>
          <w:numId w:val="4"/>
        </w:numPr>
        <w:autoSpaceDE w:val="0"/>
        <w:autoSpaceDN w:val="0"/>
        <w:adjustRightInd w:val="0"/>
        <w:spacing w:after="0" w:line="240" w:lineRule="auto"/>
        <w:jc w:val="both"/>
        <w:rPr>
          <w:b w:val="0"/>
          <w:color w:val="000000"/>
          <w:sz w:val="24"/>
          <w:szCs w:val="24"/>
        </w:rPr>
      </w:pPr>
      <w:r w:rsidRPr="00DE1407">
        <w:rPr>
          <w:b w:val="0"/>
          <w:color w:val="000000"/>
          <w:sz w:val="24"/>
          <w:szCs w:val="24"/>
        </w:rPr>
        <w:t xml:space="preserve">What is the obligating event that gives rise to a liability to pay a levy? </w:t>
      </w:r>
    </w:p>
    <w:p w:rsidR="00EE4004" w:rsidRPr="00DE1407" w:rsidRDefault="00EE4004" w:rsidP="00D00904">
      <w:pPr>
        <w:pStyle w:val="ListParagraph"/>
        <w:autoSpaceDE w:val="0"/>
        <w:autoSpaceDN w:val="0"/>
        <w:adjustRightInd w:val="0"/>
        <w:spacing w:after="0" w:line="240" w:lineRule="auto"/>
        <w:ind w:left="360"/>
        <w:jc w:val="both"/>
        <w:rPr>
          <w:b w:val="0"/>
          <w:color w:val="000000"/>
          <w:sz w:val="24"/>
          <w:szCs w:val="24"/>
        </w:rPr>
      </w:pPr>
      <w:r w:rsidRPr="00DE1407">
        <w:rPr>
          <w:b w:val="0"/>
          <w:color w:val="000000"/>
          <w:sz w:val="24"/>
          <w:szCs w:val="24"/>
        </w:rPr>
        <w:t>This is the event identified by the legislation that triggers the obligation to pay the levy.</w:t>
      </w:r>
    </w:p>
    <w:p w:rsidR="00EE4004" w:rsidRPr="00DE1407" w:rsidRDefault="00EE4004" w:rsidP="00D00904">
      <w:pPr>
        <w:autoSpaceDE w:val="0"/>
        <w:autoSpaceDN w:val="0"/>
        <w:adjustRightInd w:val="0"/>
        <w:spacing w:after="0" w:line="240" w:lineRule="auto"/>
        <w:jc w:val="both"/>
        <w:rPr>
          <w:color w:val="000000"/>
          <w:sz w:val="24"/>
          <w:szCs w:val="24"/>
        </w:rPr>
      </w:pPr>
    </w:p>
    <w:p w:rsidR="00EE4004" w:rsidRPr="00DE1407" w:rsidRDefault="00EE4004" w:rsidP="00D00904">
      <w:pPr>
        <w:pStyle w:val="ListParagraph"/>
        <w:numPr>
          <w:ilvl w:val="0"/>
          <w:numId w:val="4"/>
        </w:numPr>
        <w:autoSpaceDE w:val="0"/>
        <w:autoSpaceDN w:val="0"/>
        <w:adjustRightInd w:val="0"/>
        <w:spacing w:after="0" w:line="240" w:lineRule="auto"/>
        <w:jc w:val="both"/>
        <w:rPr>
          <w:b w:val="0"/>
          <w:color w:val="000000"/>
          <w:sz w:val="24"/>
          <w:szCs w:val="24"/>
        </w:rPr>
      </w:pPr>
      <w:r w:rsidRPr="00DE1407">
        <w:rPr>
          <w:b w:val="0"/>
          <w:color w:val="000000"/>
          <w:sz w:val="24"/>
          <w:szCs w:val="24"/>
        </w:rPr>
        <w:t xml:space="preserve">When is a liability to pay a levy recognised? </w:t>
      </w:r>
    </w:p>
    <w:p w:rsidR="00EE4004" w:rsidRPr="00DE1407" w:rsidRDefault="00EE4004" w:rsidP="00D00904">
      <w:pPr>
        <w:pStyle w:val="ListParagraph"/>
        <w:autoSpaceDE w:val="0"/>
        <w:autoSpaceDN w:val="0"/>
        <w:adjustRightInd w:val="0"/>
        <w:spacing w:after="0" w:line="240" w:lineRule="auto"/>
        <w:ind w:left="360"/>
        <w:jc w:val="both"/>
        <w:rPr>
          <w:b w:val="0"/>
          <w:color w:val="000000"/>
          <w:sz w:val="24"/>
          <w:szCs w:val="24"/>
        </w:rPr>
      </w:pPr>
      <w:r w:rsidRPr="00DE1407">
        <w:rPr>
          <w:b w:val="0"/>
          <w:color w:val="000000"/>
          <w:sz w:val="24"/>
          <w:szCs w:val="24"/>
        </w:rPr>
        <w:t>A liability is recognised when the obligating event occurs. This might arise at a point in time or progressively over time.</w:t>
      </w:r>
    </w:p>
    <w:p w:rsidR="00EE4004" w:rsidRPr="00DE1407" w:rsidRDefault="00EE4004" w:rsidP="00D00904">
      <w:pPr>
        <w:spacing w:after="0" w:line="240" w:lineRule="auto"/>
        <w:jc w:val="both"/>
        <w:rPr>
          <w:rFonts w:ascii="Arial" w:hAnsi="Arial" w:cs="Arial"/>
          <w:b/>
          <w:bCs/>
          <w:sz w:val="20"/>
          <w:lang w:eastAsia="en-GB"/>
        </w:rPr>
      </w:pPr>
    </w:p>
    <w:p w:rsidR="00EE4004" w:rsidRPr="00DE1407" w:rsidRDefault="00EE4004" w:rsidP="00D00904">
      <w:pPr>
        <w:spacing w:after="0" w:line="240" w:lineRule="auto"/>
        <w:jc w:val="both"/>
        <w:rPr>
          <w:sz w:val="24"/>
          <w:szCs w:val="24"/>
        </w:rPr>
      </w:pPr>
      <w:r w:rsidRPr="00DE1407">
        <w:rPr>
          <w:sz w:val="24"/>
          <w:szCs w:val="24"/>
        </w:rPr>
        <w:t xml:space="preserve">Additionally, the IFRIC requires that an obligation to pay a levy triggered by a minimum threshold is recognised when the threshold is reached. </w:t>
      </w:r>
    </w:p>
    <w:p w:rsidR="00EE4004" w:rsidRPr="00D00904" w:rsidRDefault="00EE4004" w:rsidP="00DE1407">
      <w:pPr>
        <w:spacing w:after="0" w:line="240" w:lineRule="auto"/>
        <w:jc w:val="both"/>
        <w:rPr>
          <w:rFonts w:ascii="Arial" w:hAnsi="Arial" w:cs="Arial"/>
          <w:b/>
          <w:bCs/>
          <w:sz w:val="16"/>
          <w:szCs w:val="16"/>
          <w:lang w:eastAsia="en-GB"/>
        </w:rPr>
      </w:pPr>
    </w:p>
    <w:p w:rsidR="00EE4004" w:rsidRPr="00BB4751" w:rsidRDefault="00EE4004" w:rsidP="00DE1407">
      <w:pPr>
        <w:spacing w:after="0" w:line="240" w:lineRule="auto"/>
        <w:jc w:val="both"/>
        <w:rPr>
          <w:rFonts w:ascii="Arial" w:hAnsi="Arial" w:cs="Arial"/>
          <w:b/>
          <w:bCs/>
          <w:sz w:val="20"/>
          <w:lang w:eastAsia="en-GB"/>
        </w:rPr>
      </w:pPr>
    </w:p>
    <w:p w:rsidR="00EE4004" w:rsidRPr="00C366DF" w:rsidRDefault="00EE4004" w:rsidP="00834EF2">
      <w:pPr>
        <w:pStyle w:val="ListParagraph"/>
        <w:numPr>
          <w:ilvl w:val="0"/>
          <w:numId w:val="17"/>
        </w:numPr>
        <w:tabs>
          <w:tab w:val="left" w:pos="360"/>
        </w:tabs>
        <w:autoSpaceDE w:val="0"/>
        <w:autoSpaceDN w:val="0"/>
        <w:adjustRightInd w:val="0"/>
        <w:spacing w:after="0" w:line="240" w:lineRule="auto"/>
        <w:ind w:hanging="720"/>
      </w:pPr>
      <w:r w:rsidRPr="00834EF2">
        <w:rPr>
          <w:bCs/>
          <w:sz w:val="26"/>
          <w:szCs w:val="26"/>
          <w:lang w:val="en-US"/>
        </w:rPr>
        <w:t>Practical implication on Financial Statements</w:t>
      </w:r>
    </w:p>
    <w:p w:rsidR="00EE4004" w:rsidRDefault="00EE4004" w:rsidP="00C366DF">
      <w:pPr>
        <w:pStyle w:val="Default"/>
        <w:ind w:left="720"/>
        <w:rPr>
          <w:rFonts w:ascii="Calibri" w:hAnsi="Calibri"/>
        </w:rPr>
      </w:pPr>
    </w:p>
    <w:p w:rsidR="00EE4004" w:rsidRDefault="00EE4004" w:rsidP="00C366DF">
      <w:pPr>
        <w:pStyle w:val="ListParagraph"/>
        <w:numPr>
          <w:ilvl w:val="0"/>
          <w:numId w:val="4"/>
        </w:numPr>
        <w:autoSpaceDE w:val="0"/>
        <w:autoSpaceDN w:val="0"/>
        <w:adjustRightInd w:val="0"/>
        <w:spacing w:after="0" w:line="240" w:lineRule="auto"/>
        <w:jc w:val="both"/>
        <w:rPr>
          <w:b w:val="0"/>
          <w:color w:val="000000"/>
          <w:sz w:val="24"/>
          <w:szCs w:val="24"/>
        </w:rPr>
      </w:pPr>
      <w:r w:rsidRPr="00C366DF">
        <w:rPr>
          <w:b w:val="0"/>
          <w:color w:val="000000"/>
          <w:sz w:val="24"/>
          <w:szCs w:val="24"/>
        </w:rPr>
        <w:t>IFRIC 21 will affect entities that are subject to levies that are not income taxes within the scope of IAS 12. In Mauritius, the interpretation captures a number of different obligations imposed by the government.</w:t>
      </w:r>
      <w:r>
        <w:rPr>
          <w:b w:val="0"/>
          <w:color w:val="000000"/>
          <w:sz w:val="24"/>
          <w:szCs w:val="24"/>
        </w:rPr>
        <w:t xml:space="preserve"> M</w:t>
      </w:r>
      <w:r w:rsidRPr="00C366DF">
        <w:rPr>
          <w:b w:val="0"/>
          <w:color w:val="000000"/>
          <w:sz w:val="24"/>
          <w:szCs w:val="24"/>
        </w:rPr>
        <w:t xml:space="preserve">ost of the levies are measured based on financial information relating to a period before the date on which the obligation to pay the levy to the MRA arises. Therefore, a liability is recognised when the obligating event arises and not when payment is made. </w:t>
      </w:r>
    </w:p>
    <w:p w:rsidR="00EE4004" w:rsidRPr="00C366DF" w:rsidRDefault="00EE4004" w:rsidP="00834EF2">
      <w:pPr>
        <w:pStyle w:val="ListParagraph"/>
        <w:autoSpaceDE w:val="0"/>
        <w:autoSpaceDN w:val="0"/>
        <w:adjustRightInd w:val="0"/>
        <w:spacing w:after="0" w:line="240" w:lineRule="auto"/>
        <w:ind w:left="360"/>
        <w:jc w:val="both"/>
        <w:rPr>
          <w:b w:val="0"/>
          <w:color w:val="000000"/>
          <w:sz w:val="24"/>
          <w:szCs w:val="24"/>
        </w:rPr>
      </w:pPr>
    </w:p>
    <w:p w:rsidR="00EE4004" w:rsidRDefault="00EE4004" w:rsidP="00C366DF">
      <w:pPr>
        <w:pStyle w:val="ListParagraph"/>
        <w:numPr>
          <w:ilvl w:val="0"/>
          <w:numId w:val="4"/>
        </w:numPr>
        <w:autoSpaceDE w:val="0"/>
        <w:autoSpaceDN w:val="0"/>
        <w:adjustRightInd w:val="0"/>
        <w:spacing w:after="0" w:line="240" w:lineRule="auto"/>
        <w:rPr>
          <w:b w:val="0"/>
          <w:color w:val="000000"/>
          <w:sz w:val="24"/>
          <w:szCs w:val="24"/>
        </w:rPr>
      </w:pPr>
      <w:r w:rsidRPr="00C366DF">
        <w:rPr>
          <w:b w:val="0"/>
          <w:color w:val="000000"/>
          <w:sz w:val="24"/>
          <w:szCs w:val="24"/>
        </w:rPr>
        <w:t>As regard companies publishing interim F</w:t>
      </w:r>
      <w:r>
        <w:rPr>
          <w:b w:val="0"/>
          <w:color w:val="000000"/>
          <w:sz w:val="24"/>
          <w:szCs w:val="24"/>
        </w:rPr>
        <w:t>inancial Statements</w:t>
      </w:r>
      <w:r w:rsidRPr="00C366DF">
        <w:rPr>
          <w:b w:val="0"/>
          <w:color w:val="000000"/>
          <w:sz w:val="24"/>
          <w:szCs w:val="24"/>
        </w:rPr>
        <w:t>, mostly listed companies, reporting issuers under the Securities Act inter alia, the same recognition principles apply in interim and annual F</w:t>
      </w:r>
      <w:r>
        <w:rPr>
          <w:b w:val="0"/>
          <w:color w:val="000000"/>
          <w:sz w:val="24"/>
          <w:szCs w:val="24"/>
        </w:rPr>
        <w:t xml:space="preserve">inancial </w:t>
      </w:r>
      <w:r w:rsidRPr="00C366DF">
        <w:rPr>
          <w:b w:val="0"/>
          <w:color w:val="000000"/>
          <w:sz w:val="24"/>
          <w:szCs w:val="24"/>
        </w:rPr>
        <w:t>S</w:t>
      </w:r>
      <w:r>
        <w:rPr>
          <w:b w:val="0"/>
          <w:color w:val="000000"/>
          <w:sz w:val="24"/>
          <w:szCs w:val="24"/>
        </w:rPr>
        <w:t>tatements</w:t>
      </w:r>
      <w:r w:rsidRPr="00C366DF">
        <w:rPr>
          <w:b w:val="0"/>
          <w:color w:val="000000"/>
          <w:sz w:val="24"/>
          <w:szCs w:val="24"/>
        </w:rPr>
        <w:t>. Currently, the liability for these levies might not be accounted in interim F</w:t>
      </w:r>
      <w:r>
        <w:rPr>
          <w:b w:val="0"/>
          <w:color w:val="000000"/>
          <w:sz w:val="24"/>
          <w:szCs w:val="24"/>
        </w:rPr>
        <w:t xml:space="preserve">inancial </w:t>
      </w:r>
      <w:r w:rsidRPr="00C366DF">
        <w:rPr>
          <w:b w:val="0"/>
          <w:color w:val="000000"/>
          <w:sz w:val="24"/>
          <w:szCs w:val="24"/>
        </w:rPr>
        <w:t>S</w:t>
      </w:r>
      <w:r>
        <w:rPr>
          <w:b w:val="0"/>
          <w:color w:val="000000"/>
          <w:sz w:val="24"/>
          <w:szCs w:val="24"/>
        </w:rPr>
        <w:t>tatements</w:t>
      </w:r>
      <w:r w:rsidRPr="00C366DF">
        <w:rPr>
          <w:b w:val="0"/>
          <w:color w:val="000000"/>
          <w:sz w:val="24"/>
          <w:szCs w:val="24"/>
        </w:rPr>
        <w:t xml:space="preserve">. </w:t>
      </w:r>
    </w:p>
    <w:p w:rsidR="00EE4004" w:rsidRPr="00D00904" w:rsidRDefault="00EE4004" w:rsidP="00BB2A4A">
      <w:pPr>
        <w:pStyle w:val="ListParagraph"/>
        <w:autoSpaceDE w:val="0"/>
        <w:autoSpaceDN w:val="0"/>
        <w:adjustRightInd w:val="0"/>
        <w:spacing w:after="0" w:line="240" w:lineRule="auto"/>
        <w:ind w:left="360"/>
        <w:rPr>
          <w:b w:val="0"/>
          <w:color w:val="000000"/>
          <w:sz w:val="16"/>
          <w:szCs w:val="16"/>
        </w:rPr>
      </w:pPr>
    </w:p>
    <w:p w:rsidR="00EE4004" w:rsidRDefault="00EE4004" w:rsidP="00BB2A4A">
      <w:pPr>
        <w:pStyle w:val="ListParagraph"/>
        <w:autoSpaceDE w:val="0"/>
        <w:autoSpaceDN w:val="0"/>
        <w:adjustRightInd w:val="0"/>
        <w:spacing w:after="0" w:line="240" w:lineRule="auto"/>
        <w:ind w:left="360"/>
        <w:rPr>
          <w:b w:val="0"/>
          <w:color w:val="000000"/>
          <w:sz w:val="24"/>
          <w:szCs w:val="24"/>
        </w:rPr>
      </w:pPr>
    </w:p>
    <w:p w:rsidR="00EE4004" w:rsidRDefault="00EE4004" w:rsidP="00BB2A4A">
      <w:pPr>
        <w:pStyle w:val="ListParagraph"/>
        <w:autoSpaceDE w:val="0"/>
        <w:autoSpaceDN w:val="0"/>
        <w:adjustRightInd w:val="0"/>
        <w:spacing w:after="0" w:line="240" w:lineRule="auto"/>
        <w:ind w:left="360"/>
        <w:rPr>
          <w:b w:val="0"/>
          <w:color w:val="000000"/>
          <w:sz w:val="24"/>
          <w:szCs w:val="24"/>
        </w:rPr>
      </w:pPr>
    </w:p>
    <w:p w:rsidR="00EE4004" w:rsidRDefault="00EE4004" w:rsidP="00BB2A4A">
      <w:pPr>
        <w:pStyle w:val="ListParagraph"/>
        <w:autoSpaceDE w:val="0"/>
        <w:autoSpaceDN w:val="0"/>
        <w:adjustRightInd w:val="0"/>
        <w:spacing w:after="0" w:line="240" w:lineRule="auto"/>
        <w:ind w:left="360"/>
        <w:rPr>
          <w:b w:val="0"/>
          <w:color w:val="000000"/>
          <w:sz w:val="24"/>
          <w:szCs w:val="24"/>
        </w:rPr>
      </w:pPr>
    </w:p>
    <w:p w:rsidR="00EE4004" w:rsidRDefault="00EE4004" w:rsidP="00BB2A4A">
      <w:pPr>
        <w:pStyle w:val="ListParagraph"/>
        <w:autoSpaceDE w:val="0"/>
        <w:autoSpaceDN w:val="0"/>
        <w:adjustRightInd w:val="0"/>
        <w:spacing w:after="0" w:line="240" w:lineRule="auto"/>
        <w:ind w:left="360"/>
        <w:rPr>
          <w:b w:val="0"/>
          <w:color w:val="000000"/>
          <w:sz w:val="24"/>
          <w:szCs w:val="24"/>
        </w:rPr>
      </w:pPr>
    </w:p>
    <w:p w:rsidR="00EE4004" w:rsidRDefault="00EE4004" w:rsidP="00BB2A4A">
      <w:pPr>
        <w:pStyle w:val="ListParagraph"/>
        <w:autoSpaceDE w:val="0"/>
        <w:autoSpaceDN w:val="0"/>
        <w:adjustRightInd w:val="0"/>
        <w:spacing w:after="0" w:line="240" w:lineRule="auto"/>
        <w:ind w:left="360"/>
        <w:rPr>
          <w:b w:val="0"/>
          <w:color w:val="000000"/>
          <w:sz w:val="24"/>
          <w:szCs w:val="24"/>
        </w:rPr>
      </w:pPr>
    </w:p>
    <w:p w:rsidR="00EE4004" w:rsidRDefault="00EE4004" w:rsidP="00BB2A4A">
      <w:pPr>
        <w:pStyle w:val="ListParagraph"/>
        <w:autoSpaceDE w:val="0"/>
        <w:autoSpaceDN w:val="0"/>
        <w:adjustRightInd w:val="0"/>
        <w:spacing w:after="0" w:line="240" w:lineRule="auto"/>
        <w:ind w:left="360"/>
        <w:rPr>
          <w:b w:val="0"/>
          <w:color w:val="000000"/>
          <w:sz w:val="24"/>
          <w:szCs w:val="24"/>
        </w:rPr>
      </w:pPr>
    </w:p>
    <w:p w:rsidR="00EE4004" w:rsidRDefault="00EE4004" w:rsidP="00BB2A4A">
      <w:pPr>
        <w:pStyle w:val="ListParagraph"/>
        <w:autoSpaceDE w:val="0"/>
        <w:autoSpaceDN w:val="0"/>
        <w:adjustRightInd w:val="0"/>
        <w:spacing w:after="0" w:line="240" w:lineRule="auto"/>
        <w:ind w:left="360"/>
        <w:rPr>
          <w:b w:val="0"/>
          <w:color w:val="000000"/>
          <w:sz w:val="24"/>
          <w:szCs w:val="24"/>
        </w:rPr>
      </w:pPr>
    </w:p>
    <w:p w:rsidR="00EE4004" w:rsidRDefault="00EE4004" w:rsidP="00BB2A4A">
      <w:pPr>
        <w:pStyle w:val="ListParagraph"/>
        <w:autoSpaceDE w:val="0"/>
        <w:autoSpaceDN w:val="0"/>
        <w:adjustRightInd w:val="0"/>
        <w:spacing w:after="0" w:line="240" w:lineRule="auto"/>
        <w:ind w:left="360"/>
        <w:rPr>
          <w:b w:val="0"/>
          <w:color w:val="000000"/>
          <w:sz w:val="24"/>
          <w:szCs w:val="24"/>
        </w:rPr>
      </w:pPr>
    </w:p>
    <w:p w:rsidR="00EE4004" w:rsidRDefault="00EE4004" w:rsidP="00BB2A4A">
      <w:pPr>
        <w:pStyle w:val="ListParagraph"/>
        <w:autoSpaceDE w:val="0"/>
        <w:autoSpaceDN w:val="0"/>
        <w:adjustRightInd w:val="0"/>
        <w:spacing w:after="0" w:line="240" w:lineRule="auto"/>
        <w:ind w:left="360"/>
        <w:rPr>
          <w:b w:val="0"/>
          <w:color w:val="000000"/>
          <w:sz w:val="24"/>
          <w:szCs w:val="24"/>
        </w:rPr>
      </w:pPr>
    </w:p>
    <w:p w:rsidR="00EE4004" w:rsidRDefault="00EE4004" w:rsidP="00BB2A4A">
      <w:pPr>
        <w:pStyle w:val="ListParagraph"/>
        <w:autoSpaceDE w:val="0"/>
        <w:autoSpaceDN w:val="0"/>
        <w:adjustRightInd w:val="0"/>
        <w:spacing w:after="0" w:line="240" w:lineRule="auto"/>
        <w:ind w:left="360"/>
        <w:rPr>
          <w:b w:val="0"/>
          <w:color w:val="000000"/>
          <w:sz w:val="24"/>
          <w:szCs w:val="24"/>
        </w:rPr>
      </w:pPr>
    </w:p>
    <w:p w:rsidR="00EE4004" w:rsidRPr="00C366DF" w:rsidRDefault="00EE4004" w:rsidP="00BB2A4A">
      <w:pPr>
        <w:pStyle w:val="ListParagraph"/>
        <w:autoSpaceDE w:val="0"/>
        <w:autoSpaceDN w:val="0"/>
        <w:adjustRightInd w:val="0"/>
        <w:spacing w:after="0" w:line="240" w:lineRule="auto"/>
        <w:ind w:left="360"/>
        <w:rPr>
          <w:b w:val="0"/>
          <w:color w:val="000000"/>
          <w:sz w:val="24"/>
          <w:szCs w:val="24"/>
        </w:rPr>
      </w:pPr>
    </w:p>
    <w:p w:rsidR="00EE4004" w:rsidRDefault="00EE4004" w:rsidP="00BB2A4A">
      <w:pPr>
        <w:pStyle w:val="ListParagraph"/>
        <w:numPr>
          <w:ilvl w:val="0"/>
          <w:numId w:val="17"/>
        </w:numPr>
        <w:tabs>
          <w:tab w:val="left" w:pos="360"/>
        </w:tabs>
        <w:autoSpaceDE w:val="0"/>
        <w:autoSpaceDN w:val="0"/>
        <w:adjustRightInd w:val="0"/>
        <w:spacing w:after="0" w:line="240" w:lineRule="auto"/>
        <w:ind w:hanging="720"/>
        <w:rPr>
          <w:bCs/>
          <w:sz w:val="26"/>
          <w:szCs w:val="26"/>
          <w:lang w:val="en-US"/>
        </w:rPr>
      </w:pPr>
      <w:r w:rsidRPr="00BB2A4A">
        <w:rPr>
          <w:bCs/>
          <w:sz w:val="26"/>
          <w:szCs w:val="26"/>
          <w:lang w:val="en-US"/>
        </w:rPr>
        <w:t>Levies in Mauritius</w:t>
      </w:r>
    </w:p>
    <w:p w:rsidR="00EE4004" w:rsidRPr="00BB2A4A" w:rsidRDefault="00EE4004" w:rsidP="00BB2A4A">
      <w:pPr>
        <w:pStyle w:val="ListParagraph"/>
        <w:tabs>
          <w:tab w:val="left" w:pos="360"/>
        </w:tabs>
        <w:autoSpaceDE w:val="0"/>
        <w:autoSpaceDN w:val="0"/>
        <w:adjustRightInd w:val="0"/>
        <w:spacing w:after="0" w:line="240" w:lineRule="auto"/>
        <w:rPr>
          <w:bCs/>
          <w:sz w:val="26"/>
          <w:szCs w:val="26"/>
          <w:lang w:val="en-US"/>
        </w:rPr>
      </w:pPr>
    </w:p>
    <w:tbl>
      <w:tblPr>
        <w:tblW w:w="5000" w:type="pct"/>
        <w:tblBorders>
          <w:top w:val="single" w:sz="8" w:space="0" w:color="000000"/>
          <w:left w:val="single" w:sz="8" w:space="0" w:color="000000"/>
          <w:bottom w:val="single" w:sz="8" w:space="0" w:color="000000"/>
          <w:right w:val="single" w:sz="8" w:space="0" w:color="000000"/>
        </w:tblBorders>
        <w:tblLook w:val="00A0"/>
      </w:tblPr>
      <w:tblGrid>
        <w:gridCol w:w="1394"/>
        <w:gridCol w:w="1816"/>
        <w:gridCol w:w="1358"/>
        <w:gridCol w:w="895"/>
        <w:gridCol w:w="2651"/>
        <w:gridCol w:w="1128"/>
      </w:tblGrid>
      <w:tr w:rsidR="00EE4004" w:rsidRPr="00C45F98" w:rsidTr="00C45F98">
        <w:tc>
          <w:tcPr>
            <w:tcW w:w="754" w:type="pct"/>
            <w:tcBorders>
              <w:top w:val="single" w:sz="8" w:space="0" w:color="000000"/>
              <w:bottom w:val="single" w:sz="8" w:space="0" w:color="000000"/>
            </w:tcBorders>
            <w:shd w:val="clear" w:color="auto" w:fill="8DB3E2"/>
          </w:tcPr>
          <w:p w:rsidR="00EE4004" w:rsidRPr="00C45F98" w:rsidRDefault="00EE4004" w:rsidP="00C45F98">
            <w:pPr>
              <w:spacing w:after="0" w:line="240" w:lineRule="auto"/>
              <w:rPr>
                <w:b/>
                <w:bCs/>
                <w:color w:val="FFFFFF"/>
                <w:sz w:val="20"/>
                <w:lang w:eastAsia="en-GB"/>
              </w:rPr>
            </w:pPr>
            <w:r w:rsidRPr="00C45F98">
              <w:rPr>
                <w:b/>
                <w:bCs/>
                <w:color w:val="FFFFFF"/>
                <w:lang w:eastAsia="en-GB"/>
              </w:rPr>
              <w:t>The following table provides an overview of  the main levies applicable to industries  in Mauritius impacted by this IFRIC.</w:t>
            </w:r>
            <w:r w:rsidRPr="00C45F98">
              <w:rPr>
                <w:b/>
                <w:bCs/>
                <w:color w:val="FFFFFF"/>
                <w:sz w:val="20"/>
                <w:lang w:eastAsia="en-GB"/>
              </w:rPr>
              <w:t>Levy</w:t>
            </w:r>
          </w:p>
        </w:tc>
        <w:tc>
          <w:tcPr>
            <w:tcW w:w="982" w:type="pct"/>
            <w:tcBorders>
              <w:top w:val="single" w:sz="8" w:space="0" w:color="000000"/>
              <w:bottom w:val="single" w:sz="8" w:space="0" w:color="000000"/>
            </w:tcBorders>
            <w:shd w:val="clear" w:color="auto" w:fill="8DB3E2"/>
          </w:tcPr>
          <w:p w:rsidR="00EE4004" w:rsidRPr="00C45F98" w:rsidRDefault="00EE4004" w:rsidP="00C45F98">
            <w:pPr>
              <w:spacing w:after="0" w:line="240" w:lineRule="auto"/>
              <w:rPr>
                <w:b/>
                <w:bCs/>
                <w:color w:val="FFFFFF"/>
                <w:sz w:val="20"/>
                <w:lang w:eastAsia="en-GB"/>
              </w:rPr>
            </w:pPr>
            <w:r w:rsidRPr="00C45F98">
              <w:rPr>
                <w:b/>
                <w:bCs/>
                <w:color w:val="FFFFFF"/>
                <w:sz w:val="20"/>
                <w:lang w:eastAsia="en-GB"/>
              </w:rPr>
              <w:t xml:space="preserve">Industry </w:t>
            </w:r>
          </w:p>
        </w:tc>
        <w:tc>
          <w:tcPr>
            <w:tcW w:w="735" w:type="pct"/>
            <w:tcBorders>
              <w:top w:val="single" w:sz="8" w:space="0" w:color="000000"/>
              <w:bottom w:val="single" w:sz="8" w:space="0" w:color="000000"/>
            </w:tcBorders>
            <w:shd w:val="clear" w:color="auto" w:fill="8DB3E2"/>
          </w:tcPr>
          <w:p w:rsidR="00EE4004" w:rsidRPr="00C45F98" w:rsidRDefault="00EE4004" w:rsidP="00C45F98">
            <w:pPr>
              <w:spacing w:after="0" w:line="240" w:lineRule="auto"/>
              <w:rPr>
                <w:b/>
                <w:bCs/>
                <w:color w:val="FFFFFF"/>
                <w:sz w:val="20"/>
                <w:lang w:eastAsia="en-GB"/>
              </w:rPr>
            </w:pPr>
            <w:r w:rsidRPr="00C45F98">
              <w:rPr>
                <w:b/>
                <w:bCs/>
                <w:color w:val="FFFFFF"/>
                <w:sz w:val="20"/>
                <w:lang w:eastAsia="en-GB"/>
              </w:rPr>
              <w:t xml:space="preserve">Legislation </w:t>
            </w:r>
          </w:p>
        </w:tc>
        <w:tc>
          <w:tcPr>
            <w:tcW w:w="484" w:type="pct"/>
            <w:tcBorders>
              <w:top w:val="single" w:sz="8" w:space="0" w:color="000000"/>
              <w:bottom w:val="single" w:sz="8" w:space="0" w:color="000000"/>
            </w:tcBorders>
            <w:shd w:val="clear" w:color="auto" w:fill="8DB3E2"/>
          </w:tcPr>
          <w:p w:rsidR="00EE4004" w:rsidRPr="00C45F98" w:rsidRDefault="00EE4004" w:rsidP="00C45F98">
            <w:pPr>
              <w:spacing w:after="0" w:line="240" w:lineRule="auto"/>
              <w:rPr>
                <w:b/>
                <w:bCs/>
                <w:color w:val="FFFFFF"/>
                <w:sz w:val="20"/>
                <w:lang w:eastAsia="en-GB"/>
              </w:rPr>
            </w:pPr>
            <w:r w:rsidRPr="00C45F98">
              <w:rPr>
                <w:b/>
                <w:bCs/>
                <w:color w:val="FFFFFF"/>
                <w:sz w:val="20"/>
                <w:lang w:eastAsia="en-GB"/>
              </w:rPr>
              <w:t>Rate of levy</w:t>
            </w:r>
          </w:p>
        </w:tc>
        <w:tc>
          <w:tcPr>
            <w:tcW w:w="1434" w:type="pct"/>
            <w:tcBorders>
              <w:top w:val="single" w:sz="8" w:space="0" w:color="000000"/>
              <w:bottom w:val="single" w:sz="8" w:space="0" w:color="000000"/>
            </w:tcBorders>
            <w:shd w:val="clear" w:color="auto" w:fill="8DB3E2"/>
          </w:tcPr>
          <w:p w:rsidR="00EE4004" w:rsidRPr="00C45F98" w:rsidRDefault="00EE4004" w:rsidP="00C45F98">
            <w:pPr>
              <w:spacing w:after="0" w:line="240" w:lineRule="auto"/>
              <w:rPr>
                <w:b/>
                <w:bCs/>
                <w:color w:val="FFFFFF"/>
                <w:sz w:val="20"/>
                <w:lang w:eastAsia="en-GB"/>
              </w:rPr>
            </w:pPr>
            <w:r w:rsidRPr="00C45F98">
              <w:rPr>
                <w:b/>
                <w:bCs/>
                <w:color w:val="FFFFFF"/>
                <w:sz w:val="20"/>
                <w:lang w:eastAsia="en-GB"/>
              </w:rPr>
              <w:t>Basis of computation</w:t>
            </w:r>
          </w:p>
        </w:tc>
        <w:tc>
          <w:tcPr>
            <w:tcW w:w="610" w:type="pct"/>
            <w:tcBorders>
              <w:top w:val="single" w:sz="8" w:space="0" w:color="000000"/>
              <w:bottom w:val="single" w:sz="8" w:space="0" w:color="000000"/>
            </w:tcBorders>
            <w:shd w:val="clear" w:color="auto" w:fill="8DB3E2"/>
          </w:tcPr>
          <w:p w:rsidR="00EE4004" w:rsidRPr="00C45F98" w:rsidRDefault="00EE4004" w:rsidP="00C45F98">
            <w:pPr>
              <w:spacing w:after="0" w:line="240" w:lineRule="auto"/>
              <w:rPr>
                <w:b/>
                <w:bCs/>
                <w:color w:val="FFFFFF"/>
                <w:sz w:val="20"/>
                <w:lang w:eastAsia="en-GB"/>
              </w:rPr>
            </w:pPr>
            <w:r w:rsidRPr="00C45F98">
              <w:rPr>
                <w:b/>
                <w:bCs/>
                <w:color w:val="FFFFFF"/>
                <w:sz w:val="20"/>
                <w:lang w:eastAsia="en-GB"/>
              </w:rPr>
              <w:t>Obligating event</w:t>
            </w:r>
          </w:p>
          <w:p w:rsidR="00EE4004" w:rsidRPr="00C45F98" w:rsidRDefault="00EE4004" w:rsidP="00C45F98">
            <w:pPr>
              <w:spacing w:after="0" w:line="240" w:lineRule="auto"/>
              <w:rPr>
                <w:b/>
                <w:bCs/>
                <w:color w:val="FFFFFF"/>
                <w:sz w:val="20"/>
                <w:lang w:eastAsia="en-GB"/>
              </w:rPr>
            </w:pPr>
          </w:p>
        </w:tc>
      </w:tr>
      <w:tr w:rsidR="00EE4004" w:rsidRPr="00C45F98" w:rsidTr="00C45F98">
        <w:tc>
          <w:tcPr>
            <w:tcW w:w="754" w:type="pct"/>
            <w:tcBorders>
              <w:top w:val="single" w:sz="8" w:space="0" w:color="000000"/>
              <w:bottom w:val="single" w:sz="8" w:space="0" w:color="000000"/>
            </w:tcBorders>
          </w:tcPr>
          <w:p w:rsidR="00EE4004" w:rsidRPr="00C45F98" w:rsidRDefault="00EE4004" w:rsidP="00C45F98">
            <w:pPr>
              <w:spacing w:after="0" w:line="240" w:lineRule="auto"/>
              <w:rPr>
                <w:b/>
                <w:bCs/>
                <w:i/>
                <w:sz w:val="20"/>
                <w:lang w:eastAsia="en-GB"/>
              </w:rPr>
            </w:pPr>
            <w:r w:rsidRPr="00C45F98">
              <w:rPr>
                <w:b/>
                <w:bCs/>
                <w:i/>
                <w:sz w:val="20"/>
                <w:lang w:eastAsia="en-GB"/>
              </w:rPr>
              <w:t>Training Levy</w:t>
            </w:r>
          </w:p>
          <w:p w:rsidR="00EE4004" w:rsidRPr="00C45F98" w:rsidRDefault="00EE4004" w:rsidP="00C45F98">
            <w:pPr>
              <w:spacing w:after="0" w:line="240" w:lineRule="auto"/>
              <w:rPr>
                <w:b/>
                <w:bCs/>
                <w:sz w:val="20"/>
                <w:lang w:eastAsia="en-GB"/>
              </w:rPr>
            </w:pPr>
            <w:r w:rsidRPr="00C45F98">
              <w:rPr>
                <w:bCs/>
                <w:sz w:val="20"/>
                <w:lang w:eastAsia="en-GB"/>
              </w:rPr>
              <w:t>This is a scheme established for the purpose of developing human skills</w:t>
            </w:r>
          </w:p>
        </w:tc>
        <w:tc>
          <w:tcPr>
            <w:tcW w:w="982" w:type="pct"/>
            <w:tcBorders>
              <w:top w:val="single" w:sz="8" w:space="0" w:color="000000"/>
              <w:bottom w:val="single" w:sz="8" w:space="0" w:color="000000"/>
            </w:tcBorders>
          </w:tcPr>
          <w:p w:rsidR="00EE4004" w:rsidRPr="00C45F98" w:rsidRDefault="00EE4004" w:rsidP="00C45F98">
            <w:pPr>
              <w:spacing w:after="0" w:line="240" w:lineRule="auto"/>
              <w:rPr>
                <w:bCs/>
                <w:sz w:val="20"/>
                <w:lang w:eastAsia="en-GB"/>
              </w:rPr>
            </w:pPr>
          </w:p>
          <w:p w:rsidR="00EE4004" w:rsidRPr="00C45F98" w:rsidRDefault="00EE4004" w:rsidP="00C45F98">
            <w:pPr>
              <w:spacing w:after="0" w:line="240" w:lineRule="auto"/>
              <w:rPr>
                <w:bCs/>
                <w:sz w:val="20"/>
                <w:lang w:eastAsia="en-GB"/>
              </w:rPr>
            </w:pPr>
            <w:r w:rsidRPr="00C45F98">
              <w:rPr>
                <w:bCs/>
                <w:sz w:val="20"/>
                <w:lang w:eastAsia="en-GB"/>
              </w:rPr>
              <w:t>All</w:t>
            </w:r>
          </w:p>
        </w:tc>
        <w:tc>
          <w:tcPr>
            <w:tcW w:w="735" w:type="pct"/>
            <w:tcBorders>
              <w:top w:val="single" w:sz="8" w:space="0" w:color="000000"/>
              <w:bottom w:val="single" w:sz="8" w:space="0" w:color="000000"/>
            </w:tcBorders>
          </w:tcPr>
          <w:p w:rsidR="00EE4004" w:rsidRPr="00C45F98" w:rsidRDefault="00EE4004" w:rsidP="00C45F98">
            <w:pPr>
              <w:spacing w:after="0" w:line="240" w:lineRule="auto"/>
              <w:rPr>
                <w:bCs/>
                <w:sz w:val="20"/>
                <w:lang w:eastAsia="en-GB"/>
              </w:rPr>
            </w:pPr>
          </w:p>
          <w:p w:rsidR="00EE4004" w:rsidRPr="00C45F98" w:rsidRDefault="00EE4004" w:rsidP="00C45F98">
            <w:pPr>
              <w:spacing w:after="0" w:line="240" w:lineRule="auto"/>
              <w:rPr>
                <w:sz w:val="20"/>
                <w:lang w:eastAsia="en-GB"/>
              </w:rPr>
            </w:pPr>
            <w:r w:rsidRPr="00C45F98">
              <w:rPr>
                <w:bCs/>
                <w:sz w:val="20"/>
                <w:lang w:eastAsia="en-GB"/>
              </w:rPr>
              <w:t>The Human Resource Development Act 2003 (Sec 18)</w:t>
            </w:r>
          </w:p>
          <w:p w:rsidR="00EE4004" w:rsidRPr="00C45F98" w:rsidRDefault="00EE4004" w:rsidP="00C45F98">
            <w:pPr>
              <w:spacing w:after="0" w:line="240" w:lineRule="auto"/>
              <w:rPr>
                <w:bCs/>
                <w:sz w:val="20"/>
                <w:lang w:eastAsia="en-GB"/>
              </w:rPr>
            </w:pPr>
          </w:p>
        </w:tc>
        <w:tc>
          <w:tcPr>
            <w:tcW w:w="484" w:type="pct"/>
            <w:tcBorders>
              <w:top w:val="single" w:sz="8" w:space="0" w:color="000000"/>
              <w:bottom w:val="single" w:sz="8" w:space="0" w:color="000000"/>
            </w:tcBorders>
          </w:tcPr>
          <w:p w:rsidR="00EE4004" w:rsidRPr="00C45F98" w:rsidRDefault="00EE4004" w:rsidP="00C45F98">
            <w:pPr>
              <w:spacing w:after="0" w:line="240" w:lineRule="auto"/>
              <w:jc w:val="center"/>
              <w:rPr>
                <w:bCs/>
                <w:sz w:val="20"/>
                <w:lang w:eastAsia="en-GB"/>
              </w:rPr>
            </w:pPr>
          </w:p>
          <w:p w:rsidR="00EE4004" w:rsidRPr="00C45F98" w:rsidRDefault="00EE4004" w:rsidP="00C45F98">
            <w:pPr>
              <w:spacing w:after="0" w:line="240" w:lineRule="auto"/>
              <w:jc w:val="center"/>
              <w:rPr>
                <w:bCs/>
                <w:sz w:val="20"/>
                <w:lang w:eastAsia="en-GB"/>
              </w:rPr>
            </w:pPr>
            <w:r w:rsidRPr="00C45F98">
              <w:rPr>
                <w:bCs/>
                <w:sz w:val="20"/>
                <w:lang w:eastAsia="en-GB"/>
              </w:rPr>
              <w:t>1.5%</w:t>
            </w:r>
          </w:p>
        </w:tc>
        <w:tc>
          <w:tcPr>
            <w:tcW w:w="1434" w:type="pct"/>
            <w:tcBorders>
              <w:top w:val="single" w:sz="8" w:space="0" w:color="000000"/>
              <w:bottom w:val="single" w:sz="8" w:space="0" w:color="000000"/>
            </w:tcBorders>
          </w:tcPr>
          <w:p w:rsidR="00EE4004" w:rsidRPr="00C45F98" w:rsidRDefault="00EE4004" w:rsidP="00C45F98">
            <w:pPr>
              <w:spacing w:after="0" w:line="240" w:lineRule="auto"/>
              <w:rPr>
                <w:sz w:val="20"/>
                <w:lang w:eastAsia="en-GB"/>
              </w:rPr>
            </w:pPr>
          </w:p>
          <w:p w:rsidR="00EE4004" w:rsidRPr="00C45F98" w:rsidRDefault="00EE4004" w:rsidP="00C45F98">
            <w:pPr>
              <w:spacing w:after="0" w:line="240" w:lineRule="auto"/>
              <w:rPr>
                <w:sz w:val="20"/>
                <w:lang w:eastAsia="en-GB"/>
              </w:rPr>
            </w:pPr>
            <w:r w:rsidRPr="00C45F98">
              <w:rPr>
                <w:sz w:val="20"/>
                <w:lang w:eastAsia="en-GB"/>
              </w:rPr>
              <w:t>On each employee’s basic wage or salary excluding overtime, bonuses and allowances (HRDA Sec 18)</w:t>
            </w:r>
          </w:p>
          <w:p w:rsidR="00EE4004" w:rsidRPr="00C45F98" w:rsidRDefault="00EE4004" w:rsidP="00C45F98">
            <w:pPr>
              <w:spacing w:after="0" w:line="240" w:lineRule="auto"/>
              <w:rPr>
                <w:sz w:val="20"/>
                <w:lang w:eastAsia="en-GB"/>
              </w:rPr>
            </w:pPr>
          </w:p>
          <w:p w:rsidR="00EE4004" w:rsidRPr="00C45F98" w:rsidRDefault="00EE4004" w:rsidP="00C45F98">
            <w:pPr>
              <w:autoSpaceDE w:val="0"/>
              <w:autoSpaceDN w:val="0"/>
              <w:adjustRightInd w:val="0"/>
              <w:spacing w:after="0" w:line="240" w:lineRule="auto"/>
              <w:rPr>
                <w:sz w:val="20"/>
              </w:rPr>
            </w:pPr>
            <w:r w:rsidRPr="00C45F98">
              <w:rPr>
                <w:sz w:val="20"/>
              </w:rPr>
              <w:t>The levy is payable monthly together with a return in such form as may be approved</w:t>
            </w:r>
          </w:p>
          <w:p w:rsidR="00EE4004" w:rsidRPr="00C45F98" w:rsidRDefault="00EE4004" w:rsidP="00C45F98">
            <w:pPr>
              <w:spacing w:after="0" w:line="240" w:lineRule="auto"/>
              <w:rPr>
                <w:bCs/>
                <w:sz w:val="20"/>
                <w:lang w:eastAsia="en-GB"/>
              </w:rPr>
            </w:pPr>
            <w:r w:rsidRPr="00C45F98">
              <w:rPr>
                <w:sz w:val="20"/>
              </w:rPr>
              <w:t>by the Ministry.</w:t>
            </w:r>
          </w:p>
        </w:tc>
        <w:tc>
          <w:tcPr>
            <w:tcW w:w="610" w:type="pct"/>
            <w:tcBorders>
              <w:top w:val="single" w:sz="8" w:space="0" w:color="000000"/>
              <w:bottom w:val="single" w:sz="8" w:space="0" w:color="000000"/>
            </w:tcBorders>
          </w:tcPr>
          <w:p w:rsidR="00EE4004" w:rsidRPr="00C45F98" w:rsidRDefault="00EE4004" w:rsidP="00C45F98">
            <w:pPr>
              <w:spacing w:after="0" w:line="240" w:lineRule="auto"/>
              <w:rPr>
                <w:sz w:val="20"/>
              </w:rPr>
            </w:pPr>
          </w:p>
          <w:p w:rsidR="00EE4004" w:rsidRPr="00C45F98" w:rsidRDefault="00EE4004" w:rsidP="00C45F98">
            <w:pPr>
              <w:spacing w:after="0" w:line="240" w:lineRule="auto"/>
              <w:rPr>
                <w:sz w:val="20"/>
              </w:rPr>
            </w:pPr>
          </w:p>
          <w:p w:rsidR="00EE4004" w:rsidRPr="00C45F98" w:rsidRDefault="00EE4004" w:rsidP="00C45F98">
            <w:pPr>
              <w:spacing w:after="0" w:line="240" w:lineRule="auto"/>
              <w:jc w:val="center"/>
              <w:rPr>
                <w:sz w:val="20"/>
                <w:lang w:eastAsia="en-GB"/>
              </w:rPr>
            </w:pPr>
            <w:r w:rsidRPr="00C45F98">
              <w:rPr>
                <w:sz w:val="20"/>
              </w:rPr>
              <w:t>When salary is paid</w:t>
            </w:r>
          </w:p>
        </w:tc>
      </w:tr>
      <w:tr w:rsidR="00EE4004" w:rsidRPr="00C45F98" w:rsidTr="00C45F98">
        <w:tc>
          <w:tcPr>
            <w:tcW w:w="754" w:type="pct"/>
          </w:tcPr>
          <w:p w:rsidR="00EE4004" w:rsidRPr="00C45F98" w:rsidRDefault="00EE4004" w:rsidP="00C45F98">
            <w:pPr>
              <w:spacing w:after="0" w:line="240" w:lineRule="auto"/>
              <w:rPr>
                <w:b/>
                <w:bCs/>
                <w:i/>
                <w:color w:val="000000"/>
                <w:sz w:val="20"/>
              </w:rPr>
            </w:pPr>
            <w:r w:rsidRPr="00C45F98">
              <w:rPr>
                <w:b/>
                <w:bCs/>
                <w:i/>
                <w:color w:val="000000"/>
                <w:sz w:val="20"/>
              </w:rPr>
              <w:t>Levy on messages</w:t>
            </w:r>
          </w:p>
          <w:p w:rsidR="00EE4004" w:rsidRPr="00C45F98" w:rsidRDefault="00EE4004" w:rsidP="00C45F98">
            <w:pPr>
              <w:spacing w:after="0" w:line="240" w:lineRule="auto"/>
              <w:rPr>
                <w:b/>
                <w:bCs/>
                <w:sz w:val="20"/>
                <w:lang w:eastAsia="en-GB"/>
              </w:rPr>
            </w:pPr>
            <w:r w:rsidRPr="00C45F98">
              <w:rPr>
                <w:bCs/>
                <w:color w:val="000000"/>
                <w:sz w:val="20"/>
              </w:rPr>
              <w:t>Aim at financing the Empowerment Programme</w:t>
            </w:r>
          </w:p>
        </w:tc>
        <w:tc>
          <w:tcPr>
            <w:tcW w:w="982" w:type="pct"/>
          </w:tcPr>
          <w:p w:rsidR="00EE4004" w:rsidRPr="00C45F98" w:rsidRDefault="00EE4004" w:rsidP="00C45F98">
            <w:pPr>
              <w:autoSpaceDE w:val="0"/>
              <w:autoSpaceDN w:val="0"/>
              <w:adjustRightInd w:val="0"/>
              <w:spacing w:after="0" w:line="240" w:lineRule="auto"/>
              <w:rPr>
                <w:sz w:val="20"/>
              </w:rPr>
            </w:pPr>
          </w:p>
          <w:p w:rsidR="00EE4004" w:rsidRPr="00C45F98" w:rsidRDefault="00EE4004" w:rsidP="00C45F98">
            <w:pPr>
              <w:autoSpaceDE w:val="0"/>
              <w:autoSpaceDN w:val="0"/>
              <w:adjustRightInd w:val="0"/>
              <w:spacing w:after="0" w:line="240" w:lineRule="auto"/>
              <w:rPr>
                <w:sz w:val="20"/>
              </w:rPr>
            </w:pPr>
          </w:p>
          <w:p w:rsidR="00EE4004" w:rsidRPr="00C45F98" w:rsidRDefault="00EE4004" w:rsidP="00C45F98">
            <w:pPr>
              <w:tabs>
                <w:tab w:val="left" w:pos="431"/>
              </w:tabs>
              <w:autoSpaceDE w:val="0"/>
              <w:autoSpaceDN w:val="0"/>
              <w:adjustRightInd w:val="0"/>
              <w:spacing w:after="0" w:line="240" w:lineRule="auto"/>
              <w:rPr>
                <w:sz w:val="20"/>
              </w:rPr>
            </w:pPr>
            <w:r w:rsidRPr="00C45F98">
              <w:rPr>
                <w:sz w:val="20"/>
              </w:rPr>
              <w:t>Telecommunication</w:t>
            </w:r>
          </w:p>
        </w:tc>
        <w:tc>
          <w:tcPr>
            <w:tcW w:w="735" w:type="pct"/>
          </w:tcPr>
          <w:p w:rsidR="00EE4004" w:rsidRPr="00C45F98" w:rsidRDefault="00EE4004" w:rsidP="00C45F98">
            <w:pPr>
              <w:spacing w:after="0" w:line="240" w:lineRule="auto"/>
              <w:rPr>
                <w:sz w:val="20"/>
              </w:rPr>
            </w:pPr>
          </w:p>
          <w:p w:rsidR="00EE4004" w:rsidRPr="00C45F98" w:rsidRDefault="00EE4004" w:rsidP="00C45F98">
            <w:pPr>
              <w:spacing w:after="0" w:line="240" w:lineRule="auto"/>
              <w:rPr>
                <w:sz w:val="20"/>
              </w:rPr>
            </w:pPr>
          </w:p>
          <w:p w:rsidR="00EE4004" w:rsidRPr="00C45F98" w:rsidRDefault="00EE4004" w:rsidP="00C45F98">
            <w:pPr>
              <w:spacing w:after="0" w:line="240" w:lineRule="auto"/>
              <w:rPr>
                <w:sz w:val="20"/>
              </w:rPr>
            </w:pPr>
            <w:r w:rsidRPr="00C45F98">
              <w:rPr>
                <w:sz w:val="20"/>
              </w:rPr>
              <w:t>Value Added Tax Act (Sec 53I - 53M)</w:t>
            </w:r>
          </w:p>
          <w:p w:rsidR="00EE4004" w:rsidRPr="00C45F98" w:rsidRDefault="00EE4004" w:rsidP="00C45F98">
            <w:pPr>
              <w:spacing w:after="0" w:line="240" w:lineRule="auto"/>
              <w:rPr>
                <w:bCs/>
                <w:sz w:val="20"/>
                <w:lang w:eastAsia="en-GB"/>
              </w:rPr>
            </w:pPr>
          </w:p>
        </w:tc>
        <w:tc>
          <w:tcPr>
            <w:tcW w:w="484" w:type="pct"/>
          </w:tcPr>
          <w:p w:rsidR="00EE4004" w:rsidRPr="00C45F98" w:rsidRDefault="00EE4004" w:rsidP="00C45F98">
            <w:pPr>
              <w:spacing w:after="0" w:line="240" w:lineRule="auto"/>
              <w:jc w:val="center"/>
              <w:rPr>
                <w:sz w:val="20"/>
              </w:rPr>
            </w:pPr>
          </w:p>
          <w:p w:rsidR="00EE4004" w:rsidRPr="00C45F98" w:rsidRDefault="00EE4004" w:rsidP="00C45F98">
            <w:pPr>
              <w:spacing w:after="0" w:line="240" w:lineRule="auto"/>
              <w:jc w:val="center"/>
              <w:rPr>
                <w:sz w:val="20"/>
              </w:rPr>
            </w:pPr>
          </w:p>
          <w:p w:rsidR="00EE4004" w:rsidRPr="00C45F98" w:rsidRDefault="00EE4004" w:rsidP="00C45F98">
            <w:pPr>
              <w:spacing w:after="0" w:line="240" w:lineRule="auto"/>
              <w:jc w:val="center"/>
              <w:rPr>
                <w:bCs/>
                <w:sz w:val="20"/>
                <w:lang w:eastAsia="en-GB"/>
              </w:rPr>
            </w:pPr>
            <w:r w:rsidRPr="00C45F98">
              <w:rPr>
                <w:sz w:val="20"/>
              </w:rPr>
              <w:t>10 cents per message</w:t>
            </w:r>
          </w:p>
        </w:tc>
        <w:tc>
          <w:tcPr>
            <w:tcW w:w="1434" w:type="pct"/>
          </w:tcPr>
          <w:p w:rsidR="00EE4004" w:rsidRPr="00C45F98" w:rsidRDefault="00EE4004" w:rsidP="00C45F98">
            <w:pPr>
              <w:autoSpaceDE w:val="0"/>
              <w:autoSpaceDN w:val="0"/>
              <w:adjustRightInd w:val="0"/>
              <w:spacing w:after="0" w:line="240" w:lineRule="auto"/>
              <w:rPr>
                <w:sz w:val="20"/>
              </w:rPr>
            </w:pPr>
          </w:p>
          <w:p w:rsidR="00EE4004" w:rsidRPr="00C45F98" w:rsidRDefault="00EE4004" w:rsidP="00C45F98">
            <w:pPr>
              <w:autoSpaceDE w:val="0"/>
              <w:autoSpaceDN w:val="0"/>
              <w:adjustRightInd w:val="0"/>
              <w:spacing w:after="0" w:line="240" w:lineRule="auto"/>
              <w:rPr>
                <w:sz w:val="20"/>
              </w:rPr>
            </w:pPr>
          </w:p>
          <w:p w:rsidR="00EE4004" w:rsidRPr="00C45F98" w:rsidRDefault="00EE4004" w:rsidP="00C45F98">
            <w:pPr>
              <w:autoSpaceDE w:val="0"/>
              <w:autoSpaceDN w:val="0"/>
              <w:adjustRightInd w:val="0"/>
              <w:spacing w:after="0" w:line="240" w:lineRule="auto"/>
              <w:rPr>
                <w:sz w:val="20"/>
              </w:rPr>
            </w:pPr>
            <w:r w:rsidRPr="00C45F98">
              <w:rPr>
                <w:sz w:val="20"/>
              </w:rPr>
              <w:t>Total number of messages it sends during a taxable period</w:t>
            </w:r>
          </w:p>
        </w:tc>
        <w:tc>
          <w:tcPr>
            <w:tcW w:w="610" w:type="pct"/>
          </w:tcPr>
          <w:p w:rsidR="00EE4004" w:rsidRPr="00C45F98" w:rsidRDefault="00EE4004" w:rsidP="00C45F98">
            <w:pPr>
              <w:spacing w:after="0" w:line="240" w:lineRule="auto"/>
              <w:jc w:val="center"/>
              <w:rPr>
                <w:bCs/>
                <w:sz w:val="20"/>
                <w:lang w:eastAsia="en-GB"/>
              </w:rPr>
            </w:pPr>
          </w:p>
          <w:p w:rsidR="00EE4004" w:rsidRPr="00C45F98" w:rsidRDefault="00EE4004" w:rsidP="00C45F98">
            <w:pPr>
              <w:spacing w:after="0" w:line="240" w:lineRule="auto"/>
              <w:jc w:val="center"/>
              <w:rPr>
                <w:bCs/>
                <w:sz w:val="20"/>
                <w:lang w:eastAsia="en-GB"/>
              </w:rPr>
            </w:pPr>
          </w:p>
          <w:p w:rsidR="00EE4004" w:rsidRPr="00C45F98" w:rsidRDefault="00EE4004" w:rsidP="00C45F98">
            <w:pPr>
              <w:spacing w:after="0" w:line="240" w:lineRule="auto"/>
              <w:jc w:val="center"/>
              <w:rPr>
                <w:bCs/>
                <w:sz w:val="20"/>
                <w:lang w:eastAsia="en-GB"/>
              </w:rPr>
            </w:pPr>
            <w:r w:rsidRPr="00C45F98">
              <w:rPr>
                <w:bCs/>
                <w:sz w:val="20"/>
                <w:lang w:eastAsia="en-GB"/>
              </w:rPr>
              <w:t>When a message is sent</w:t>
            </w:r>
          </w:p>
          <w:p w:rsidR="00EE4004" w:rsidRPr="00C45F98" w:rsidRDefault="00EE4004" w:rsidP="00C45F98">
            <w:pPr>
              <w:spacing w:after="0" w:line="240" w:lineRule="auto"/>
              <w:jc w:val="center"/>
              <w:rPr>
                <w:bCs/>
                <w:sz w:val="20"/>
                <w:lang w:eastAsia="en-GB"/>
              </w:rPr>
            </w:pPr>
          </w:p>
          <w:p w:rsidR="00EE4004" w:rsidRPr="00C45F98" w:rsidRDefault="00EE4004" w:rsidP="00C45F98">
            <w:pPr>
              <w:autoSpaceDE w:val="0"/>
              <w:autoSpaceDN w:val="0"/>
              <w:adjustRightInd w:val="0"/>
              <w:spacing w:after="0" w:line="240" w:lineRule="auto"/>
              <w:jc w:val="center"/>
              <w:rPr>
                <w:bCs/>
                <w:sz w:val="20"/>
                <w:lang w:eastAsia="en-GB"/>
              </w:rPr>
            </w:pPr>
            <w:r w:rsidRPr="00C45F98">
              <w:rPr>
                <w:bCs/>
                <w:sz w:val="20"/>
                <w:lang w:eastAsia="en-GB"/>
              </w:rPr>
              <w:t>After the end of every taxable period, the levy shall be paid to the MRA</w:t>
            </w:r>
          </w:p>
        </w:tc>
      </w:tr>
      <w:tr w:rsidR="00EE4004" w:rsidRPr="00C45F98" w:rsidTr="00C45F98">
        <w:tc>
          <w:tcPr>
            <w:tcW w:w="754" w:type="pct"/>
            <w:tcBorders>
              <w:top w:val="single" w:sz="8" w:space="0" w:color="000000"/>
              <w:bottom w:val="single" w:sz="8" w:space="0" w:color="000000"/>
            </w:tcBorders>
          </w:tcPr>
          <w:p w:rsidR="00EE4004" w:rsidRPr="00C45F98" w:rsidRDefault="00EE4004" w:rsidP="00C45F98">
            <w:pPr>
              <w:autoSpaceDE w:val="0"/>
              <w:autoSpaceDN w:val="0"/>
              <w:adjustRightInd w:val="0"/>
              <w:spacing w:after="0" w:line="240" w:lineRule="auto"/>
              <w:rPr>
                <w:b/>
                <w:bCs/>
                <w:i/>
                <w:sz w:val="20"/>
              </w:rPr>
            </w:pPr>
            <w:r w:rsidRPr="00C45F98">
              <w:rPr>
                <w:b/>
                <w:i/>
                <w:sz w:val="20"/>
              </w:rPr>
              <w:t>Special levy on Banks</w:t>
            </w:r>
          </w:p>
          <w:p w:rsidR="00EE4004" w:rsidRPr="00C45F98" w:rsidRDefault="00EE4004" w:rsidP="00C45F98">
            <w:pPr>
              <w:autoSpaceDE w:val="0"/>
              <w:autoSpaceDN w:val="0"/>
              <w:adjustRightInd w:val="0"/>
              <w:spacing w:after="0" w:line="240" w:lineRule="auto"/>
              <w:rPr>
                <w:b/>
                <w:bCs/>
                <w:sz w:val="20"/>
              </w:rPr>
            </w:pPr>
            <w:r w:rsidRPr="00C45F98">
              <w:rPr>
                <w:sz w:val="20"/>
              </w:rPr>
              <w:t>A</w:t>
            </w:r>
            <w:r w:rsidRPr="00C45F98">
              <w:rPr>
                <w:bCs/>
                <w:sz w:val="20"/>
              </w:rPr>
              <w:t xml:space="preserve"> special levy calculated by reference to its</w:t>
            </w:r>
          </w:p>
          <w:p w:rsidR="00EE4004" w:rsidRPr="00C45F98" w:rsidRDefault="00EE4004" w:rsidP="00C45F98">
            <w:pPr>
              <w:autoSpaceDE w:val="0"/>
              <w:autoSpaceDN w:val="0"/>
              <w:adjustRightInd w:val="0"/>
              <w:spacing w:after="0" w:line="240" w:lineRule="auto"/>
              <w:rPr>
                <w:b/>
                <w:bCs/>
                <w:sz w:val="20"/>
              </w:rPr>
            </w:pPr>
            <w:r w:rsidRPr="00C45F98">
              <w:rPr>
                <w:bCs/>
                <w:sz w:val="20"/>
              </w:rPr>
              <w:t>book profit and its operating income derived during, or its chargeable</w:t>
            </w:r>
          </w:p>
          <w:p w:rsidR="00EE4004" w:rsidRPr="00C45F98" w:rsidRDefault="00EE4004" w:rsidP="00C45F98">
            <w:pPr>
              <w:autoSpaceDE w:val="0"/>
              <w:autoSpaceDN w:val="0"/>
              <w:adjustRightInd w:val="0"/>
              <w:spacing w:after="0" w:line="240" w:lineRule="auto"/>
              <w:rPr>
                <w:b/>
                <w:bCs/>
                <w:sz w:val="20"/>
              </w:rPr>
            </w:pPr>
            <w:r w:rsidRPr="00C45F98">
              <w:rPr>
                <w:bCs/>
                <w:sz w:val="20"/>
              </w:rPr>
              <w:t>income in respect of, the preceding year at the appropriate rates</w:t>
            </w:r>
          </w:p>
          <w:p w:rsidR="00EE4004" w:rsidRPr="00C45F98" w:rsidRDefault="00EE4004" w:rsidP="00C45F98">
            <w:pPr>
              <w:autoSpaceDE w:val="0"/>
              <w:autoSpaceDN w:val="0"/>
              <w:adjustRightInd w:val="0"/>
              <w:spacing w:after="0" w:line="240" w:lineRule="auto"/>
              <w:rPr>
                <w:b/>
                <w:bCs/>
                <w:sz w:val="20"/>
              </w:rPr>
            </w:pPr>
            <w:r w:rsidRPr="00C45F98">
              <w:rPr>
                <w:bCs/>
                <w:sz w:val="20"/>
              </w:rPr>
              <w:t xml:space="preserve">specified in subsection </w:t>
            </w:r>
          </w:p>
          <w:p w:rsidR="00EE4004" w:rsidRPr="00C45F98" w:rsidRDefault="00EE4004" w:rsidP="00C45F98">
            <w:pPr>
              <w:autoSpaceDE w:val="0"/>
              <w:autoSpaceDN w:val="0"/>
              <w:adjustRightInd w:val="0"/>
              <w:spacing w:after="0" w:line="240" w:lineRule="auto"/>
              <w:rPr>
                <w:b/>
                <w:bCs/>
                <w:sz w:val="20"/>
              </w:rPr>
            </w:pPr>
          </w:p>
        </w:tc>
        <w:tc>
          <w:tcPr>
            <w:tcW w:w="982" w:type="pct"/>
            <w:tcBorders>
              <w:top w:val="single" w:sz="8" w:space="0" w:color="000000"/>
              <w:bottom w:val="single" w:sz="8" w:space="0" w:color="000000"/>
            </w:tcBorders>
          </w:tcPr>
          <w:p w:rsidR="00EE4004" w:rsidRPr="00C45F98" w:rsidRDefault="00EE4004" w:rsidP="00C45F98">
            <w:pPr>
              <w:spacing w:after="0" w:line="240" w:lineRule="auto"/>
              <w:rPr>
                <w:bCs/>
                <w:sz w:val="20"/>
                <w:lang w:eastAsia="en-GB"/>
              </w:rPr>
            </w:pPr>
          </w:p>
          <w:p w:rsidR="00EE4004" w:rsidRPr="00C45F98" w:rsidRDefault="00EE4004" w:rsidP="00C45F98">
            <w:pPr>
              <w:spacing w:after="0" w:line="240" w:lineRule="auto"/>
              <w:rPr>
                <w:bCs/>
                <w:sz w:val="20"/>
                <w:lang w:eastAsia="en-GB"/>
              </w:rPr>
            </w:pPr>
          </w:p>
          <w:p w:rsidR="00EE4004" w:rsidRPr="00C45F98" w:rsidRDefault="00EE4004" w:rsidP="00C45F98">
            <w:pPr>
              <w:spacing w:after="0" w:line="240" w:lineRule="auto"/>
              <w:rPr>
                <w:bCs/>
                <w:sz w:val="20"/>
                <w:lang w:eastAsia="en-GB"/>
              </w:rPr>
            </w:pPr>
            <w:r w:rsidRPr="00C45F98">
              <w:rPr>
                <w:bCs/>
                <w:sz w:val="20"/>
                <w:lang w:eastAsia="en-GB"/>
              </w:rPr>
              <w:t xml:space="preserve">Banking </w:t>
            </w:r>
          </w:p>
          <w:p w:rsidR="00EE4004" w:rsidRPr="00C45F98" w:rsidRDefault="00EE4004" w:rsidP="00C45F98">
            <w:pPr>
              <w:spacing w:after="0" w:line="240" w:lineRule="auto"/>
              <w:rPr>
                <w:bCs/>
                <w:sz w:val="20"/>
                <w:lang w:eastAsia="en-GB"/>
              </w:rPr>
            </w:pPr>
            <w:r w:rsidRPr="00C45F98">
              <w:rPr>
                <w:bCs/>
                <w:sz w:val="20"/>
                <w:lang w:eastAsia="en-GB"/>
              </w:rPr>
              <w:t>(as defined under Banking Act) excluding DBM</w:t>
            </w:r>
          </w:p>
        </w:tc>
        <w:tc>
          <w:tcPr>
            <w:tcW w:w="735" w:type="pct"/>
            <w:tcBorders>
              <w:top w:val="single" w:sz="8" w:space="0" w:color="000000"/>
              <w:bottom w:val="single" w:sz="8" w:space="0" w:color="000000"/>
            </w:tcBorders>
          </w:tcPr>
          <w:p w:rsidR="00EE4004" w:rsidRPr="00C45F98" w:rsidRDefault="00EE4004" w:rsidP="00C45F98">
            <w:pPr>
              <w:spacing w:after="0" w:line="240" w:lineRule="auto"/>
              <w:rPr>
                <w:color w:val="000000"/>
                <w:sz w:val="20"/>
              </w:rPr>
            </w:pPr>
          </w:p>
          <w:p w:rsidR="00EE4004" w:rsidRPr="00C45F98" w:rsidRDefault="00EE4004" w:rsidP="00C45F98">
            <w:pPr>
              <w:spacing w:after="0" w:line="240" w:lineRule="auto"/>
              <w:rPr>
                <w:color w:val="000000"/>
                <w:sz w:val="20"/>
              </w:rPr>
            </w:pPr>
          </w:p>
          <w:p w:rsidR="00EE4004" w:rsidRPr="00C45F98" w:rsidRDefault="00EE4004" w:rsidP="00C45F98">
            <w:pPr>
              <w:spacing w:after="0" w:line="240" w:lineRule="auto"/>
              <w:rPr>
                <w:b/>
                <w:bCs/>
                <w:sz w:val="20"/>
                <w:lang w:eastAsia="en-GB"/>
              </w:rPr>
            </w:pPr>
            <w:r w:rsidRPr="00C45F98">
              <w:rPr>
                <w:color w:val="000000"/>
                <w:sz w:val="20"/>
              </w:rPr>
              <w:t>Income Tax Act (section 50G &amp; 50H)</w:t>
            </w:r>
          </w:p>
        </w:tc>
        <w:tc>
          <w:tcPr>
            <w:tcW w:w="484" w:type="pct"/>
            <w:tcBorders>
              <w:top w:val="single" w:sz="8" w:space="0" w:color="000000"/>
              <w:bottom w:val="single" w:sz="8" w:space="0" w:color="000000"/>
            </w:tcBorders>
          </w:tcPr>
          <w:p w:rsidR="00EE4004" w:rsidRPr="00C45F98" w:rsidRDefault="00EE4004" w:rsidP="00C45F98">
            <w:pPr>
              <w:spacing w:after="0" w:line="240" w:lineRule="auto"/>
              <w:jc w:val="center"/>
              <w:rPr>
                <w:bCs/>
                <w:sz w:val="20"/>
                <w:lang w:eastAsia="en-GB"/>
              </w:rPr>
            </w:pPr>
          </w:p>
          <w:p w:rsidR="00EE4004" w:rsidRPr="00C45F98" w:rsidRDefault="00EE4004" w:rsidP="00C45F98">
            <w:pPr>
              <w:spacing w:after="0" w:line="240" w:lineRule="auto"/>
              <w:jc w:val="center"/>
              <w:rPr>
                <w:bCs/>
                <w:sz w:val="20"/>
                <w:lang w:eastAsia="en-GB"/>
              </w:rPr>
            </w:pPr>
          </w:p>
          <w:p w:rsidR="00EE4004" w:rsidRPr="00C45F98" w:rsidRDefault="00EE4004" w:rsidP="00C45F98">
            <w:pPr>
              <w:spacing w:after="0" w:line="240" w:lineRule="auto"/>
              <w:jc w:val="center"/>
              <w:rPr>
                <w:bCs/>
                <w:sz w:val="20"/>
                <w:lang w:eastAsia="en-GB"/>
              </w:rPr>
            </w:pPr>
            <w:r w:rsidRPr="00C45F98">
              <w:rPr>
                <w:bCs/>
                <w:sz w:val="20"/>
                <w:lang w:eastAsia="en-GB"/>
              </w:rPr>
              <w:t>A range</w:t>
            </w:r>
          </w:p>
        </w:tc>
        <w:tc>
          <w:tcPr>
            <w:tcW w:w="1434" w:type="pct"/>
            <w:tcBorders>
              <w:top w:val="single" w:sz="8" w:space="0" w:color="000000"/>
              <w:bottom w:val="single" w:sz="8" w:space="0" w:color="000000"/>
            </w:tcBorders>
          </w:tcPr>
          <w:p w:rsidR="00EE4004" w:rsidRPr="00C45F98" w:rsidRDefault="00EE4004" w:rsidP="00C45F98">
            <w:pPr>
              <w:autoSpaceDE w:val="0"/>
              <w:autoSpaceDN w:val="0"/>
              <w:adjustRightInd w:val="0"/>
              <w:spacing w:after="0" w:line="240" w:lineRule="auto"/>
              <w:ind w:left="360"/>
              <w:contextualSpacing/>
              <w:rPr>
                <w:sz w:val="20"/>
              </w:rPr>
            </w:pPr>
          </w:p>
          <w:p w:rsidR="00EE4004" w:rsidRPr="00C45F98" w:rsidRDefault="00EE4004" w:rsidP="00C45F98">
            <w:pPr>
              <w:autoSpaceDE w:val="0"/>
              <w:autoSpaceDN w:val="0"/>
              <w:adjustRightInd w:val="0"/>
              <w:spacing w:after="0" w:line="240" w:lineRule="auto"/>
              <w:ind w:left="360"/>
              <w:contextualSpacing/>
              <w:rPr>
                <w:sz w:val="20"/>
              </w:rPr>
            </w:pPr>
          </w:p>
          <w:p w:rsidR="00EE4004" w:rsidRPr="00C45F98" w:rsidRDefault="00EE4004" w:rsidP="00C45F98">
            <w:pPr>
              <w:numPr>
                <w:ilvl w:val="0"/>
                <w:numId w:val="8"/>
              </w:numPr>
              <w:autoSpaceDE w:val="0"/>
              <w:autoSpaceDN w:val="0"/>
              <w:adjustRightInd w:val="0"/>
              <w:spacing w:after="0" w:line="240" w:lineRule="auto"/>
              <w:contextualSpacing/>
              <w:rPr>
                <w:sz w:val="20"/>
              </w:rPr>
            </w:pPr>
            <w:r w:rsidRPr="00C45F98">
              <w:rPr>
                <w:sz w:val="20"/>
              </w:rPr>
              <w:t xml:space="preserve">01.01.2013: 3.4% on book profit and 1% on operating income </w:t>
            </w:r>
          </w:p>
          <w:p w:rsidR="00EE4004" w:rsidRPr="00C45F98" w:rsidRDefault="00EE4004" w:rsidP="00C45F98">
            <w:pPr>
              <w:numPr>
                <w:ilvl w:val="0"/>
                <w:numId w:val="8"/>
              </w:numPr>
              <w:autoSpaceDE w:val="0"/>
              <w:autoSpaceDN w:val="0"/>
              <w:adjustRightInd w:val="0"/>
              <w:spacing w:after="0" w:line="240" w:lineRule="auto"/>
              <w:contextualSpacing/>
              <w:rPr>
                <w:sz w:val="20"/>
              </w:rPr>
            </w:pPr>
            <w:r w:rsidRPr="00C45F98">
              <w:rPr>
                <w:sz w:val="20"/>
              </w:rPr>
              <w:t xml:space="preserve">01.01.2014 </w:t>
            </w:r>
          </w:p>
          <w:p w:rsidR="00EE4004" w:rsidRPr="00C45F98" w:rsidRDefault="00EE4004" w:rsidP="00C45F98">
            <w:pPr>
              <w:numPr>
                <w:ilvl w:val="1"/>
                <w:numId w:val="8"/>
              </w:numPr>
              <w:autoSpaceDE w:val="0"/>
              <w:autoSpaceDN w:val="0"/>
              <w:adjustRightInd w:val="0"/>
              <w:spacing w:after="0" w:line="240" w:lineRule="auto"/>
              <w:contextualSpacing/>
              <w:rPr>
                <w:sz w:val="20"/>
              </w:rPr>
            </w:pPr>
            <w:r w:rsidRPr="00C45F98">
              <w:rPr>
                <w:sz w:val="20"/>
              </w:rPr>
              <w:t>with regard to its income derived from banking transactions with non-residents and corporations holding a Global Business Licence under the Financial Services Act: 3.4% on book profit and 1.0% on operating income;</w:t>
            </w:r>
          </w:p>
          <w:p w:rsidR="00EE4004" w:rsidRPr="00C45F98" w:rsidRDefault="00EE4004" w:rsidP="00C45F98">
            <w:pPr>
              <w:numPr>
                <w:ilvl w:val="1"/>
                <w:numId w:val="8"/>
              </w:numPr>
              <w:autoSpaceDE w:val="0"/>
              <w:autoSpaceDN w:val="0"/>
              <w:adjustRightInd w:val="0"/>
              <w:spacing w:after="0" w:line="240" w:lineRule="auto"/>
              <w:contextualSpacing/>
              <w:rPr>
                <w:sz w:val="20"/>
              </w:rPr>
            </w:pPr>
            <w:r w:rsidRPr="00C45F98">
              <w:rPr>
                <w:sz w:val="20"/>
              </w:rPr>
              <w:t>with regard to its income derived from sources other than from transactions thereof: 10% on the chargeable income</w:t>
            </w:r>
          </w:p>
          <w:p w:rsidR="00EE4004" w:rsidRPr="00C45F98" w:rsidRDefault="00EE4004" w:rsidP="00C45F98">
            <w:pPr>
              <w:autoSpaceDE w:val="0"/>
              <w:autoSpaceDN w:val="0"/>
              <w:adjustRightInd w:val="0"/>
              <w:spacing w:after="0" w:line="240" w:lineRule="auto"/>
              <w:contextualSpacing/>
              <w:rPr>
                <w:b/>
                <w:bCs/>
                <w:sz w:val="20"/>
                <w:lang w:eastAsia="en-GB"/>
              </w:rPr>
            </w:pPr>
          </w:p>
          <w:p w:rsidR="00EE4004" w:rsidRPr="00C45F98" w:rsidRDefault="00EE4004" w:rsidP="00C45F98">
            <w:pPr>
              <w:autoSpaceDE w:val="0"/>
              <w:autoSpaceDN w:val="0"/>
              <w:adjustRightInd w:val="0"/>
              <w:spacing w:after="0" w:line="240" w:lineRule="auto"/>
              <w:contextualSpacing/>
              <w:rPr>
                <w:b/>
                <w:bCs/>
                <w:sz w:val="20"/>
                <w:lang w:eastAsia="en-GB"/>
              </w:rPr>
            </w:pPr>
          </w:p>
          <w:p w:rsidR="00EE4004" w:rsidRPr="00C45F98" w:rsidRDefault="00EE4004" w:rsidP="00C45F98">
            <w:pPr>
              <w:autoSpaceDE w:val="0"/>
              <w:autoSpaceDN w:val="0"/>
              <w:adjustRightInd w:val="0"/>
              <w:spacing w:after="0" w:line="240" w:lineRule="auto"/>
              <w:contextualSpacing/>
              <w:rPr>
                <w:b/>
                <w:bCs/>
                <w:sz w:val="20"/>
                <w:lang w:eastAsia="en-GB"/>
              </w:rPr>
            </w:pPr>
          </w:p>
        </w:tc>
        <w:tc>
          <w:tcPr>
            <w:tcW w:w="610" w:type="pct"/>
            <w:tcBorders>
              <w:top w:val="single" w:sz="8" w:space="0" w:color="000000"/>
              <w:bottom w:val="single" w:sz="8" w:space="0" w:color="000000"/>
            </w:tcBorders>
          </w:tcPr>
          <w:p w:rsidR="00EE4004" w:rsidRPr="00C45F98" w:rsidRDefault="00EE4004" w:rsidP="00C45F98">
            <w:pPr>
              <w:spacing w:after="0" w:line="240" w:lineRule="auto"/>
              <w:jc w:val="center"/>
              <w:rPr>
                <w:bCs/>
                <w:sz w:val="20"/>
                <w:lang w:eastAsia="en-GB"/>
              </w:rPr>
            </w:pPr>
          </w:p>
          <w:p w:rsidR="00EE4004" w:rsidRPr="00C45F98" w:rsidRDefault="00EE4004" w:rsidP="00C45F98">
            <w:pPr>
              <w:spacing w:after="0" w:line="240" w:lineRule="auto"/>
              <w:jc w:val="center"/>
              <w:rPr>
                <w:bCs/>
                <w:sz w:val="20"/>
                <w:lang w:eastAsia="en-GB"/>
              </w:rPr>
            </w:pPr>
          </w:p>
          <w:p w:rsidR="00EE4004" w:rsidRPr="00C45F98" w:rsidRDefault="00EE4004" w:rsidP="00C45F98">
            <w:pPr>
              <w:spacing w:after="0" w:line="240" w:lineRule="auto"/>
              <w:jc w:val="center"/>
              <w:rPr>
                <w:bCs/>
                <w:sz w:val="20"/>
                <w:lang w:eastAsia="en-GB"/>
              </w:rPr>
            </w:pPr>
            <w:r w:rsidRPr="00C45F98">
              <w:rPr>
                <w:bCs/>
                <w:sz w:val="20"/>
                <w:lang w:eastAsia="en-GB"/>
              </w:rPr>
              <w:t>When profit is derived</w:t>
            </w:r>
          </w:p>
          <w:p w:rsidR="00EE4004" w:rsidRPr="00C45F98" w:rsidRDefault="00EE4004" w:rsidP="00C45F98">
            <w:pPr>
              <w:spacing w:after="0" w:line="240" w:lineRule="auto"/>
              <w:jc w:val="center"/>
              <w:rPr>
                <w:bCs/>
                <w:sz w:val="20"/>
                <w:lang w:eastAsia="en-GB"/>
              </w:rPr>
            </w:pPr>
          </w:p>
          <w:p w:rsidR="00EE4004" w:rsidRPr="00C45F98" w:rsidRDefault="00EE4004" w:rsidP="00C45F98">
            <w:pPr>
              <w:autoSpaceDE w:val="0"/>
              <w:autoSpaceDN w:val="0"/>
              <w:adjustRightInd w:val="0"/>
              <w:spacing w:after="0" w:line="240" w:lineRule="auto"/>
              <w:jc w:val="center"/>
              <w:rPr>
                <w:bCs/>
                <w:sz w:val="20"/>
                <w:lang w:eastAsia="en-GB"/>
              </w:rPr>
            </w:pPr>
            <w:r w:rsidRPr="00C45F98">
              <w:rPr>
                <w:bCs/>
                <w:sz w:val="20"/>
                <w:lang w:eastAsia="en-GB"/>
              </w:rPr>
              <w:t>Note: The levy is paid at the time the Bank</w:t>
            </w:r>
          </w:p>
          <w:p w:rsidR="00EE4004" w:rsidRPr="00C45F98" w:rsidRDefault="00EE4004" w:rsidP="00C45F98">
            <w:pPr>
              <w:spacing w:after="0" w:line="240" w:lineRule="auto"/>
              <w:jc w:val="center"/>
              <w:rPr>
                <w:bCs/>
                <w:sz w:val="20"/>
                <w:lang w:eastAsia="en-GB"/>
              </w:rPr>
            </w:pPr>
            <w:r w:rsidRPr="00C45F98">
              <w:rPr>
                <w:bCs/>
                <w:sz w:val="20"/>
                <w:lang w:eastAsia="en-GB"/>
              </w:rPr>
              <w:t>submits its return of income to MRA but a liability shall be recognised when the obligating event arises</w:t>
            </w:r>
          </w:p>
        </w:tc>
      </w:tr>
      <w:tr w:rsidR="00EE4004" w:rsidRPr="00C45F98" w:rsidTr="00C45F98">
        <w:tc>
          <w:tcPr>
            <w:tcW w:w="754" w:type="pct"/>
          </w:tcPr>
          <w:p w:rsidR="00EE4004" w:rsidRPr="00C45F98" w:rsidRDefault="00EE4004" w:rsidP="00C45F98">
            <w:pPr>
              <w:autoSpaceDE w:val="0"/>
              <w:autoSpaceDN w:val="0"/>
              <w:adjustRightInd w:val="0"/>
              <w:spacing w:after="0" w:line="240" w:lineRule="auto"/>
              <w:rPr>
                <w:b/>
                <w:bCs/>
                <w:i/>
                <w:sz w:val="20"/>
              </w:rPr>
            </w:pPr>
            <w:r w:rsidRPr="00C45F98">
              <w:rPr>
                <w:b/>
                <w:bCs/>
                <w:i/>
                <w:sz w:val="20"/>
              </w:rPr>
              <w:t>Solidarity levy</w:t>
            </w:r>
          </w:p>
        </w:tc>
        <w:tc>
          <w:tcPr>
            <w:tcW w:w="982" w:type="pct"/>
          </w:tcPr>
          <w:p w:rsidR="00EE4004" w:rsidRPr="00C45F98" w:rsidRDefault="00EE4004" w:rsidP="00C45F98">
            <w:pPr>
              <w:autoSpaceDE w:val="0"/>
              <w:autoSpaceDN w:val="0"/>
              <w:adjustRightInd w:val="0"/>
              <w:spacing w:after="0" w:line="240" w:lineRule="auto"/>
              <w:rPr>
                <w:sz w:val="20"/>
              </w:rPr>
            </w:pPr>
            <w:r w:rsidRPr="00C45F98">
              <w:rPr>
                <w:bCs/>
                <w:sz w:val="20"/>
              </w:rPr>
              <w:t>telephony service providers</w:t>
            </w:r>
          </w:p>
        </w:tc>
        <w:tc>
          <w:tcPr>
            <w:tcW w:w="735" w:type="pct"/>
          </w:tcPr>
          <w:p w:rsidR="00EE4004" w:rsidRPr="00C45F98" w:rsidRDefault="00EE4004" w:rsidP="00C45F98">
            <w:pPr>
              <w:autoSpaceDE w:val="0"/>
              <w:autoSpaceDN w:val="0"/>
              <w:adjustRightInd w:val="0"/>
              <w:spacing w:after="0" w:line="240" w:lineRule="auto"/>
              <w:rPr>
                <w:sz w:val="20"/>
              </w:rPr>
            </w:pPr>
            <w:r w:rsidRPr="00C45F98">
              <w:rPr>
                <w:sz w:val="20"/>
              </w:rPr>
              <w:t>Income Tax Act (section 50J)</w:t>
            </w:r>
          </w:p>
        </w:tc>
        <w:tc>
          <w:tcPr>
            <w:tcW w:w="484" w:type="pct"/>
          </w:tcPr>
          <w:p w:rsidR="00EE4004" w:rsidRPr="00C45F98" w:rsidRDefault="00EE4004" w:rsidP="00C45F98">
            <w:pPr>
              <w:autoSpaceDE w:val="0"/>
              <w:autoSpaceDN w:val="0"/>
              <w:adjustRightInd w:val="0"/>
              <w:spacing w:after="0" w:line="240" w:lineRule="auto"/>
              <w:rPr>
                <w:sz w:val="20"/>
              </w:rPr>
            </w:pPr>
            <w:r w:rsidRPr="00C45F98">
              <w:rPr>
                <w:sz w:val="20"/>
              </w:rPr>
              <w:t>A range</w:t>
            </w:r>
          </w:p>
        </w:tc>
        <w:tc>
          <w:tcPr>
            <w:tcW w:w="1434" w:type="pct"/>
          </w:tcPr>
          <w:p w:rsidR="00EE4004" w:rsidRPr="00C45F98" w:rsidRDefault="00EE4004" w:rsidP="00C45F98">
            <w:pPr>
              <w:autoSpaceDE w:val="0"/>
              <w:autoSpaceDN w:val="0"/>
              <w:adjustRightInd w:val="0"/>
              <w:spacing w:after="0" w:line="240" w:lineRule="auto"/>
              <w:rPr>
                <w:sz w:val="20"/>
              </w:rPr>
            </w:pPr>
            <w:r w:rsidRPr="00C45F98">
              <w:rPr>
                <w:sz w:val="20"/>
              </w:rPr>
              <w:t>5% of the book profit and 1.5% of the turnover in respect of the preceding year</w:t>
            </w:r>
          </w:p>
        </w:tc>
        <w:tc>
          <w:tcPr>
            <w:tcW w:w="610" w:type="pct"/>
          </w:tcPr>
          <w:p w:rsidR="00EE4004" w:rsidRPr="00C45F98" w:rsidRDefault="00EE4004" w:rsidP="00C45F98">
            <w:pPr>
              <w:autoSpaceDE w:val="0"/>
              <w:autoSpaceDN w:val="0"/>
              <w:adjustRightInd w:val="0"/>
              <w:spacing w:after="0" w:line="240" w:lineRule="auto"/>
              <w:jc w:val="center"/>
              <w:rPr>
                <w:sz w:val="20"/>
              </w:rPr>
            </w:pPr>
            <w:r w:rsidRPr="00C45F98">
              <w:rPr>
                <w:sz w:val="20"/>
              </w:rPr>
              <w:t>When turnover &amp; profit is derived</w:t>
            </w:r>
          </w:p>
          <w:p w:rsidR="00EE4004" w:rsidRPr="00C45F98" w:rsidRDefault="00EE4004" w:rsidP="00C45F98">
            <w:pPr>
              <w:autoSpaceDE w:val="0"/>
              <w:autoSpaceDN w:val="0"/>
              <w:adjustRightInd w:val="0"/>
              <w:spacing w:after="0" w:line="240" w:lineRule="auto"/>
              <w:jc w:val="center"/>
              <w:rPr>
                <w:sz w:val="20"/>
              </w:rPr>
            </w:pPr>
            <w:r w:rsidRPr="00C45F98">
              <w:rPr>
                <w:sz w:val="20"/>
              </w:rPr>
              <w:t>Note: same as above</w:t>
            </w:r>
          </w:p>
          <w:p w:rsidR="00EE4004" w:rsidRPr="00C45F98" w:rsidRDefault="00EE4004" w:rsidP="00C45F98">
            <w:pPr>
              <w:autoSpaceDE w:val="0"/>
              <w:autoSpaceDN w:val="0"/>
              <w:adjustRightInd w:val="0"/>
              <w:spacing w:after="0" w:line="240" w:lineRule="auto"/>
              <w:jc w:val="center"/>
              <w:rPr>
                <w:sz w:val="20"/>
              </w:rPr>
            </w:pPr>
          </w:p>
        </w:tc>
      </w:tr>
      <w:tr w:rsidR="00EE4004" w:rsidRPr="00C45F98" w:rsidTr="00C45F98">
        <w:tc>
          <w:tcPr>
            <w:tcW w:w="754" w:type="pct"/>
            <w:tcBorders>
              <w:top w:val="single" w:sz="8" w:space="0" w:color="000000"/>
              <w:bottom w:val="single" w:sz="8" w:space="0" w:color="000000"/>
            </w:tcBorders>
          </w:tcPr>
          <w:p w:rsidR="00EE4004" w:rsidRPr="00C45F98" w:rsidRDefault="00EE4004" w:rsidP="00C45F98">
            <w:pPr>
              <w:autoSpaceDE w:val="0"/>
              <w:autoSpaceDN w:val="0"/>
              <w:adjustRightInd w:val="0"/>
              <w:spacing w:after="0" w:line="240" w:lineRule="auto"/>
              <w:rPr>
                <w:b/>
                <w:bCs/>
                <w:i/>
                <w:sz w:val="20"/>
              </w:rPr>
            </w:pPr>
            <w:r w:rsidRPr="00C45F98">
              <w:rPr>
                <w:b/>
                <w:bCs/>
                <w:i/>
                <w:sz w:val="20"/>
              </w:rPr>
              <w:t>Corporate Social Responsibility</w:t>
            </w:r>
          </w:p>
          <w:p w:rsidR="00EE4004" w:rsidRPr="00C45F98" w:rsidRDefault="00EE4004" w:rsidP="00C45F98">
            <w:pPr>
              <w:autoSpaceDE w:val="0"/>
              <w:autoSpaceDN w:val="0"/>
              <w:adjustRightInd w:val="0"/>
              <w:spacing w:after="0" w:line="240" w:lineRule="auto"/>
              <w:rPr>
                <w:b/>
                <w:bCs/>
                <w:sz w:val="20"/>
              </w:rPr>
            </w:pPr>
          </w:p>
        </w:tc>
        <w:tc>
          <w:tcPr>
            <w:tcW w:w="982" w:type="pct"/>
            <w:tcBorders>
              <w:top w:val="single" w:sz="8" w:space="0" w:color="000000"/>
              <w:bottom w:val="single" w:sz="8" w:space="0" w:color="000000"/>
            </w:tcBorders>
          </w:tcPr>
          <w:p w:rsidR="00EE4004" w:rsidRPr="00C45F98" w:rsidRDefault="00EE4004" w:rsidP="00C45F98">
            <w:pPr>
              <w:autoSpaceDE w:val="0"/>
              <w:autoSpaceDN w:val="0"/>
              <w:adjustRightInd w:val="0"/>
              <w:spacing w:after="0" w:line="240" w:lineRule="auto"/>
              <w:rPr>
                <w:sz w:val="20"/>
              </w:rPr>
            </w:pPr>
            <w:r w:rsidRPr="00C45F98">
              <w:rPr>
                <w:sz w:val="20"/>
              </w:rPr>
              <w:t xml:space="preserve">All </w:t>
            </w:r>
          </w:p>
        </w:tc>
        <w:tc>
          <w:tcPr>
            <w:tcW w:w="735" w:type="pct"/>
            <w:tcBorders>
              <w:top w:val="single" w:sz="8" w:space="0" w:color="000000"/>
              <w:bottom w:val="single" w:sz="8" w:space="0" w:color="000000"/>
            </w:tcBorders>
          </w:tcPr>
          <w:p w:rsidR="00EE4004" w:rsidRPr="00C45F98" w:rsidRDefault="00EE4004" w:rsidP="00C45F98">
            <w:pPr>
              <w:autoSpaceDE w:val="0"/>
              <w:autoSpaceDN w:val="0"/>
              <w:adjustRightInd w:val="0"/>
              <w:spacing w:after="0" w:line="240" w:lineRule="auto"/>
              <w:rPr>
                <w:sz w:val="20"/>
              </w:rPr>
            </w:pPr>
            <w:r w:rsidRPr="00C45F98">
              <w:rPr>
                <w:sz w:val="20"/>
              </w:rPr>
              <w:t>Income Tax Act (section 50K - 50M)</w:t>
            </w:r>
          </w:p>
          <w:p w:rsidR="00EE4004" w:rsidRPr="00C45F98" w:rsidRDefault="00EE4004" w:rsidP="00C45F98">
            <w:pPr>
              <w:autoSpaceDE w:val="0"/>
              <w:autoSpaceDN w:val="0"/>
              <w:adjustRightInd w:val="0"/>
              <w:spacing w:after="0" w:line="240" w:lineRule="auto"/>
              <w:rPr>
                <w:sz w:val="20"/>
              </w:rPr>
            </w:pPr>
          </w:p>
        </w:tc>
        <w:tc>
          <w:tcPr>
            <w:tcW w:w="484" w:type="pct"/>
            <w:tcBorders>
              <w:top w:val="single" w:sz="8" w:space="0" w:color="000000"/>
              <w:bottom w:val="single" w:sz="8" w:space="0" w:color="000000"/>
            </w:tcBorders>
          </w:tcPr>
          <w:p w:rsidR="00EE4004" w:rsidRPr="00C45F98" w:rsidRDefault="00EE4004" w:rsidP="00C45F98">
            <w:pPr>
              <w:autoSpaceDE w:val="0"/>
              <w:autoSpaceDN w:val="0"/>
              <w:adjustRightInd w:val="0"/>
              <w:spacing w:after="0" w:line="240" w:lineRule="auto"/>
              <w:rPr>
                <w:sz w:val="20"/>
              </w:rPr>
            </w:pPr>
            <w:r w:rsidRPr="00C45F98">
              <w:rPr>
                <w:sz w:val="20"/>
              </w:rPr>
              <w:t>2%</w:t>
            </w:r>
          </w:p>
        </w:tc>
        <w:tc>
          <w:tcPr>
            <w:tcW w:w="1434" w:type="pct"/>
            <w:tcBorders>
              <w:top w:val="single" w:sz="8" w:space="0" w:color="000000"/>
              <w:bottom w:val="single" w:sz="8" w:space="0" w:color="000000"/>
            </w:tcBorders>
          </w:tcPr>
          <w:p w:rsidR="00EE4004" w:rsidRPr="00C45F98" w:rsidRDefault="00EE4004" w:rsidP="00C45F98">
            <w:pPr>
              <w:autoSpaceDE w:val="0"/>
              <w:autoSpaceDN w:val="0"/>
              <w:adjustRightInd w:val="0"/>
              <w:spacing w:after="0" w:line="240" w:lineRule="auto"/>
              <w:rPr>
                <w:sz w:val="20"/>
              </w:rPr>
            </w:pPr>
            <w:r w:rsidRPr="00C45F98">
              <w:rPr>
                <w:sz w:val="20"/>
              </w:rPr>
              <w:t>2% of chargeable income of the preceding year</w:t>
            </w:r>
          </w:p>
        </w:tc>
        <w:tc>
          <w:tcPr>
            <w:tcW w:w="610" w:type="pct"/>
            <w:tcBorders>
              <w:top w:val="single" w:sz="8" w:space="0" w:color="000000"/>
              <w:bottom w:val="single" w:sz="8" w:space="0" w:color="000000"/>
            </w:tcBorders>
          </w:tcPr>
          <w:p w:rsidR="00EE4004" w:rsidRPr="00C45F98" w:rsidRDefault="00EE4004" w:rsidP="00C45F98">
            <w:pPr>
              <w:autoSpaceDE w:val="0"/>
              <w:autoSpaceDN w:val="0"/>
              <w:adjustRightInd w:val="0"/>
              <w:spacing w:after="0" w:line="240" w:lineRule="auto"/>
              <w:jc w:val="center"/>
              <w:rPr>
                <w:sz w:val="20"/>
              </w:rPr>
            </w:pPr>
            <w:r w:rsidRPr="00C45F98">
              <w:rPr>
                <w:sz w:val="20"/>
              </w:rPr>
              <w:t>When income is generated</w:t>
            </w:r>
          </w:p>
        </w:tc>
      </w:tr>
    </w:tbl>
    <w:p w:rsidR="00EE4004" w:rsidRPr="00C366DF" w:rsidRDefault="00EE4004" w:rsidP="00C366DF">
      <w:pPr>
        <w:rPr>
          <w:lang w:eastAsia="en-GB"/>
        </w:rPr>
      </w:pPr>
    </w:p>
    <w:p w:rsidR="00EE4004" w:rsidRDefault="00EE4004" w:rsidP="002F744F">
      <w:pPr>
        <w:pStyle w:val="Heading1"/>
        <w:jc w:val="center"/>
        <w:rPr>
          <w:rFonts w:ascii="Times New Roman" w:hAnsi="Times New Roman"/>
          <w:color w:val="auto"/>
          <w:sz w:val="32"/>
          <w:szCs w:val="24"/>
        </w:rPr>
      </w:pPr>
      <w:bookmarkStart w:id="7" w:name="_Toc388018662"/>
      <w:r w:rsidRPr="002F744F">
        <w:rPr>
          <w:rFonts w:ascii="Times New Roman" w:hAnsi="Times New Roman"/>
          <w:color w:val="auto"/>
          <w:sz w:val="32"/>
          <w:szCs w:val="24"/>
        </w:rPr>
        <w:t>Offsetting Financial Assets and Financial Liabilities                  (Amendments to IAS 32)</w:t>
      </w:r>
      <w:bookmarkEnd w:id="7"/>
    </w:p>
    <w:p w:rsidR="00EE4004" w:rsidRPr="00D00904" w:rsidRDefault="00EE4004" w:rsidP="0079447F">
      <w:pPr>
        <w:rPr>
          <w:sz w:val="16"/>
          <w:szCs w:val="16"/>
          <w:lang w:val="en-US"/>
        </w:rPr>
      </w:pPr>
    </w:p>
    <w:p w:rsidR="00EE4004" w:rsidRPr="00DB7FCF" w:rsidRDefault="00EE4004" w:rsidP="0079447F">
      <w:pPr>
        <w:spacing w:after="0" w:line="240" w:lineRule="auto"/>
        <w:jc w:val="both"/>
        <w:rPr>
          <w:sz w:val="24"/>
          <w:szCs w:val="24"/>
        </w:rPr>
      </w:pPr>
      <w:r w:rsidRPr="00DB7FCF">
        <w:rPr>
          <w:sz w:val="24"/>
          <w:szCs w:val="24"/>
        </w:rPr>
        <w:t>The amendment</w:t>
      </w:r>
      <w:r>
        <w:rPr>
          <w:sz w:val="24"/>
          <w:szCs w:val="24"/>
        </w:rPr>
        <w:t xml:space="preserve"> is not expected to have a significant impact on the presentation of the financial statements</w:t>
      </w:r>
    </w:p>
    <w:p w:rsidR="00EE4004" w:rsidRPr="00D00904" w:rsidRDefault="00EE4004" w:rsidP="0079447F">
      <w:pPr>
        <w:rPr>
          <w:sz w:val="16"/>
          <w:szCs w:val="16"/>
          <w:lang w:val="en-US"/>
        </w:rPr>
      </w:pPr>
    </w:p>
    <w:p w:rsidR="00EE4004" w:rsidRDefault="00EE4004" w:rsidP="002F744F">
      <w:pPr>
        <w:pStyle w:val="Heading1"/>
        <w:jc w:val="center"/>
        <w:rPr>
          <w:rFonts w:ascii="Times New Roman" w:hAnsi="Times New Roman"/>
          <w:color w:val="auto"/>
          <w:sz w:val="32"/>
          <w:szCs w:val="24"/>
          <w:lang w:val="en-GB" w:eastAsia="en-GB"/>
        </w:rPr>
      </w:pPr>
      <w:bookmarkStart w:id="8" w:name="F23365099"/>
      <w:bookmarkStart w:id="9" w:name="_Toc388018663"/>
      <w:r w:rsidRPr="002F744F">
        <w:rPr>
          <w:rFonts w:ascii="Times New Roman" w:hAnsi="Times New Roman"/>
          <w:color w:val="auto"/>
          <w:sz w:val="32"/>
          <w:szCs w:val="24"/>
          <w:lang w:val="en-GB" w:eastAsia="en-GB"/>
        </w:rPr>
        <w:t>Recoverable Amount Disclosures for Non-Financial Assets       (Amendments to IAS 36)</w:t>
      </w:r>
      <w:bookmarkEnd w:id="8"/>
      <w:bookmarkEnd w:id="9"/>
    </w:p>
    <w:p w:rsidR="00EE4004" w:rsidRPr="00D00904" w:rsidRDefault="00EE4004" w:rsidP="00C366DF">
      <w:pPr>
        <w:rPr>
          <w:sz w:val="16"/>
          <w:szCs w:val="16"/>
          <w:lang w:eastAsia="en-GB"/>
        </w:rPr>
      </w:pPr>
    </w:p>
    <w:p w:rsidR="00EE4004" w:rsidRDefault="00EE4004" w:rsidP="00C366DF">
      <w:pPr>
        <w:pStyle w:val="Heading2"/>
        <w:rPr>
          <w:rFonts w:ascii="Times New Roman" w:hAnsi="Times New Roman"/>
          <w:color w:val="auto"/>
        </w:rPr>
      </w:pPr>
      <w:r w:rsidRPr="00C366DF">
        <w:rPr>
          <w:rFonts w:ascii="Times New Roman" w:hAnsi="Times New Roman"/>
          <w:color w:val="auto"/>
        </w:rPr>
        <w:t>Snapshots of amendments</w:t>
      </w:r>
    </w:p>
    <w:p w:rsidR="00EE4004" w:rsidRPr="00C366DF" w:rsidRDefault="00EE4004" w:rsidP="00C366DF">
      <w:pPr>
        <w:rPr>
          <w:lang w:val="en-US"/>
        </w:rPr>
      </w:pPr>
    </w:p>
    <w:p w:rsidR="00EE4004" w:rsidRPr="00C366DF" w:rsidRDefault="00EE4004" w:rsidP="00C366DF">
      <w:pPr>
        <w:autoSpaceDE w:val="0"/>
        <w:autoSpaceDN w:val="0"/>
        <w:adjustRightInd w:val="0"/>
        <w:spacing w:after="0" w:line="240" w:lineRule="auto"/>
        <w:jc w:val="both"/>
        <w:rPr>
          <w:b/>
          <w:sz w:val="24"/>
          <w:szCs w:val="24"/>
        </w:rPr>
      </w:pPr>
      <w:r w:rsidRPr="00C366DF">
        <w:rPr>
          <w:b/>
          <w:sz w:val="24"/>
          <w:szCs w:val="24"/>
        </w:rPr>
        <w:t>The major changes arising from this amendment are:</w:t>
      </w:r>
    </w:p>
    <w:p w:rsidR="00EE4004" w:rsidRPr="00C366DF" w:rsidRDefault="00EE4004" w:rsidP="00C366DF">
      <w:pPr>
        <w:autoSpaceDE w:val="0"/>
        <w:autoSpaceDN w:val="0"/>
        <w:adjustRightInd w:val="0"/>
        <w:spacing w:after="0" w:line="240" w:lineRule="auto"/>
        <w:jc w:val="both"/>
        <w:rPr>
          <w:sz w:val="24"/>
          <w:szCs w:val="24"/>
        </w:rPr>
      </w:pPr>
    </w:p>
    <w:p w:rsidR="00EE4004" w:rsidRPr="00C366DF" w:rsidRDefault="00EE4004" w:rsidP="00C366DF">
      <w:pPr>
        <w:pStyle w:val="ListParagraph"/>
        <w:numPr>
          <w:ilvl w:val="0"/>
          <w:numId w:val="4"/>
        </w:numPr>
        <w:autoSpaceDE w:val="0"/>
        <w:autoSpaceDN w:val="0"/>
        <w:adjustRightInd w:val="0"/>
        <w:spacing w:after="0" w:line="240" w:lineRule="auto"/>
        <w:rPr>
          <w:b w:val="0"/>
          <w:color w:val="000000"/>
          <w:sz w:val="24"/>
          <w:szCs w:val="24"/>
        </w:rPr>
      </w:pPr>
      <w:r w:rsidRPr="00C366DF">
        <w:rPr>
          <w:b w:val="0"/>
          <w:color w:val="000000"/>
          <w:sz w:val="24"/>
          <w:szCs w:val="24"/>
        </w:rPr>
        <w:t>Additional information about the fair value measurement of impaired assets when the recoverable amount is based on fair value less costs of disposal.</w:t>
      </w:r>
    </w:p>
    <w:p w:rsidR="00EE4004" w:rsidRPr="00C366DF" w:rsidRDefault="00EE4004" w:rsidP="00C366DF">
      <w:pPr>
        <w:pStyle w:val="ListParagraph"/>
        <w:autoSpaceDE w:val="0"/>
        <w:autoSpaceDN w:val="0"/>
        <w:adjustRightInd w:val="0"/>
        <w:spacing w:after="0" w:line="240" w:lineRule="auto"/>
        <w:ind w:left="360"/>
        <w:rPr>
          <w:b w:val="0"/>
          <w:color w:val="000000"/>
          <w:sz w:val="24"/>
          <w:szCs w:val="24"/>
        </w:rPr>
      </w:pPr>
    </w:p>
    <w:p w:rsidR="00EE4004" w:rsidRPr="00C366DF" w:rsidRDefault="00EE4004" w:rsidP="00C366DF">
      <w:pPr>
        <w:pStyle w:val="ListParagraph"/>
        <w:numPr>
          <w:ilvl w:val="0"/>
          <w:numId w:val="4"/>
        </w:numPr>
        <w:autoSpaceDE w:val="0"/>
        <w:autoSpaceDN w:val="0"/>
        <w:adjustRightInd w:val="0"/>
        <w:spacing w:after="0" w:line="240" w:lineRule="auto"/>
        <w:rPr>
          <w:b w:val="0"/>
          <w:color w:val="000000"/>
          <w:sz w:val="24"/>
          <w:szCs w:val="24"/>
        </w:rPr>
      </w:pPr>
      <w:r w:rsidRPr="00C366DF">
        <w:rPr>
          <w:b w:val="0"/>
          <w:color w:val="000000"/>
          <w:sz w:val="24"/>
          <w:szCs w:val="24"/>
        </w:rPr>
        <w:t>Information about the discount rates that have been used when the recoverable amount is based on fair value less costs of disposal using a present value technique. The amendment harmonises disclosure requirements between value in use and fair value less costs of disposal.</w:t>
      </w:r>
    </w:p>
    <w:p w:rsidR="00EE4004" w:rsidRPr="00D468EA" w:rsidRDefault="00EE4004" w:rsidP="00C366DF">
      <w:pPr>
        <w:pStyle w:val="Default"/>
        <w:jc w:val="both"/>
        <w:rPr>
          <w:rFonts w:ascii="Calibri" w:hAnsi="Calibri"/>
        </w:rPr>
      </w:pPr>
    </w:p>
    <w:p w:rsidR="00EE4004" w:rsidRDefault="00EE4004" w:rsidP="00C366DF">
      <w:pPr>
        <w:pStyle w:val="Default"/>
        <w:jc w:val="both"/>
        <w:rPr>
          <w:sz w:val="23"/>
          <w:szCs w:val="23"/>
        </w:rPr>
      </w:pPr>
    </w:p>
    <w:p w:rsidR="00EE4004" w:rsidRPr="00C366DF" w:rsidRDefault="00EE4004" w:rsidP="00C366DF">
      <w:pPr>
        <w:pStyle w:val="Heading2"/>
        <w:rPr>
          <w:rFonts w:ascii="Times New Roman" w:hAnsi="Times New Roman"/>
          <w:color w:val="auto"/>
        </w:rPr>
      </w:pPr>
      <w:r w:rsidRPr="00C366DF">
        <w:rPr>
          <w:rFonts w:ascii="Times New Roman" w:hAnsi="Times New Roman"/>
          <w:color w:val="auto"/>
        </w:rPr>
        <w:t>Practical implication on Financial Statements</w:t>
      </w:r>
    </w:p>
    <w:p w:rsidR="00EE4004" w:rsidRDefault="00EE4004" w:rsidP="00C366DF">
      <w:pPr>
        <w:pStyle w:val="Default"/>
        <w:rPr>
          <w:b/>
          <w:i/>
          <w:sz w:val="23"/>
          <w:szCs w:val="23"/>
        </w:rPr>
      </w:pPr>
    </w:p>
    <w:p w:rsidR="00EE4004" w:rsidRPr="005A34F3" w:rsidRDefault="00EE4004" w:rsidP="00C366DF">
      <w:pPr>
        <w:autoSpaceDE w:val="0"/>
        <w:autoSpaceDN w:val="0"/>
        <w:adjustRightInd w:val="0"/>
        <w:spacing w:after="0" w:line="240" w:lineRule="auto"/>
        <w:jc w:val="both"/>
        <w:rPr>
          <w:sz w:val="23"/>
          <w:szCs w:val="23"/>
        </w:rPr>
      </w:pPr>
      <w:r w:rsidRPr="00C366DF">
        <w:rPr>
          <w:bCs/>
          <w:sz w:val="24"/>
          <w:szCs w:val="24"/>
        </w:rPr>
        <w:t>Additional disclosures required.</w:t>
      </w:r>
    </w:p>
    <w:p w:rsidR="00EE4004" w:rsidRDefault="00EE4004" w:rsidP="00C366DF">
      <w:pPr>
        <w:rPr>
          <w:rFonts w:cs="EYInterstate-Bold"/>
          <w:b/>
          <w:bCs/>
          <w:color w:val="302C2D"/>
          <w:sz w:val="24"/>
          <w:szCs w:val="24"/>
        </w:rPr>
      </w:pPr>
    </w:p>
    <w:p w:rsidR="00EE4004" w:rsidRPr="00C366DF" w:rsidRDefault="00EE4004" w:rsidP="00C366DF">
      <w:pPr>
        <w:rPr>
          <w:lang w:eastAsia="en-GB"/>
        </w:rPr>
      </w:pPr>
    </w:p>
    <w:p w:rsidR="00EE4004" w:rsidRPr="002F744F" w:rsidRDefault="00EE4004" w:rsidP="002F744F">
      <w:pPr>
        <w:pStyle w:val="Heading1"/>
        <w:jc w:val="center"/>
        <w:rPr>
          <w:rFonts w:ascii="Times New Roman" w:hAnsi="Times New Roman"/>
          <w:color w:val="auto"/>
          <w:sz w:val="32"/>
          <w:szCs w:val="24"/>
        </w:rPr>
      </w:pPr>
      <w:bookmarkStart w:id="10" w:name="_Toc388018664"/>
      <w:r w:rsidRPr="002F744F">
        <w:rPr>
          <w:rFonts w:ascii="Times New Roman" w:hAnsi="Times New Roman"/>
          <w:color w:val="auto"/>
          <w:sz w:val="32"/>
          <w:szCs w:val="24"/>
          <w:lang w:val="en-GB" w:eastAsia="en-GB"/>
        </w:rPr>
        <w:t>Novation of Derivatives and Continuation of Hedge Accounting</w:t>
      </w:r>
      <w:r>
        <w:rPr>
          <w:rFonts w:ascii="Times New Roman" w:hAnsi="Times New Roman"/>
          <w:color w:val="auto"/>
          <w:sz w:val="32"/>
          <w:szCs w:val="24"/>
          <w:lang w:val="en-GB" w:eastAsia="en-GB"/>
        </w:rPr>
        <w:t xml:space="preserve"> </w:t>
      </w:r>
      <w:r w:rsidRPr="002F744F">
        <w:rPr>
          <w:rFonts w:ascii="Times New Roman" w:hAnsi="Times New Roman"/>
          <w:color w:val="auto"/>
          <w:sz w:val="32"/>
          <w:szCs w:val="24"/>
          <w:lang w:val="en-GB" w:eastAsia="en-GB"/>
        </w:rPr>
        <w:t>(Amendments to IAS 39)</w:t>
      </w:r>
      <w:bookmarkEnd w:id="10"/>
    </w:p>
    <w:p w:rsidR="00EE4004" w:rsidRDefault="00EE4004" w:rsidP="00C366DF">
      <w:pPr>
        <w:pStyle w:val="Heading2"/>
        <w:rPr>
          <w:rFonts w:ascii="Times New Roman" w:hAnsi="Times New Roman"/>
          <w:color w:val="auto"/>
        </w:rPr>
      </w:pPr>
    </w:p>
    <w:p w:rsidR="00EE4004" w:rsidRDefault="00EE4004" w:rsidP="00C366DF">
      <w:pPr>
        <w:pStyle w:val="Heading2"/>
        <w:rPr>
          <w:rFonts w:ascii="Times New Roman" w:hAnsi="Times New Roman"/>
          <w:color w:val="auto"/>
        </w:rPr>
      </w:pPr>
      <w:r w:rsidRPr="00C366DF">
        <w:rPr>
          <w:rFonts w:ascii="Times New Roman" w:hAnsi="Times New Roman"/>
          <w:color w:val="auto"/>
        </w:rPr>
        <w:t>Snapshots of amendments</w:t>
      </w:r>
    </w:p>
    <w:p w:rsidR="00EE4004" w:rsidRDefault="00EE4004" w:rsidP="00C366DF">
      <w:pPr>
        <w:pStyle w:val="Default"/>
        <w:jc w:val="both"/>
        <w:rPr>
          <w:rFonts w:ascii="Calibri" w:hAnsi="Calibri"/>
          <w:b/>
        </w:rPr>
      </w:pPr>
    </w:p>
    <w:p w:rsidR="00EE4004" w:rsidRPr="00C366DF" w:rsidRDefault="00EE4004" w:rsidP="00C366DF">
      <w:pPr>
        <w:autoSpaceDE w:val="0"/>
        <w:autoSpaceDN w:val="0"/>
        <w:adjustRightInd w:val="0"/>
        <w:spacing w:after="0" w:line="240" w:lineRule="auto"/>
        <w:jc w:val="both"/>
        <w:rPr>
          <w:bCs/>
          <w:sz w:val="24"/>
          <w:szCs w:val="24"/>
        </w:rPr>
      </w:pPr>
      <w:r w:rsidRPr="00C366DF">
        <w:rPr>
          <w:bCs/>
          <w:i/>
          <w:sz w:val="24"/>
          <w:szCs w:val="24"/>
        </w:rPr>
        <w:t>IAS 39 Financial Instruments: Recognition and Measurement</w:t>
      </w:r>
      <w:r>
        <w:rPr>
          <w:bCs/>
          <w:sz w:val="24"/>
          <w:szCs w:val="24"/>
        </w:rPr>
        <w:t xml:space="preserve"> </w:t>
      </w:r>
      <w:r w:rsidRPr="00C366DF">
        <w:rPr>
          <w:bCs/>
          <w:sz w:val="24"/>
          <w:szCs w:val="24"/>
        </w:rPr>
        <w:t xml:space="preserve">is amended to make it clear that there is no need to discontinue hedge accounting if a hedging derivative is novated, provided certain criteria are met. </w:t>
      </w:r>
    </w:p>
    <w:p w:rsidR="00EE4004" w:rsidRDefault="00EE4004" w:rsidP="00C366DF">
      <w:pPr>
        <w:pStyle w:val="Default"/>
        <w:rPr>
          <w:rFonts w:ascii="Calibri" w:hAnsi="Calibri"/>
        </w:rPr>
      </w:pPr>
    </w:p>
    <w:p w:rsidR="00EE4004" w:rsidRPr="00C366DF" w:rsidRDefault="00EE4004" w:rsidP="00C366DF">
      <w:pPr>
        <w:pStyle w:val="Heading2"/>
        <w:rPr>
          <w:rFonts w:ascii="Times New Roman" w:hAnsi="Times New Roman"/>
          <w:color w:val="auto"/>
        </w:rPr>
      </w:pPr>
      <w:r w:rsidRPr="00C366DF">
        <w:rPr>
          <w:rFonts w:ascii="Times New Roman" w:hAnsi="Times New Roman"/>
          <w:color w:val="auto"/>
        </w:rPr>
        <w:t>Practical implication on Financial Statements</w:t>
      </w:r>
    </w:p>
    <w:p w:rsidR="00EE4004" w:rsidRPr="00C366DF" w:rsidRDefault="00EE4004" w:rsidP="00C366DF">
      <w:pPr>
        <w:autoSpaceDE w:val="0"/>
        <w:autoSpaceDN w:val="0"/>
        <w:adjustRightInd w:val="0"/>
        <w:spacing w:after="0" w:line="240" w:lineRule="auto"/>
        <w:jc w:val="both"/>
        <w:rPr>
          <w:bCs/>
          <w:sz w:val="24"/>
          <w:szCs w:val="24"/>
        </w:rPr>
      </w:pPr>
      <w:r w:rsidRPr="00C366DF">
        <w:rPr>
          <w:bCs/>
          <w:sz w:val="24"/>
          <w:szCs w:val="24"/>
        </w:rPr>
        <w:t>Novation is rarely used in the Mauritian context and therefore, no major impact is expected.</w:t>
      </w:r>
    </w:p>
    <w:p w:rsidR="00EE4004" w:rsidRPr="002F744F" w:rsidRDefault="00EE4004" w:rsidP="002F744F">
      <w:pPr>
        <w:rPr>
          <w:sz w:val="28"/>
          <w:szCs w:val="24"/>
        </w:rPr>
      </w:pPr>
    </w:p>
    <w:p w:rsidR="00EE4004" w:rsidRPr="002F744F" w:rsidRDefault="00EE4004" w:rsidP="00E70E13">
      <w:pPr>
        <w:autoSpaceDE w:val="0"/>
        <w:autoSpaceDN w:val="0"/>
        <w:adjustRightInd w:val="0"/>
        <w:spacing w:after="0" w:line="240" w:lineRule="auto"/>
        <w:rPr>
          <w:b/>
          <w:sz w:val="24"/>
          <w:szCs w:val="22"/>
        </w:rPr>
      </w:pPr>
    </w:p>
    <w:p w:rsidR="00EE4004" w:rsidRPr="002F744F" w:rsidRDefault="00EE4004" w:rsidP="00E70E13">
      <w:pPr>
        <w:autoSpaceDE w:val="0"/>
        <w:autoSpaceDN w:val="0"/>
        <w:adjustRightInd w:val="0"/>
        <w:spacing w:after="0" w:line="240" w:lineRule="auto"/>
        <w:rPr>
          <w:b/>
          <w:sz w:val="24"/>
          <w:szCs w:val="22"/>
        </w:rPr>
      </w:pPr>
    </w:p>
    <w:p w:rsidR="00EE4004" w:rsidRPr="002F744F" w:rsidRDefault="00EE4004" w:rsidP="00E70E13">
      <w:pPr>
        <w:autoSpaceDE w:val="0"/>
        <w:autoSpaceDN w:val="0"/>
        <w:adjustRightInd w:val="0"/>
        <w:spacing w:after="0" w:line="240" w:lineRule="auto"/>
        <w:rPr>
          <w:b/>
          <w:sz w:val="24"/>
          <w:szCs w:val="22"/>
        </w:rPr>
      </w:pPr>
    </w:p>
    <w:p w:rsidR="00EE4004" w:rsidRDefault="00EE4004" w:rsidP="002F744F">
      <w:pPr>
        <w:pStyle w:val="NoSpacing"/>
      </w:pPr>
    </w:p>
    <w:p w:rsidR="00EE4004" w:rsidRDefault="00EE4004" w:rsidP="002F744F">
      <w:pPr>
        <w:pStyle w:val="NoSpacing"/>
      </w:pPr>
    </w:p>
    <w:p w:rsidR="00EE4004" w:rsidRDefault="00EE4004" w:rsidP="002F744F">
      <w:pPr>
        <w:pStyle w:val="NoSpacing"/>
      </w:pPr>
    </w:p>
    <w:p w:rsidR="00EE4004" w:rsidRDefault="00EE4004" w:rsidP="002F744F">
      <w:pPr>
        <w:pStyle w:val="NoSpacing"/>
      </w:pPr>
    </w:p>
    <w:p w:rsidR="00EE4004" w:rsidRDefault="00EE4004" w:rsidP="002F744F">
      <w:pPr>
        <w:pStyle w:val="NoSpacing"/>
      </w:pPr>
    </w:p>
    <w:p w:rsidR="00EE4004" w:rsidRDefault="00EE4004" w:rsidP="002F744F">
      <w:pPr>
        <w:pStyle w:val="NoSpacing"/>
      </w:pPr>
    </w:p>
    <w:p w:rsidR="00EE4004" w:rsidRDefault="00EE4004" w:rsidP="002F744F">
      <w:pPr>
        <w:pStyle w:val="NoSpacing"/>
      </w:pPr>
    </w:p>
    <w:p w:rsidR="00EE4004" w:rsidRDefault="00EE4004" w:rsidP="002F744F">
      <w:pPr>
        <w:pStyle w:val="NoSpacing"/>
      </w:pPr>
    </w:p>
    <w:p w:rsidR="00EE4004" w:rsidRDefault="00EE4004" w:rsidP="002F744F">
      <w:pPr>
        <w:pStyle w:val="NoSpacing"/>
      </w:pPr>
    </w:p>
    <w:p w:rsidR="00EE4004" w:rsidRDefault="00EE4004" w:rsidP="002F744F">
      <w:pPr>
        <w:pStyle w:val="NoSpacing"/>
      </w:pPr>
    </w:p>
    <w:p w:rsidR="00EE4004" w:rsidRDefault="00EE4004" w:rsidP="002F744F">
      <w:pPr>
        <w:pStyle w:val="NoSpacing"/>
      </w:pPr>
    </w:p>
    <w:p w:rsidR="00EE4004" w:rsidRDefault="00EE4004" w:rsidP="002F744F">
      <w:pPr>
        <w:pStyle w:val="NoSpacing"/>
      </w:pPr>
    </w:p>
    <w:p w:rsidR="00EE4004" w:rsidRDefault="00EE4004" w:rsidP="002F744F">
      <w:pPr>
        <w:pStyle w:val="NoSpacing"/>
      </w:pPr>
    </w:p>
    <w:p w:rsidR="00EE4004" w:rsidRDefault="00EE4004" w:rsidP="002F744F">
      <w:pPr>
        <w:pStyle w:val="NoSpacing"/>
      </w:pPr>
    </w:p>
    <w:p w:rsidR="00EE4004" w:rsidRDefault="00EE4004" w:rsidP="002F744F">
      <w:pPr>
        <w:pStyle w:val="NoSpacing"/>
      </w:pPr>
    </w:p>
    <w:p w:rsidR="00EE4004" w:rsidRDefault="00EE4004" w:rsidP="002F744F">
      <w:pPr>
        <w:pStyle w:val="NoSpacing"/>
      </w:pPr>
    </w:p>
    <w:p w:rsidR="00EE4004" w:rsidRDefault="00EE4004" w:rsidP="002F744F">
      <w:pPr>
        <w:pStyle w:val="NoSpacing"/>
      </w:pPr>
    </w:p>
    <w:p w:rsidR="00EE4004" w:rsidRDefault="00EE4004" w:rsidP="002F744F">
      <w:pPr>
        <w:pStyle w:val="NoSpacing"/>
      </w:pPr>
    </w:p>
    <w:p w:rsidR="00EE4004" w:rsidRDefault="00EE4004" w:rsidP="002F744F">
      <w:pPr>
        <w:pStyle w:val="NoSpacing"/>
      </w:pPr>
    </w:p>
    <w:p w:rsidR="00EE4004" w:rsidRDefault="00EE4004" w:rsidP="002F744F">
      <w:pPr>
        <w:pStyle w:val="NoSpacing"/>
      </w:pPr>
    </w:p>
    <w:p w:rsidR="00EE4004" w:rsidRDefault="00EE4004" w:rsidP="002F744F">
      <w:pPr>
        <w:pStyle w:val="NoSpacing"/>
      </w:pPr>
    </w:p>
    <w:p w:rsidR="00EE4004" w:rsidRDefault="00EE4004" w:rsidP="002F744F">
      <w:pPr>
        <w:pStyle w:val="NoSpacing"/>
      </w:pPr>
    </w:p>
    <w:p w:rsidR="00EE4004" w:rsidRDefault="00EE4004" w:rsidP="002F744F">
      <w:pPr>
        <w:pStyle w:val="NoSpacing"/>
      </w:pPr>
    </w:p>
    <w:p w:rsidR="00EE4004" w:rsidRDefault="00EE4004" w:rsidP="002F744F">
      <w:pPr>
        <w:pStyle w:val="NoSpacing"/>
      </w:pPr>
    </w:p>
    <w:p w:rsidR="00EE4004" w:rsidRDefault="00EE4004" w:rsidP="002F744F">
      <w:pPr>
        <w:pStyle w:val="NoSpacing"/>
      </w:pPr>
    </w:p>
    <w:p w:rsidR="00EE4004" w:rsidRDefault="00EE4004" w:rsidP="002F744F">
      <w:pPr>
        <w:pStyle w:val="NoSpacing"/>
      </w:pPr>
    </w:p>
    <w:p w:rsidR="00EE4004" w:rsidRDefault="00EE4004" w:rsidP="002F744F">
      <w:pPr>
        <w:pStyle w:val="NoSpacing"/>
      </w:pPr>
      <w:r>
        <w:t>Appendix 1</w:t>
      </w:r>
    </w:p>
    <w:p w:rsidR="00EE4004" w:rsidRPr="001D0FB8" w:rsidRDefault="00EE4004" w:rsidP="001D0FB8">
      <w:pPr>
        <w:spacing w:after="0"/>
        <w:rPr>
          <w:rFonts w:ascii="Trebuchet MS" w:hAnsi="Trebuchet MS"/>
          <w:sz w:val="20"/>
        </w:rPr>
      </w:pPr>
      <w:r>
        <w:rPr>
          <w:noProof/>
          <w:lang w:val="en-US"/>
        </w:rPr>
        <w:pict>
          <v:shape id="_x0000_s1043" type="#_x0000_t32" style="position:absolute;margin-left:1.35pt;margin-top:153.75pt;width:488.25pt;height:0;z-index:251683328" o:connectortype="straight">
            <v:stroke dashstyle="dash"/>
          </v:shape>
        </w:pict>
      </w:r>
      <w:r>
        <w:rPr>
          <w:noProof/>
          <w:lang w:val="en-US"/>
        </w:rPr>
        <w:pict>
          <v:shape id="_x0000_s1044" type="#_x0000_t32" style="position:absolute;margin-left:131.85pt;margin-top:71.95pt;width:74.25pt;height:.05pt;z-index:251655680" o:connectortype="straight">
            <v:stroke endarrow="block"/>
          </v:shape>
        </w:pict>
      </w:r>
      <w:r>
        <w:rPr>
          <w:noProof/>
          <w:lang w:val="en-US"/>
        </w:rPr>
        <w:pict>
          <v:shapetype id="_x0000_t202" coordsize="21600,21600" o:spt="202" path="m,l,21600r21600,l21600,xe">
            <v:stroke joinstyle="miter"/>
            <v:path gradientshapeok="t" o:connecttype="rect"/>
          </v:shapetype>
          <v:shape id="_x0000_s1045" type="#_x0000_t202" style="position:absolute;margin-left:167.1pt;margin-top:165.75pt;width:33pt;height:21.75pt;z-index:251681280" filled="f" stroked="f">
            <v:textbox style="mso-next-textbox:#_x0000_s1045">
              <w:txbxContent>
                <w:p w:rsidR="00EE4004" w:rsidRPr="00196FB6" w:rsidRDefault="00EE4004" w:rsidP="001D0FB8">
                  <w:pPr>
                    <w:rPr>
                      <w:rFonts w:ascii="Trebuchet MS" w:hAnsi="Trebuchet MS"/>
                      <w:sz w:val="20"/>
                    </w:rPr>
                  </w:pPr>
                  <w:r>
                    <w:rPr>
                      <w:rFonts w:ascii="Trebuchet MS" w:hAnsi="Trebuchet MS"/>
                      <w:sz w:val="20"/>
                    </w:rPr>
                    <w:t>No</w:t>
                  </w:r>
                </w:p>
              </w:txbxContent>
            </v:textbox>
          </v:shape>
        </w:pict>
      </w:r>
      <w:r>
        <w:rPr>
          <w:noProof/>
          <w:lang w:val="en-US"/>
        </w:rPr>
        <w:pict>
          <v:shape id="_x0000_s1046" type="#_x0000_t32" style="position:absolute;margin-left:131.85pt;margin-top:183.75pt;width:110.25pt;height:0;z-index:251675136" o:connectortype="straight">
            <v:stroke endarrow="block"/>
          </v:shape>
        </w:pict>
      </w:r>
      <w:r>
        <w:rPr>
          <w:noProof/>
          <w:lang w:val="en-US"/>
        </w:rPr>
        <w:pict>
          <v:shape id="_x0000_s1047" type="#_x0000_t32" style="position:absolute;margin-left:62.1pt;margin-top:30pt;width:0;height:18.75pt;z-index:251654656" o:connectortype="straight">
            <v:stroke endarrow="block"/>
          </v:shape>
        </w:pict>
      </w:r>
      <w:r>
        <w:rPr>
          <w:noProof/>
          <w:lang w:val="en-US"/>
        </w:rPr>
        <w:pict>
          <v:shape id="_x0000_s1048" type="#_x0000_t202" style="position:absolute;margin-left:1.35pt;margin-top:165pt;width:130.5pt;height:39.75pt;z-index:251658752">
            <v:textbox style="mso-next-textbox:#_x0000_s1048">
              <w:txbxContent>
                <w:p w:rsidR="00EE4004" w:rsidRPr="001412DB" w:rsidRDefault="00EE4004" w:rsidP="001D0FB8">
                  <w:pPr>
                    <w:jc w:val="center"/>
                    <w:rPr>
                      <w:rFonts w:ascii="Trebuchet MS" w:hAnsi="Trebuchet MS"/>
                      <w:sz w:val="18"/>
                      <w:szCs w:val="18"/>
                    </w:rPr>
                  </w:pPr>
                  <w:r w:rsidRPr="001412DB">
                    <w:rPr>
                      <w:rFonts w:ascii="Trebuchet MS" w:hAnsi="Trebuchet MS"/>
                      <w:sz w:val="18"/>
                      <w:szCs w:val="18"/>
                    </w:rPr>
                    <w:t>Change in Investment entity status?</w:t>
                  </w:r>
                </w:p>
              </w:txbxContent>
            </v:textbox>
          </v:shape>
        </w:pict>
      </w:r>
      <w:r>
        <w:rPr>
          <w:noProof/>
          <w:lang w:val="en-US"/>
        </w:rPr>
        <w:pict>
          <v:shape id="_x0000_s1049" type="#_x0000_t32" style="position:absolute;margin-left:131.85pt;margin-top:17.25pt;width:71.25pt;height:.05pt;z-index:251653632" o:connectortype="straight">
            <v:stroke endarrow="block"/>
          </v:shape>
        </w:pict>
      </w:r>
      <w:r>
        <w:rPr>
          <w:noProof/>
          <w:lang w:val="en-US"/>
        </w:rPr>
        <w:pict>
          <v:shape id="_x0000_s1050" type="#_x0000_t202" style="position:absolute;margin-left:5.85pt;margin-top:3.75pt;width:126pt;height:26.25pt;z-index:251649536">
            <v:textbox style="mso-next-textbox:#_x0000_s1050">
              <w:txbxContent>
                <w:p w:rsidR="00EE4004" w:rsidRPr="001412DB" w:rsidRDefault="00EE4004" w:rsidP="001D0FB8">
                  <w:pPr>
                    <w:jc w:val="center"/>
                    <w:rPr>
                      <w:rFonts w:ascii="Trebuchet MS" w:hAnsi="Trebuchet MS"/>
                      <w:sz w:val="18"/>
                      <w:szCs w:val="18"/>
                    </w:rPr>
                  </w:pPr>
                  <w:r w:rsidRPr="001412DB">
                    <w:rPr>
                      <w:rFonts w:ascii="Trebuchet MS" w:hAnsi="Trebuchet MS"/>
                      <w:sz w:val="18"/>
                      <w:szCs w:val="18"/>
                    </w:rPr>
                    <w:t>Parent (non-IE)</w:t>
                  </w:r>
                </w:p>
              </w:txbxContent>
            </v:textbox>
          </v:shape>
        </w:pict>
      </w:r>
      <w:r>
        <w:rPr>
          <w:noProof/>
          <w:lang w:val="en-US"/>
        </w:rPr>
        <w:pict>
          <v:shape id="_x0000_s1051" type="#_x0000_t202" style="position:absolute;margin-left:69.6pt;margin-top:209.25pt;width:33pt;height:21.75pt;z-index:251680256" filled="f" stroked="f">
            <v:textbox style="mso-next-textbox:#_x0000_s1051">
              <w:txbxContent>
                <w:p w:rsidR="00EE4004" w:rsidRPr="00196FB6" w:rsidRDefault="00EE4004" w:rsidP="001D0FB8">
                  <w:pPr>
                    <w:rPr>
                      <w:rFonts w:ascii="Trebuchet MS" w:hAnsi="Trebuchet MS"/>
                      <w:sz w:val="20"/>
                    </w:rPr>
                  </w:pPr>
                  <w:r>
                    <w:rPr>
                      <w:rFonts w:ascii="Trebuchet MS" w:hAnsi="Trebuchet MS"/>
                      <w:sz w:val="20"/>
                    </w:rPr>
                    <w:t>Yes</w:t>
                  </w:r>
                </w:p>
              </w:txbxContent>
            </v:textbox>
          </v:shape>
        </w:pict>
      </w:r>
      <w:r>
        <w:rPr>
          <w:noProof/>
          <w:lang w:val="en-US"/>
        </w:rPr>
        <w:pict>
          <v:shape id="_x0000_s1052" type="#_x0000_t202" style="position:absolute;margin-left:-75.15pt;margin-top:382.5pt;width:33pt;height:21.75pt;z-index:251679232" filled="f" stroked="f">
            <v:textbox style="mso-next-textbox:#_x0000_s1052">
              <w:txbxContent>
                <w:p w:rsidR="00EE4004" w:rsidRPr="001D0FB8" w:rsidRDefault="00EE4004" w:rsidP="001D0FB8">
                  <w:pPr>
                    <w:rPr>
                      <w:rFonts w:ascii="Trebuchet MS" w:hAnsi="Trebuchet MS"/>
                      <w:i/>
                      <w:sz w:val="18"/>
                      <w:szCs w:val="18"/>
                    </w:rPr>
                  </w:pPr>
                  <w:r w:rsidRPr="001D0FB8">
                    <w:rPr>
                      <w:rFonts w:ascii="Trebuchet MS" w:hAnsi="Trebuchet MS"/>
                      <w:i/>
                      <w:sz w:val="18"/>
                      <w:szCs w:val="18"/>
                    </w:rPr>
                    <w:t>Yes</w:t>
                  </w:r>
                </w:p>
              </w:txbxContent>
            </v:textbox>
          </v:shape>
        </w:pict>
      </w:r>
      <w:r>
        <w:rPr>
          <w:noProof/>
          <w:lang w:val="en-US"/>
        </w:rPr>
        <w:pict>
          <v:shape id="_x0000_s1053" type="#_x0000_t202" style="position:absolute;margin-left:345.6pt;margin-top:378pt;width:129.75pt;height:33.75pt;z-index:251677184" filled="f" stroked="f">
            <v:textbox style="mso-next-textbox:#_x0000_s1053">
              <w:txbxContent>
                <w:p w:rsidR="00EE4004" w:rsidRPr="001D0FB8" w:rsidRDefault="00EE4004" w:rsidP="001D0FB8">
                  <w:pPr>
                    <w:rPr>
                      <w:rFonts w:ascii="Trebuchet MS" w:hAnsi="Trebuchet MS"/>
                      <w:i/>
                      <w:sz w:val="18"/>
                      <w:szCs w:val="18"/>
                    </w:rPr>
                  </w:pPr>
                  <w:r w:rsidRPr="001D0FB8">
                    <w:rPr>
                      <w:rFonts w:ascii="Trebuchet MS" w:hAnsi="Trebuchet MS"/>
                      <w:i/>
                      <w:sz w:val="18"/>
                      <w:szCs w:val="18"/>
                    </w:rPr>
                    <w:t>Cease to consolidate subsidiaries</w:t>
                  </w:r>
                </w:p>
              </w:txbxContent>
            </v:textbox>
          </v:shape>
        </w:pict>
      </w:r>
      <w:r>
        <w:rPr>
          <w:noProof/>
          <w:lang w:val="en-US"/>
        </w:rPr>
        <w:pict>
          <v:shape id="_x0000_s1054" type="#_x0000_t202" style="position:absolute;margin-left:345.6pt;margin-top:344.25pt;width:33pt;height:21.75pt;z-index:251676160" filled="f" stroked="f">
            <v:textbox style="mso-next-textbox:#_x0000_s1054">
              <w:txbxContent>
                <w:p w:rsidR="00EE4004" w:rsidRPr="001412DB" w:rsidRDefault="00EE4004" w:rsidP="001D0FB8">
                  <w:pPr>
                    <w:rPr>
                      <w:rFonts w:ascii="Trebuchet MS" w:hAnsi="Trebuchet MS"/>
                      <w:i/>
                      <w:sz w:val="18"/>
                      <w:szCs w:val="18"/>
                    </w:rPr>
                  </w:pPr>
                  <w:r w:rsidRPr="001412DB">
                    <w:rPr>
                      <w:rFonts w:ascii="Trebuchet MS" w:hAnsi="Trebuchet MS"/>
                      <w:i/>
                      <w:sz w:val="18"/>
                      <w:szCs w:val="18"/>
                    </w:rPr>
                    <w:t>Yes</w:t>
                  </w:r>
                </w:p>
              </w:txbxContent>
            </v:textbox>
          </v:shape>
        </w:pict>
      </w:r>
      <w:r>
        <w:rPr>
          <w:noProof/>
          <w:lang w:val="en-US"/>
        </w:rPr>
        <w:pict>
          <v:shape id="_x0000_s1055" type="#_x0000_t32" style="position:absolute;margin-left:335.1pt;margin-top:93pt;width:0;height:1in;flip:y;z-index:251674112" o:connectortype="straight">
            <v:stroke endarrow="block"/>
          </v:shape>
        </w:pict>
      </w:r>
      <w:r>
        <w:rPr>
          <w:noProof/>
          <w:lang w:val="en-US"/>
        </w:rPr>
        <w:pict>
          <v:shape id="_x0000_s1056" type="#_x0000_t202" style="position:absolute;margin-left:5.85pt;margin-top:231pt;width:131.25pt;height:48.75pt;z-index:251661824">
            <v:textbox style="mso-next-textbox:#_x0000_s1056">
              <w:txbxContent>
                <w:p w:rsidR="00EE4004" w:rsidRPr="001412DB" w:rsidRDefault="00EE4004" w:rsidP="001D0FB8">
                  <w:pPr>
                    <w:jc w:val="center"/>
                    <w:rPr>
                      <w:sz w:val="18"/>
                      <w:szCs w:val="18"/>
                    </w:rPr>
                  </w:pPr>
                  <w:r w:rsidRPr="001412DB">
                    <w:rPr>
                      <w:rFonts w:ascii="Trebuchet MS" w:hAnsi="Trebuchet MS"/>
                      <w:sz w:val="18"/>
                      <w:szCs w:val="18"/>
                    </w:rPr>
                    <w:t>Change is accounted for from the date when change in status</w:t>
                  </w:r>
                  <w:r w:rsidRPr="001412DB">
                    <w:rPr>
                      <w:sz w:val="18"/>
                      <w:szCs w:val="18"/>
                    </w:rPr>
                    <w:t xml:space="preserve"> occurred</w:t>
                  </w:r>
                </w:p>
              </w:txbxContent>
            </v:textbox>
          </v:shape>
        </w:pict>
      </w:r>
      <w:r>
        <w:rPr>
          <w:noProof/>
          <w:lang w:val="en-US"/>
        </w:rPr>
        <w:pict>
          <v:shape id="_x0000_s1057" type="#_x0000_t32" style="position:absolute;margin-left:63.6pt;margin-top:204.75pt;width:0;height:26.25pt;z-index:251660800" o:connectortype="straight">
            <v:stroke endarrow="block"/>
          </v:shape>
        </w:pict>
      </w:r>
      <w:r>
        <w:rPr>
          <w:noProof/>
          <w:lang w:val="en-US"/>
        </w:rPr>
        <w:pict>
          <v:shape id="_x0000_s1058" type="#_x0000_t202" style="position:absolute;margin-left:242.1pt;margin-top:165pt;width:200.25pt;height:30.75pt;z-index:251659776">
            <v:textbox style="mso-next-textbox:#_x0000_s1058">
              <w:txbxContent>
                <w:p w:rsidR="00EE4004" w:rsidRPr="001412DB" w:rsidRDefault="00EE4004" w:rsidP="001D0FB8">
                  <w:pPr>
                    <w:jc w:val="center"/>
                    <w:rPr>
                      <w:rFonts w:ascii="Trebuchet MS" w:hAnsi="Trebuchet MS"/>
                      <w:sz w:val="18"/>
                      <w:szCs w:val="18"/>
                    </w:rPr>
                  </w:pPr>
                  <w:r w:rsidRPr="001412DB">
                    <w:rPr>
                      <w:rFonts w:ascii="Trebuchet MS" w:hAnsi="Trebuchet MS"/>
                      <w:sz w:val="18"/>
                      <w:szCs w:val="18"/>
                    </w:rPr>
                    <w:t>No adjustments</w:t>
                  </w:r>
                </w:p>
              </w:txbxContent>
            </v:textbox>
          </v:shape>
        </w:pict>
      </w:r>
      <w:r>
        <w:rPr>
          <w:noProof/>
          <w:lang w:val="en-US"/>
        </w:rPr>
        <w:pict>
          <v:shape id="_x0000_s1059" type="#_x0000_t32" style="position:absolute;margin-left:63.6pt;margin-top:88.5pt;width:0;height:21pt;z-index:251656704" o:connectortype="straight">
            <v:stroke endarrow="block"/>
          </v:shape>
        </w:pict>
      </w:r>
      <w:r>
        <w:rPr>
          <w:noProof/>
          <w:lang w:val="en-US"/>
        </w:rPr>
        <w:pict>
          <v:shape id="_x0000_s1060" type="#_x0000_t202" style="position:absolute;margin-left:1.35pt;margin-top:109.5pt;width:130.5pt;height:35.25pt;z-index:251657728">
            <v:textbox style="mso-next-textbox:#_x0000_s1060">
              <w:txbxContent>
                <w:p w:rsidR="00EE4004" w:rsidRPr="001412DB" w:rsidRDefault="00EE4004" w:rsidP="001D0FB8">
                  <w:pPr>
                    <w:jc w:val="center"/>
                    <w:rPr>
                      <w:rFonts w:ascii="Trebuchet MS" w:hAnsi="Trebuchet MS"/>
                      <w:sz w:val="18"/>
                      <w:szCs w:val="18"/>
                    </w:rPr>
                  </w:pPr>
                  <w:r w:rsidRPr="001412DB">
                    <w:rPr>
                      <w:rFonts w:ascii="Trebuchet MS" w:hAnsi="Trebuchet MS"/>
                      <w:sz w:val="18"/>
                      <w:szCs w:val="18"/>
                    </w:rPr>
                    <w:t>IE's Investees with controlling interest</w:t>
                  </w:r>
                </w:p>
              </w:txbxContent>
            </v:textbox>
          </v:shape>
        </w:pict>
      </w:r>
      <w:r>
        <w:rPr>
          <w:noProof/>
          <w:lang w:val="en-US"/>
        </w:rPr>
        <w:pict>
          <v:shape id="_x0000_s1061" type="#_x0000_t202" style="position:absolute;margin-left:206.1pt;margin-top:53.25pt;width:279pt;height:35.25pt;z-index:251652608">
            <v:textbox style="mso-next-textbox:#_x0000_s1061">
              <w:txbxContent>
                <w:p w:rsidR="00EE4004" w:rsidRPr="001412DB" w:rsidRDefault="00EE4004" w:rsidP="001D0FB8">
                  <w:pPr>
                    <w:jc w:val="center"/>
                    <w:rPr>
                      <w:rFonts w:ascii="Trebuchet MS" w:hAnsi="Trebuchet MS"/>
                      <w:sz w:val="18"/>
                      <w:szCs w:val="18"/>
                    </w:rPr>
                  </w:pPr>
                  <w:r w:rsidRPr="001412DB">
                    <w:rPr>
                      <w:rFonts w:ascii="Trebuchet MS" w:hAnsi="Trebuchet MS"/>
                      <w:sz w:val="18"/>
                      <w:szCs w:val="18"/>
                    </w:rPr>
                    <w:t xml:space="preserve">Carries its investees at fair value through profit or loss </w:t>
                  </w:r>
                </w:p>
              </w:txbxContent>
            </v:textbox>
          </v:shape>
        </w:pict>
      </w:r>
      <w:r>
        <w:rPr>
          <w:noProof/>
          <w:lang w:val="en-US"/>
        </w:rPr>
        <w:pict>
          <v:shape id="_x0000_s1062" type="#_x0000_t202" style="position:absolute;margin-left:5.85pt;margin-top:48.75pt;width:126pt;height:38.25pt;z-index:251651584">
            <v:textbox style="mso-next-textbox:#_x0000_s1062">
              <w:txbxContent>
                <w:p w:rsidR="00EE4004" w:rsidRPr="001412DB" w:rsidRDefault="00EE4004" w:rsidP="001D0FB8">
                  <w:pPr>
                    <w:rPr>
                      <w:sz w:val="18"/>
                      <w:szCs w:val="18"/>
                    </w:rPr>
                  </w:pPr>
                  <w:r w:rsidRPr="001412DB">
                    <w:rPr>
                      <w:sz w:val="18"/>
                      <w:szCs w:val="18"/>
                    </w:rPr>
                    <w:t>Investment entity (IE)</w:t>
                  </w:r>
                </w:p>
              </w:txbxContent>
            </v:textbox>
          </v:shape>
        </w:pict>
      </w:r>
      <w:r>
        <w:rPr>
          <w:noProof/>
          <w:lang w:val="en-US"/>
        </w:rPr>
        <w:pict>
          <v:shape id="_x0000_s1063" type="#_x0000_t202" style="position:absolute;margin-left:203.1pt;margin-top:3.75pt;width:282pt;height:26.25pt;z-index:251650560">
            <v:textbox style="mso-next-textbox:#_x0000_s1063">
              <w:txbxContent>
                <w:p w:rsidR="00EE4004" w:rsidRPr="001412DB" w:rsidRDefault="00EE4004" w:rsidP="001D0FB8">
                  <w:pPr>
                    <w:rPr>
                      <w:rFonts w:ascii="Trebuchet MS" w:hAnsi="Trebuchet MS"/>
                      <w:sz w:val="18"/>
                      <w:szCs w:val="18"/>
                    </w:rPr>
                  </w:pPr>
                  <w:r w:rsidRPr="001412DB">
                    <w:rPr>
                      <w:rFonts w:ascii="Trebuchet MS" w:hAnsi="Trebuchet MS"/>
                      <w:sz w:val="18"/>
                      <w:szCs w:val="18"/>
                    </w:rPr>
                    <w:t>Consolidates IE and its underlying investees under IFRS 10</w:t>
                  </w:r>
                </w:p>
              </w:txbxContent>
            </v:textbox>
          </v:shape>
        </w:pict>
      </w:r>
    </w:p>
    <w:p w:rsidR="00EE4004" w:rsidRDefault="00EE4004" w:rsidP="002F744F">
      <w:pPr>
        <w:pStyle w:val="NoSpacing"/>
      </w:pPr>
    </w:p>
    <w:p w:rsidR="00EE4004" w:rsidRDefault="00EE4004" w:rsidP="002F744F">
      <w:pPr>
        <w:pStyle w:val="NoSpacing"/>
      </w:pPr>
    </w:p>
    <w:p w:rsidR="00EE4004" w:rsidRDefault="00EE4004" w:rsidP="002F744F">
      <w:pPr>
        <w:pStyle w:val="NoSpacing"/>
      </w:pPr>
    </w:p>
    <w:p w:rsidR="00EE4004" w:rsidRDefault="00EE4004" w:rsidP="002F744F">
      <w:pPr>
        <w:pStyle w:val="NoSpacing"/>
      </w:pPr>
    </w:p>
    <w:p w:rsidR="00EE4004" w:rsidRDefault="00EE4004" w:rsidP="002F744F">
      <w:pPr>
        <w:pStyle w:val="NoSpacing"/>
      </w:pPr>
    </w:p>
    <w:p w:rsidR="00EE4004" w:rsidRDefault="00EE4004" w:rsidP="002F744F">
      <w:pPr>
        <w:pStyle w:val="NoSpacing"/>
      </w:pPr>
    </w:p>
    <w:p w:rsidR="00EE4004" w:rsidRDefault="00EE4004" w:rsidP="002F744F">
      <w:pPr>
        <w:pStyle w:val="NoSpacing"/>
      </w:pPr>
    </w:p>
    <w:p w:rsidR="00EE4004" w:rsidRDefault="00EE4004" w:rsidP="002F744F">
      <w:pPr>
        <w:pStyle w:val="NoSpacing"/>
      </w:pPr>
    </w:p>
    <w:p w:rsidR="00EE4004" w:rsidRDefault="00EE4004" w:rsidP="002F744F">
      <w:pPr>
        <w:pStyle w:val="NoSpacing"/>
      </w:pPr>
    </w:p>
    <w:p w:rsidR="00EE4004" w:rsidRDefault="00EE4004" w:rsidP="002F744F">
      <w:pPr>
        <w:pStyle w:val="NoSpacing"/>
      </w:pPr>
    </w:p>
    <w:p w:rsidR="00EE4004" w:rsidRDefault="00EE4004" w:rsidP="002F744F">
      <w:pPr>
        <w:pStyle w:val="NoSpacing"/>
      </w:pPr>
    </w:p>
    <w:p w:rsidR="00EE4004" w:rsidRDefault="00EE4004" w:rsidP="002F744F">
      <w:pPr>
        <w:pStyle w:val="NoSpacing"/>
      </w:pPr>
    </w:p>
    <w:p w:rsidR="00EE4004" w:rsidRDefault="00EE4004" w:rsidP="002F744F">
      <w:pPr>
        <w:pStyle w:val="NoSpacing"/>
      </w:pPr>
    </w:p>
    <w:p w:rsidR="00EE4004" w:rsidRDefault="00EE4004" w:rsidP="002F744F">
      <w:pPr>
        <w:pStyle w:val="NoSpacing"/>
      </w:pPr>
    </w:p>
    <w:p w:rsidR="00EE4004" w:rsidRDefault="00EE4004" w:rsidP="002F744F">
      <w:pPr>
        <w:pStyle w:val="NoSpacing"/>
      </w:pPr>
    </w:p>
    <w:p w:rsidR="00EE4004" w:rsidRDefault="00EE4004" w:rsidP="002F744F">
      <w:pPr>
        <w:pStyle w:val="NoSpacing"/>
      </w:pPr>
    </w:p>
    <w:p w:rsidR="00EE4004" w:rsidRDefault="00EE4004" w:rsidP="002F744F">
      <w:pPr>
        <w:pStyle w:val="NoSpacing"/>
      </w:pPr>
    </w:p>
    <w:p w:rsidR="00EE4004" w:rsidRDefault="00EE4004" w:rsidP="002F744F">
      <w:pPr>
        <w:pStyle w:val="NoSpacing"/>
      </w:pPr>
    </w:p>
    <w:p w:rsidR="00EE4004" w:rsidRDefault="00EE4004" w:rsidP="002F744F">
      <w:pPr>
        <w:pStyle w:val="NoSpacing"/>
      </w:pPr>
    </w:p>
    <w:p w:rsidR="00EE4004" w:rsidRDefault="00EE4004" w:rsidP="002F744F">
      <w:pPr>
        <w:pStyle w:val="NoSpacing"/>
      </w:pPr>
    </w:p>
    <w:p w:rsidR="00EE4004" w:rsidRDefault="00EE4004" w:rsidP="002F744F">
      <w:pPr>
        <w:pStyle w:val="NoSpacing"/>
      </w:pPr>
    </w:p>
    <w:p w:rsidR="00EE4004" w:rsidRDefault="00EE4004" w:rsidP="002F744F">
      <w:pPr>
        <w:pStyle w:val="NoSpacing"/>
      </w:pPr>
      <w:r>
        <w:rPr>
          <w:noProof/>
          <w:lang w:val="en-US"/>
        </w:rPr>
        <w:pict>
          <v:shape id="_x0000_s1064" type="#_x0000_t202" style="position:absolute;margin-left:254.85pt;margin-top:7.8pt;width:207pt;height:27.75pt;z-index:251665920">
            <v:textbox style="mso-next-textbox:#_x0000_s1064">
              <w:txbxContent>
                <w:p w:rsidR="00EE4004" w:rsidRPr="001412DB" w:rsidRDefault="00EE4004" w:rsidP="001D0FB8">
                  <w:pPr>
                    <w:jc w:val="center"/>
                    <w:rPr>
                      <w:rFonts w:ascii="Trebuchet MS" w:hAnsi="Trebuchet MS"/>
                      <w:sz w:val="18"/>
                      <w:szCs w:val="18"/>
                    </w:rPr>
                  </w:pPr>
                  <w:r w:rsidRPr="001412DB">
                    <w:rPr>
                      <w:rFonts w:ascii="Trebuchet MS" w:hAnsi="Trebuchet MS"/>
                      <w:sz w:val="18"/>
                      <w:szCs w:val="18"/>
                    </w:rPr>
                    <w:t>Have you become an Investment entity?</w:t>
                  </w:r>
                </w:p>
              </w:txbxContent>
            </v:textbox>
          </v:shape>
        </w:pict>
      </w:r>
      <w:r>
        <w:rPr>
          <w:noProof/>
          <w:lang w:val="en-US"/>
        </w:rPr>
        <w:pict>
          <v:shape id="_x0000_s1065" type="#_x0000_t32" style="position:absolute;margin-left:63.6pt;margin-top:.75pt;width:.05pt;height:22.05pt;z-index:251662848" o:connectortype="straight"/>
        </w:pict>
      </w:r>
    </w:p>
    <w:p w:rsidR="00EE4004" w:rsidRDefault="00EE4004" w:rsidP="002F744F">
      <w:pPr>
        <w:pStyle w:val="NoSpacing"/>
      </w:pPr>
      <w:r>
        <w:rPr>
          <w:noProof/>
          <w:lang w:val="en-US"/>
        </w:rPr>
        <w:pict>
          <v:shape id="_x0000_s1066" type="#_x0000_t32" style="position:absolute;margin-left:339pt;margin-top:4.15pt;width:.05pt;height:162.75pt;z-index:251666944" o:connectortype="straight">
            <v:stroke endarrow="block"/>
          </v:shape>
        </w:pict>
      </w:r>
      <w:r>
        <w:rPr>
          <w:noProof/>
          <w:lang w:val="en-US"/>
        </w:rPr>
        <w:pict>
          <v:shape id="_x0000_s1067" type="#_x0000_t32" style="position:absolute;margin-left:-15.15pt;margin-top:10.15pt;width:0;height:33.75pt;z-index:251664896" o:connectortype="straight">
            <v:stroke endarrow="block"/>
          </v:shape>
        </w:pict>
      </w:r>
      <w:r>
        <w:rPr>
          <w:noProof/>
          <w:lang w:val="en-US"/>
        </w:rPr>
        <w:pict>
          <v:shape id="_x0000_s1068" type="#_x0000_t32" style="position:absolute;margin-left:-15.15pt;margin-top:10.15pt;width:270pt;height:0;z-index:251663872" o:connectortype="straight">
            <v:stroke endarrow="block"/>
          </v:shape>
        </w:pict>
      </w:r>
    </w:p>
    <w:p w:rsidR="00EE4004" w:rsidRDefault="00EE4004" w:rsidP="002F744F">
      <w:pPr>
        <w:pStyle w:val="NoSpacing"/>
      </w:pPr>
    </w:p>
    <w:p w:rsidR="00EE4004" w:rsidRDefault="00EE4004" w:rsidP="002F744F">
      <w:pPr>
        <w:pStyle w:val="NoSpacing"/>
      </w:pPr>
    </w:p>
    <w:p w:rsidR="00EE4004" w:rsidRDefault="00EE4004" w:rsidP="002F744F">
      <w:pPr>
        <w:pStyle w:val="NoSpacing"/>
      </w:pPr>
      <w:r>
        <w:rPr>
          <w:noProof/>
          <w:lang w:val="en-US"/>
        </w:rPr>
        <w:pict>
          <v:shape id="_x0000_s1069" type="#_x0000_t202" style="position:absolute;margin-left:-54.9pt;margin-top:5.95pt;width:124.5pt;height:30.45pt;z-index:251667968">
            <v:textbox style="mso-next-textbox:#_x0000_s1069">
              <w:txbxContent>
                <w:p w:rsidR="00EE4004" w:rsidRPr="001412DB" w:rsidRDefault="00EE4004" w:rsidP="001D0FB8">
                  <w:pPr>
                    <w:jc w:val="center"/>
                    <w:rPr>
                      <w:rFonts w:ascii="Trebuchet MS" w:hAnsi="Trebuchet MS"/>
                      <w:sz w:val="18"/>
                      <w:szCs w:val="18"/>
                    </w:rPr>
                  </w:pPr>
                  <w:r w:rsidRPr="001412DB">
                    <w:rPr>
                      <w:rFonts w:ascii="Trebuchet MS" w:hAnsi="Trebuchet MS"/>
                      <w:sz w:val="18"/>
                      <w:szCs w:val="18"/>
                    </w:rPr>
                    <w:t>Have you ceased to be an Investment entity?</w:t>
                  </w:r>
                </w:p>
              </w:txbxContent>
            </v:textbox>
          </v:shape>
        </w:pict>
      </w:r>
    </w:p>
    <w:p w:rsidR="00EE4004" w:rsidRDefault="00EE4004" w:rsidP="002F744F">
      <w:pPr>
        <w:pStyle w:val="NoSpacing"/>
      </w:pPr>
    </w:p>
    <w:p w:rsidR="00EE4004" w:rsidRDefault="00EE4004" w:rsidP="002F744F">
      <w:pPr>
        <w:pStyle w:val="NoSpacing"/>
      </w:pPr>
    </w:p>
    <w:p w:rsidR="00EE4004" w:rsidRDefault="00EE4004" w:rsidP="002F744F">
      <w:pPr>
        <w:pStyle w:val="NoSpacing"/>
      </w:pPr>
      <w:r>
        <w:rPr>
          <w:noProof/>
          <w:lang w:val="en-US"/>
        </w:rPr>
        <w:pict>
          <v:shape id="_x0000_s1070" type="#_x0000_t202" style="position:absolute;margin-left:-45.1pt;margin-top:3pt;width:89.95pt;height:33.75pt;z-index:251678208" filled="f" stroked="f">
            <v:textbox style="mso-next-textbox:#_x0000_s1070">
              <w:txbxContent>
                <w:p w:rsidR="00EE4004" w:rsidRPr="001D0FB8" w:rsidRDefault="00EE4004" w:rsidP="001D0FB8">
                  <w:pPr>
                    <w:rPr>
                      <w:rFonts w:ascii="Trebuchet MS" w:hAnsi="Trebuchet MS"/>
                      <w:i/>
                      <w:sz w:val="18"/>
                      <w:szCs w:val="18"/>
                    </w:rPr>
                  </w:pPr>
                  <w:r w:rsidRPr="001D0FB8">
                    <w:rPr>
                      <w:rFonts w:ascii="Trebuchet MS" w:hAnsi="Trebuchet MS"/>
                      <w:i/>
                      <w:sz w:val="18"/>
                      <w:szCs w:val="18"/>
                    </w:rPr>
                    <w:t>All subsidiaries are consolidated</w:t>
                  </w:r>
                </w:p>
              </w:txbxContent>
            </v:textbox>
          </v:shape>
        </w:pict>
      </w:r>
      <w:r>
        <w:rPr>
          <w:noProof/>
          <w:lang w:val="en-US"/>
        </w:rPr>
        <w:pict>
          <v:shape id="_x0000_s1071" type="#_x0000_t32" style="position:absolute;margin-left:44.85pt;margin-top:10.5pt;width:0;height:19.8pt;z-index:251672064" o:connectortype="straight">
            <v:stroke endarrow="block"/>
          </v:shape>
        </w:pict>
      </w:r>
    </w:p>
    <w:p w:rsidR="00EE4004" w:rsidRDefault="00EE4004" w:rsidP="002F744F">
      <w:pPr>
        <w:pStyle w:val="NoSpacing"/>
      </w:pPr>
    </w:p>
    <w:p w:rsidR="00EE4004" w:rsidRDefault="00EE4004" w:rsidP="002F744F">
      <w:pPr>
        <w:pStyle w:val="NoSpacing"/>
      </w:pPr>
      <w:r>
        <w:rPr>
          <w:noProof/>
          <w:lang w:val="en-US"/>
        </w:rPr>
        <w:pict>
          <v:shape id="_x0000_s1072" type="#_x0000_t202" style="position:absolute;margin-left:-54.9pt;margin-top:5pt;width:357pt;height:45.75pt;z-index:251668992">
            <v:textbox style="mso-next-textbox:#_x0000_s1072">
              <w:txbxContent>
                <w:p w:rsidR="00EE4004" w:rsidRPr="001D0FB8" w:rsidRDefault="00EE4004" w:rsidP="001D0FB8">
                  <w:pPr>
                    <w:spacing w:after="0"/>
                    <w:rPr>
                      <w:rFonts w:ascii="Trebuchet MS" w:hAnsi="Trebuchet MS"/>
                      <w:sz w:val="18"/>
                      <w:szCs w:val="18"/>
                    </w:rPr>
                  </w:pPr>
                  <w:r w:rsidRPr="001D0FB8">
                    <w:rPr>
                      <w:rFonts w:ascii="Trebuchet MS" w:hAnsi="Trebuchet MS"/>
                      <w:sz w:val="18"/>
                      <w:szCs w:val="18"/>
                    </w:rPr>
                    <w:t>For subsidiaries that had been measured at fair value through profit or loss:</w:t>
                  </w:r>
                </w:p>
                <w:p w:rsidR="00EE4004" w:rsidRPr="001D0FB8" w:rsidRDefault="00EE4004" w:rsidP="001D0FB8">
                  <w:pPr>
                    <w:pStyle w:val="ListParagraph"/>
                    <w:numPr>
                      <w:ilvl w:val="0"/>
                      <w:numId w:val="18"/>
                    </w:numPr>
                    <w:spacing w:after="0"/>
                    <w:ind w:left="360"/>
                    <w:rPr>
                      <w:rFonts w:ascii="Trebuchet MS" w:hAnsi="Trebuchet MS"/>
                      <w:sz w:val="18"/>
                      <w:szCs w:val="18"/>
                    </w:rPr>
                  </w:pPr>
                  <w:r w:rsidRPr="001D0FB8">
                    <w:rPr>
                      <w:rFonts w:ascii="Trebuchet MS" w:hAnsi="Trebuchet MS"/>
                      <w:sz w:val="18"/>
                      <w:szCs w:val="18"/>
                    </w:rPr>
                    <w:t>Apply acquisition method under IFRS 3</w:t>
                  </w:r>
                </w:p>
                <w:p w:rsidR="00EE4004" w:rsidRPr="001D0FB8" w:rsidRDefault="00EE4004" w:rsidP="001D0FB8">
                  <w:pPr>
                    <w:pStyle w:val="ListParagraph"/>
                    <w:numPr>
                      <w:ilvl w:val="0"/>
                      <w:numId w:val="18"/>
                    </w:numPr>
                    <w:spacing w:after="0"/>
                    <w:ind w:left="360"/>
                    <w:rPr>
                      <w:rFonts w:ascii="Trebuchet MS" w:hAnsi="Trebuchet MS"/>
                      <w:sz w:val="18"/>
                      <w:szCs w:val="18"/>
                    </w:rPr>
                  </w:pPr>
                  <w:r w:rsidRPr="001D0FB8">
                    <w:rPr>
                      <w:rFonts w:ascii="Trebuchet MS" w:hAnsi="Trebuchet MS"/>
                      <w:sz w:val="18"/>
                      <w:szCs w:val="18"/>
                    </w:rPr>
                    <w:t>Date of change in status shall be the deemed acquisition date</w:t>
                  </w:r>
                </w:p>
              </w:txbxContent>
            </v:textbox>
          </v:shape>
        </w:pict>
      </w:r>
    </w:p>
    <w:p w:rsidR="00EE4004" w:rsidRDefault="00EE4004" w:rsidP="002F744F">
      <w:pPr>
        <w:pStyle w:val="NoSpacing"/>
      </w:pPr>
    </w:p>
    <w:p w:rsidR="00EE4004" w:rsidRDefault="00EE4004" w:rsidP="002F744F">
      <w:pPr>
        <w:pStyle w:val="NoSpacing"/>
      </w:pPr>
    </w:p>
    <w:p w:rsidR="00EE4004" w:rsidRDefault="00EE4004" w:rsidP="002F744F">
      <w:pPr>
        <w:pStyle w:val="NoSpacing"/>
      </w:pPr>
    </w:p>
    <w:p w:rsidR="00EE4004" w:rsidRDefault="00EE4004" w:rsidP="002F744F">
      <w:pPr>
        <w:pStyle w:val="NoSpacing"/>
      </w:pPr>
    </w:p>
    <w:p w:rsidR="00EE4004" w:rsidRDefault="00EE4004" w:rsidP="002F744F">
      <w:pPr>
        <w:pStyle w:val="NoSpacing"/>
      </w:pPr>
      <w:r>
        <w:rPr>
          <w:noProof/>
          <w:lang w:val="en-US"/>
        </w:rPr>
        <w:pict>
          <v:shape id="_x0000_s1073" type="#_x0000_t202" style="position:absolute;margin-left:1.35pt;margin-top:2.5pt;width:483.75pt;height:155.25pt;z-index:251670016">
            <v:textbox style="mso-next-textbox:#_x0000_s1073">
              <w:txbxContent>
                <w:p w:rsidR="00EE4004" w:rsidRPr="001D0FB8" w:rsidRDefault="00EE4004" w:rsidP="001D0FB8">
                  <w:pPr>
                    <w:spacing w:after="0"/>
                    <w:rPr>
                      <w:rFonts w:ascii="Trebuchet MS" w:hAnsi="Trebuchet MS"/>
                      <w:sz w:val="18"/>
                      <w:szCs w:val="18"/>
                    </w:rPr>
                  </w:pPr>
                  <w:r w:rsidRPr="001D0FB8">
                    <w:rPr>
                      <w:rFonts w:ascii="Trebuchet MS" w:hAnsi="Trebuchet MS"/>
                      <w:sz w:val="18"/>
                      <w:szCs w:val="18"/>
                    </w:rPr>
                    <w:t>3 key elements to meet definition of Investment entity:</w:t>
                  </w:r>
                </w:p>
                <w:p w:rsidR="00EE4004" w:rsidRPr="001D0FB8" w:rsidRDefault="00EE4004" w:rsidP="001D0FB8">
                  <w:pPr>
                    <w:pStyle w:val="ListParagraph"/>
                    <w:numPr>
                      <w:ilvl w:val="0"/>
                      <w:numId w:val="19"/>
                    </w:numPr>
                    <w:spacing w:after="0"/>
                    <w:ind w:left="360"/>
                    <w:rPr>
                      <w:rFonts w:ascii="Trebuchet MS" w:hAnsi="Trebuchet MS"/>
                      <w:sz w:val="18"/>
                      <w:szCs w:val="18"/>
                    </w:rPr>
                  </w:pPr>
                  <w:r w:rsidRPr="001D0FB8">
                    <w:rPr>
                      <w:rFonts w:ascii="Trebuchet MS" w:hAnsi="Trebuchet MS"/>
                      <w:sz w:val="18"/>
                      <w:szCs w:val="18"/>
                    </w:rPr>
                    <w:t xml:space="preserve">Obtains funds from one or more investors for providing investment management services; </w:t>
                  </w:r>
                </w:p>
                <w:p w:rsidR="00EE4004" w:rsidRPr="001D0FB8" w:rsidRDefault="00EE4004" w:rsidP="001D0FB8">
                  <w:pPr>
                    <w:pStyle w:val="ListParagraph"/>
                    <w:numPr>
                      <w:ilvl w:val="0"/>
                      <w:numId w:val="19"/>
                    </w:numPr>
                    <w:spacing w:after="0"/>
                    <w:ind w:left="360"/>
                    <w:rPr>
                      <w:rFonts w:ascii="Trebuchet MS" w:hAnsi="Trebuchet MS"/>
                      <w:sz w:val="18"/>
                      <w:szCs w:val="18"/>
                    </w:rPr>
                  </w:pPr>
                  <w:r w:rsidRPr="001D0FB8">
                    <w:rPr>
                      <w:rFonts w:ascii="Trebuchet MS" w:hAnsi="Trebuchet MS"/>
                      <w:sz w:val="18"/>
                      <w:szCs w:val="18"/>
                    </w:rPr>
                    <w:t>Invests funds solely for capital appreciation and/or investment income and the IE has a documented exit strategy if the intention is to derive income through capital appreciation; and</w:t>
                  </w:r>
                </w:p>
                <w:p w:rsidR="00EE4004" w:rsidRPr="001D0FB8" w:rsidRDefault="00EE4004" w:rsidP="001D0FB8">
                  <w:pPr>
                    <w:pStyle w:val="ListParagraph"/>
                    <w:numPr>
                      <w:ilvl w:val="0"/>
                      <w:numId w:val="19"/>
                    </w:numPr>
                    <w:spacing w:after="0"/>
                    <w:ind w:left="360"/>
                    <w:rPr>
                      <w:rFonts w:ascii="Trebuchet MS" w:hAnsi="Trebuchet MS"/>
                      <w:sz w:val="18"/>
                      <w:szCs w:val="18"/>
                    </w:rPr>
                  </w:pPr>
                  <w:r w:rsidRPr="001D0FB8">
                    <w:rPr>
                      <w:rFonts w:ascii="Trebuchet MS" w:hAnsi="Trebuchet MS"/>
                      <w:sz w:val="18"/>
                      <w:szCs w:val="18"/>
                    </w:rPr>
                    <w:t xml:space="preserve">Measures and evaluates its investment performance at fair value.  </w:t>
                  </w:r>
                </w:p>
                <w:p w:rsidR="00EE4004" w:rsidRPr="001D0FB8" w:rsidRDefault="00EE4004" w:rsidP="001D0FB8">
                  <w:pPr>
                    <w:spacing w:after="0"/>
                    <w:rPr>
                      <w:rFonts w:ascii="Trebuchet MS" w:hAnsi="Trebuchet MS"/>
                      <w:sz w:val="18"/>
                      <w:szCs w:val="18"/>
                    </w:rPr>
                  </w:pPr>
                </w:p>
                <w:p w:rsidR="00EE4004" w:rsidRPr="001D0FB8" w:rsidRDefault="00EE4004" w:rsidP="001D0FB8">
                  <w:pPr>
                    <w:spacing w:after="0"/>
                    <w:rPr>
                      <w:rFonts w:ascii="Trebuchet MS" w:hAnsi="Trebuchet MS"/>
                      <w:sz w:val="18"/>
                      <w:szCs w:val="18"/>
                    </w:rPr>
                  </w:pPr>
                  <w:r w:rsidRPr="001D0FB8">
                    <w:rPr>
                      <w:rFonts w:ascii="Trebuchet MS" w:hAnsi="Trebuchet MS"/>
                      <w:sz w:val="18"/>
                      <w:szCs w:val="18"/>
                    </w:rPr>
                    <w:t xml:space="preserve">4 additional characteristics of Investment entity to be considered: </w:t>
                  </w:r>
                </w:p>
                <w:p w:rsidR="00EE4004" w:rsidRPr="001D0FB8" w:rsidRDefault="00EE4004" w:rsidP="001D0FB8">
                  <w:pPr>
                    <w:pStyle w:val="ListParagraph"/>
                    <w:numPr>
                      <w:ilvl w:val="0"/>
                      <w:numId w:val="20"/>
                    </w:numPr>
                    <w:spacing w:after="0"/>
                    <w:ind w:left="360"/>
                    <w:rPr>
                      <w:rFonts w:ascii="Trebuchet MS" w:hAnsi="Trebuchet MS"/>
                      <w:sz w:val="18"/>
                      <w:szCs w:val="18"/>
                    </w:rPr>
                  </w:pPr>
                  <w:r w:rsidRPr="001D0FB8">
                    <w:rPr>
                      <w:rFonts w:ascii="Trebuchet MS" w:hAnsi="Trebuchet MS"/>
                      <w:sz w:val="18"/>
                      <w:szCs w:val="18"/>
                    </w:rPr>
                    <w:t>Holding more than one Investment</w:t>
                  </w:r>
                </w:p>
                <w:p w:rsidR="00EE4004" w:rsidRPr="001D0FB8" w:rsidRDefault="00EE4004" w:rsidP="001D0FB8">
                  <w:pPr>
                    <w:pStyle w:val="ListParagraph"/>
                    <w:numPr>
                      <w:ilvl w:val="0"/>
                      <w:numId w:val="20"/>
                    </w:numPr>
                    <w:spacing w:after="0"/>
                    <w:ind w:left="360"/>
                    <w:rPr>
                      <w:rFonts w:ascii="Trebuchet MS" w:hAnsi="Trebuchet MS"/>
                      <w:sz w:val="18"/>
                      <w:szCs w:val="18"/>
                    </w:rPr>
                  </w:pPr>
                  <w:r w:rsidRPr="001D0FB8">
                    <w:rPr>
                      <w:rFonts w:ascii="Trebuchet MS" w:hAnsi="Trebuchet MS"/>
                      <w:sz w:val="18"/>
                      <w:szCs w:val="18"/>
                    </w:rPr>
                    <w:t>Having more than one Investor</w:t>
                  </w:r>
                </w:p>
                <w:p w:rsidR="00EE4004" w:rsidRPr="001D0FB8" w:rsidRDefault="00EE4004" w:rsidP="001D0FB8">
                  <w:pPr>
                    <w:pStyle w:val="ListParagraph"/>
                    <w:numPr>
                      <w:ilvl w:val="0"/>
                      <w:numId w:val="20"/>
                    </w:numPr>
                    <w:spacing w:after="0"/>
                    <w:ind w:left="360"/>
                    <w:rPr>
                      <w:rFonts w:ascii="Trebuchet MS" w:hAnsi="Trebuchet MS"/>
                      <w:sz w:val="18"/>
                      <w:szCs w:val="18"/>
                    </w:rPr>
                  </w:pPr>
                  <w:r w:rsidRPr="001D0FB8">
                    <w:rPr>
                      <w:rFonts w:ascii="Trebuchet MS" w:hAnsi="Trebuchet MS"/>
                      <w:sz w:val="18"/>
                      <w:szCs w:val="18"/>
                    </w:rPr>
                    <w:t>Having investors that are not the entity’s related parties</w:t>
                  </w:r>
                </w:p>
                <w:p w:rsidR="00EE4004" w:rsidRPr="001D0FB8" w:rsidRDefault="00EE4004" w:rsidP="001D0FB8">
                  <w:pPr>
                    <w:pStyle w:val="ListParagraph"/>
                    <w:numPr>
                      <w:ilvl w:val="0"/>
                      <w:numId w:val="20"/>
                    </w:numPr>
                    <w:spacing w:after="0"/>
                    <w:ind w:left="360"/>
                    <w:rPr>
                      <w:rFonts w:ascii="Trebuchet MS" w:hAnsi="Trebuchet MS"/>
                      <w:sz w:val="18"/>
                      <w:szCs w:val="18"/>
                    </w:rPr>
                  </w:pPr>
                  <w:r w:rsidRPr="001D0FB8">
                    <w:rPr>
                      <w:rFonts w:ascii="Trebuchet MS" w:hAnsi="Trebuchet MS"/>
                      <w:sz w:val="18"/>
                      <w:szCs w:val="18"/>
                    </w:rPr>
                    <w:t>Having ownership interest in the form of equity or similar interests</w:t>
                  </w:r>
                </w:p>
              </w:txbxContent>
            </v:textbox>
          </v:shape>
        </w:pict>
      </w:r>
    </w:p>
    <w:p w:rsidR="00EE4004" w:rsidRDefault="00EE4004" w:rsidP="002F744F">
      <w:pPr>
        <w:pStyle w:val="NoSpacing"/>
      </w:pPr>
    </w:p>
    <w:p w:rsidR="00EE4004" w:rsidRDefault="00EE4004" w:rsidP="002F744F">
      <w:pPr>
        <w:pStyle w:val="NoSpacing"/>
      </w:pPr>
    </w:p>
    <w:p w:rsidR="00EE4004" w:rsidRDefault="00EE4004" w:rsidP="002F744F">
      <w:pPr>
        <w:pStyle w:val="NoSpacing"/>
      </w:pPr>
    </w:p>
    <w:p w:rsidR="00EE4004" w:rsidRDefault="00EE4004" w:rsidP="002F744F">
      <w:pPr>
        <w:pStyle w:val="NoSpacing"/>
      </w:pPr>
    </w:p>
    <w:p w:rsidR="00EE4004" w:rsidRDefault="00EE4004" w:rsidP="002F744F">
      <w:pPr>
        <w:pStyle w:val="NoSpacing"/>
      </w:pPr>
    </w:p>
    <w:p w:rsidR="00EE4004" w:rsidRDefault="00EE4004" w:rsidP="002F744F">
      <w:pPr>
        <w:pStyle w:val="NoSpacing"/>
      </w:pPr>
    </w:p>
    <w:p w:rsidR="00EE4004" w:rsidRDefault="00EE4004" w:rsidP="002F744F">
      <w:pPr>
        <w:pStyle w:val="NoSpacing"/>
      </w:pPr>
    </w:p>
    <w:p w:rsidR="00EE4004" w:rsidRDefault="00EE4004" w:rsidP="002F744F">
      <w:pPr>
        <w:pStyle w:val="NoSpacing"/>
      </w:pPr>
    </w:p>
    <w:p w:rsidR="00EE4004" w:rsidRDefault="00EE4004" w:rsidP="002F744F">
      <w:pPr>
        <w:pStyle w:val="NoSpacing"/>
      </w:pPr>
    </w:p>
    <w:p w:rsidR="00EE4004" w:rsidRDefault="00EE4004" w:rsidP="002F744F">
      <w:pPr>
        <w:pStyle w:val="NoSpacing"/>
      </w:pPr>
    </w:p>
    <w:p w:rsidR="00EE4004" w:rsidRDefault="00EE4004" w:rsidP="002F744F">
      <w:pPr>
        <w:pStyle w:val="NoSpacing"/>
      </w:pPr>
    </w:p>
    <w:p w:rsidR="00EE4004" w:rsidRDefault="00EE4004" w:rsidP="002F744F">
      <w:pPr>
        <w:pStyle w:val="NoSpacing"/>
      </w:pPr>
      <w:r>
        <w:rPr>
          <w:noProof/>
          <w:lang w:val="en-US"/>
        </w:rPr>
        <w:pict>
          <v:shape id="_x0000_s1074" type="#_x0000_t202" style="position:absolute;margin-left:339.05pt;margin-top:9.7pt;width:33pt;height:21.75pt;z-index:251682304" filled="f" stroked="f">
            <v:textbox style="mso-next-textbox:#_x0000_s1074">
              <w:txbxContent>
                <w:p w:rsidR="00EE4004" w:rsidRPr="00E4537D" w:rsidRDefault="00EE4004" w:rsidP="001D0FB8">
                  <w:pPr>
                    <w:rPr>
                      <w:rFonts w:ascii="Trebuchet MS" w:hAnsi="Trebuchet MS"/>
                      <w:i/>
                      <w:sz w:val="20"/>
                    </w:rPr>
                  </w:pPr>
                  <w:r w:rsidRPr="00E4537D">
                    <w:rPr>
                      <w:rFonts w:ascii="Trebuchet MS" w:hAnsi="Trebuchet MS"/>
                      <w:i/>
                      <w:sz w:val="20"/>
                    </w:rPr>
                    <w:t>Yes</w:t>
                  </w:r>
                </w:p>
              </w:txbxContent>
            </v:textbox>
          </v:shape>
        </w:pict>
      </w:r>
      <w:r>
        <w:rPr>
          <w:noProof/>
          <w:lang w:val="en-US"/>
        </w:rPr>
        <w:pict>
          <v:shape id="_x0000_s1075" type="#_x0000_t32" style="position:absolute;margin-left:330.8pt;margin-top:5.95pt;width:0;height:21.75pt;z-index:251673088" o:connectortype="straight">
            <v:stroke endarrow="block"/>
          </v:shape>
        </w:pict>
      </w:r>
    </w:p>
    <w:p w:rsidR="00EE4004" w:rsidRDefault="00EE4004" w:rsidP="002F744F">
      <w:pPr>
        <w:pStyle w:val="NoSpacing"/>
      </w:pPr>
    </w:p>
    <w:p w:rsidR="00EE4004" w:rsidRDefault="00EE4004" w:rsidP="002F744F">
      <w:pPr>
        <w:pStyle w:val="NoSpacing"/>
      </w:pPr>
      <w:r>
        <w:rPr>
          <w:noProof/>
          <w:lang w:val="en-US"/>
        </w:rPr>
        <w:pict>
          <v:shape id="_x0000_s1076" type="#_x0000_t202" style="position:absolute;margin-left:102.6pt;margin-top:2.4pt;width:396pt;height:117pt;z-index:251671040">
            <v:textbox style="mso-next-textbox:#_x0000_s1076">
              <w:txbxContent>
                <w:p w:rsidR="00EE4004" w:rsidRPr="001D0FB8" w:rsidRDefault="00EE4004" w:rsidP="001D0FB8">
                  <w:pPr>
                    <w:pStyle w:val="ListParagraph"/>
                    <w:numPr>
                      <w:ilvl w:val="0"/>
                      <w:numId w:val="21"/>
                    </w:numPr>
                    <w:spacing w:after="0"/>
                    <w:ind w:left="360"/>
                    <w:rPr>
                      <w:rFonts w:ascii="Trebuchet MS" w:hAnsi="Trebuchet MS"/>
                      <w:sz w:val="18"/>
                      <w:szCs w:val="18"/>
                    </w:rPr>
                  </w:pPr>
                  <w:r w:rsidRPr="001D0FB8">
                    <w:rPr>
                      <w:rFonts w:ascii="Trebuchet MS" w:hAnsi="Trebuchet MS"/>
                      <w:sz w:val="18"/>
                      <w:szCs w:val="18"/>
                    </w:rPr>
                    <w:t>Change in status is accounted for as deemed disposal of subsidiaries at the date of change in status</w:t>
                  </w:r>
                </w:p>
                <w:p w:rsidR="00EE4004" w:rsidRPr="001D0FB8" w:rsidRDefault="00EE4004" w:rsidP="001D0FB8">
                  <w:pPr>
                    <w:pStyle w:val="ListParagraph"/>
                    <w:numPr>
                      <w:ilvl w:val="0"/>
                      <w:numId w:val="21"/>
                    </w:numPr>
                    <w:spacing w:after="0"/>
                    <w:ind w:left="360"/>
                    <w:rPr>
                      <w:rFonts w:ascii="Trebuchet MS" w:hAnsi="Trebuchet MS"/>
                      <w:sz w:val="18"/>
                      <w:szCs w:val="18"/>
                    </w:rPr>
                  </w:pPr>
                  <w:r w:rsidRPr="001D0FB8">
                    <w:rPr>
                      <w:rFonts w:ascii="Trebuchet MS" w:hAnsi="Trebuchet MS"/>
                      <w:sz w:val="18"/>
                      <w:szCs w:val="18"/>
                    </w:rPr>
                    <w:t>Derecognise assets and liabilities of the unconsolidated subsidiaries</w:t>
                  </w:r>
                </w:p>
                <w:p w:rsidR="00EE4004" w:rsidRPr="001D0FB8" w:rsidRDefault="00EE4004" w:rsidP="001D0FB8">
                  <w:pPr>
                    <w:pStyle w:val="ListParagraph"/>
                    <w:numPr>
                      <w:ilvl w:val="0"/>
                      <w:numId w:val="21"/>
                    </w:numPr>
                    <w:spacing w:after="0"/>
                    <w:ind w:left="360"/>
                    <w:rPr>
                      <w:rFonts w:ascii="Trebuchet MS" w:hAnsi="Trebuchet MS"/>
                      <w:sz w:val="18"/>
                      <w:szCs w:val="18"/>
                    </w:rPr>
                  </w:pPr>
                  <w:r w:rsidRPr="001D0FB8">
                    <w:rPr>
                      <w:rFonts w:ascii="Trebuchet MS" w:hAnsi="Trebuchet MS"/>
                      <w:sz w:val="18"/>
                      <w:szCs w:val="18"/>
                    </w:rPr>
                    <w:t>Determine fair value of subsidiaries at the date of change in status and measure the investments at fair value through profit or loss in line with IAS 39/IFRS 9</w:t>
                  </w:r>
                </w:p>
                <w:p w:rsidR="00EE4004" w:rsidRPr="001D0FB8" w:rsidRDefault="00EE4004" w:rsidP="001D0FB8">
                  <w:pPr>
                    <w:pStyle w:val="ListParagraph"/>
                    <w:numPr>
                      <w:ilvl w:val="0"/>
                      <w:numId w:val="21"/>
                    </w:numPr>
                    <w:spacing w:after="0"/>
                    <w:ind w:left="360"/>
                    <w:rPr>
                      <w:rFonts w:ascii="Trebuchet MS" w:hAnsi="Trebuchet MS"/>
                      <w:sz w:val="18"/>
                      <w:szCs w:val="18"/>
                    </w:rPr>
                  </w:pPr>
                  <w:r w:rsidRPr="001D0FB8">
                    <w:rPr>
                      <w:rFonts w:ascii="Trebuchet MS" w:hAnsi="Trebuchet MS"/>
                      <w:sz w:val="18"/>
                      <w:szCs w:val="18"/>
                    </w:rPr>
                    <w:t>Difference between the previous carrying amount of the subsidiaries and their fair value to be recognised as a gain or loss in profit or loss</w:t>
                  </w:r>
                </w:p>
                <w:p w:rsidR="00EE4004" w:rsidRPr="001D0FB8" w:rsidRDefault="00EE4004" w:rsidP="001D0FB8">
                  <w:pPr>
                    <w:pStyle w:val="ListParagraph"/>
                    <w:numPr>
                      <w:ilvl w:val="0"/>
                      <w:numId w:val="21"/>
                    </w:numPr>
                    <w:spacing w:after="0"/>
                    <w:ind w:left="360"/>
                    <w:rPr>
                      <w:rFonts w:ascii="Trebuchet MS" w:hAnsi="Trebuchet MS"/>
                      <w:sz w:val="18"/>
                      <w:szCs w:val="18"/>
                    </w:rPr>
                  </w:pPr>
                  <w:r w:rsidRPr="001D0FB8">
                    <w:rPr>
                      <w:rFonts w:ascii="Trebuchet MS" w:hAnsi="Trebuchet MS"/>
                      <w:sz w:val="18"/>
                      <w:szCs w:val="18"/>
                    </w:rPr>
                    <w:t>Disclosure requirement in accordance with IFRS 12 para 19A to 19G</w:t>
                  </w:r>
                </w:p>
              </w:txbxContent>
            </v:textbox>
          </v:shape>
        </w:pict>
      </w:r>
    </w:p>
    <w:p w:rsidR="00EE4004" w:rsidRDefault="00EE4004" w:rsidP="002F744F">
      <w:pPr>
        <w:pStyle w:val="NoSpacing"/>
      </w:pPr>
    </w:p>
    <w:p w:rsidR="00EE4004" w:rsidRDefault="00EE4004" w:rsidP="002F744F">
      <w:pPr>
        <w:pStyle w:val="NoSpacing"/>
      </w:pPr>
    </w:p>
    <w:p w:rsidR="00EE4004" w:rsidRDefault="00EE4004" w:rsidP="002F744F">
      <w:pPr>
        <w:pStyle w:val="NoSpacing"/>
      </w:pPr>
    </w:p>
    <w:p w:rsidR="00EE4004" w:rsidRDefault="00EE4004" w:rsidP="002F744F">
      <w:pPr>
        <w:pStyle w:val="NoSpacing"/>
      </w:pPr>
    </w:p>
    <w:p w:rsidR="00EE4004" w:rsidRDefault="00EE4004" w:rsidP="002F744F">
      <w:pPr>
        <w:pStyle w:val="NoSpacing"/>
      </w:pPr>
    </w:p>
    <w:sectPr w:rsidR="00EE4004" w:rsidSect="008A74F7">
      <w:pgSz w:w="11906" w:h="16838"/>
      <w:pgMar w:top="851" w:right="1440" w:bottom="1276"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4004" w:rsidRDefault="00EE4004" w:rsidP="002F744F">
      <w:pPr>
        <w:spacing w:after="0" w:line="240" w:lineRule="auto"/>
      </w:pPr>
      <w:r>
        <w:separator/>
      </w:r>
    </w:p>
  </w:endnote>
  <w:endnote w:type="continuationSeparator" w:id="0">
    <w:p w:rsidR="00EE4004" w:rsidRDefault="00EE4004" w:rsidP="002F74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EYInterstate-Regular">
    <w:panose1 w:val="00000000000000000000"/>
    <w:charset w:val="00"/>
    <w:family w:val="swiss"/>
    <w:notTrueType/>
    <w:pitch w:val="default"/>
    <w:sig w:usb0="00000003" w:usb1="00000000" w:usb2="00000000" w:usb3="00000000" w:csb0="00000001" w:csb1="00000000"/>
  </w:font>
  <w:font w:name="EYInterstate-Light">
    <w:panose1 w:val="00000000000000000000"/>
    <w:charset w:val="00"/>
    <w:family w:val="swiss"/>
    <w:notTrueType/>
    <w:pitch w:val="default"/>
    <w:sig w:usb0="00000003" w:usb1="00000000" w:usb2="00000000" w:usb3="00000000" w:csb0="00000001" w:csb1="00000000"/>
  </w:font>
  <w:font w:name="EYInterstate-Bold">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004" w:rsidRDefault="00EE4004">
    <w:pPr>
      <w:pStyle w:val="Footer"/>
      <w:jc w:val="center"/>
    </w:pPr>
  </w:p>
  <w:p w:rsidR="00EE4004" w:rsidRDefault="00EE4004">
    <w:pPr>
      <w:pStyle w:val="Footer"/>
      <w:jc w:val="center"/>
    </w:pPr>
    <w:fldSimple w:instr=" PAGE    \* MERGEFORMAT ">
      <w:r>
        <w:rPr>
          <w:noProof/>
        </w:rPr>
        <w:t>2</w:t>
      </w:r>
    </w:fldSimple>
  </w:p>
  <w:p w:rsidR="00EE4004" w:rsidRDefault="00EE4004" w:rsidP="002F744F">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4004" w:rsidRDefault="00EE4004" w:rsidP="002F744F">
      <w:pPr>
        <w:spacing w:after="0" w:line="240" w:lineRule="auto"/>
      </w:pPr>
      <w:r>
        <w:separator/>
      </w:r>
    </w:p>
  </w:footnote>
  <w:footnote w:type="continuationSeparator" w:id="0">
    <w:p w:rsidR="00EE4004" w:rsidRDefault="00EE4004" w:rsidP="002F744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433B5"/>
    <w:multiLevelType w:val="hybridMultilevel"/>
    <w:tmpl w:val="D20499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DE66BBC"/>
    <w:multiLevelType w:val="hybridMultilevel"/>
    <w:tmpl w:val="A78A0C7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2">
    <w:nsid w:val="150B68B9"/>
    <w:multiLevelType w:val="hybridMultilevel"/>
    <w:tmpl w:val="1DE2D000"/>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5767CC4"/>
    <w:multiLevelType w:val="hybridMultilevel"/>
    <w:tmpl w:val="5866B70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4">
    <w:nsid w:val="17FE1575"/>
    <w:multiLevelType w:val="hybridMultilevel"/>
    <w:tmpl w:val="CCD6EC2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9587E97"/>
    <w:multiLevelType w:val="hybridMultilevel"/>
    <w:tmpl w:val="6F349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B82BC6"/>
    <w:multiLevelType w:val="hybridMultilevel"/>
    <w:tmpl w:val="4C444CDE"/>
    <w:lvl w:ilvl="0" w:tplc="1268676E">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25392E9A"/>
    <w:multiLevelType w:val="hybridMultilevel"/>
    <w:tmpl w:val="62DAA5C6"/>
    <w:lvl w:ilvl="0" w:tplc="7564DC06">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29320DE7"/>
    <w:multiLevelType w:val="hybridMultilevel"/>
    <w:tmpl w:val="CBF61C1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BB7371B"/>
    <w:multiLevelType w:val="hybridMultilevel"/>
    <w:tmpl w:val="7C3EE826"/>
    <w:lvl w:ilvl="0" w:tplc="0409001B">
      <w:start w:val="1"/>
      <w:numFmt w:val="lowerRoman"/>
      <w:lvlText w:val="%1."/>
      <w:lvlJc w:val="right"/>
      <w:pPr>
        <w:ind w:left="360" w:hanging="360"/>
      </w:pPr>
      <w:rPr>
        <w:rFonts w:cs="Times New Roman"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D8346B9"/>
    <w:multiLevelType w:val="hybridMultilevel"/>
    <w:tmpl w:val="C2780972"/>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36214127"/>
    <w:multiLevelType w:val="hybridMultilevel"/>
    <w:tmpl w:val="C1A429F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40094EF9"/>
    <w:multiLevelType w:val="hybridMultilevel"/>
    <w:tmpl w:val="B4106324"/>
    <w:lvl w:ilvl="0" w:tplc="04090015">
      <w:start w:val="1"/>
      <w:numFmt w:val="upperLetter"/>
      <w:lvlText w:val="%1."/>
      <w:lvlJc w:val="left"/>
      <w:pPr>
        <w:ind w:left="360" w:hanging="360"/>
      </w:pPr>
      <w:rPr>
        <w:rFonts w:cs="Times New Roman"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A3942B6"/>
    <w:multiLevelType w:val="hybridMultilevel"/>
    <w:tmpl w:val="9E0CCEC0"/>
    <w:lvl w:ilvl="0" w:tplc="4D0EA222">
      <w:start w:val="1"/>
      <w:numFmt w:val="upperLetter"/>
      <w:lvlText w:val="%1."/>
      <w:lvlJc w:val="left"/>
      <w:pPr>
        <w:ind w:left="720" w:hanging="360"/>
      </w:pPr>
      <w:rPr>
        <w:rFonts w:cs="Times New Roman" w:hint="default"/>
        <w:b/>
        <w:sz w:val="2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4CF515E1"/>
    <w:multiLevelType w:val="multilevel"/>
    <w:tmpl w:val="310AA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2A372ED"/>
    <w:multiLevelType w:val="hybridMultilevel"/>
    <w:tmpl w:val="1DE2D000"/>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597F1901"/>
    <w:multiLevelType w:val="hybridMultilevel"/>
    <w:tmpl w:val="CE04EA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5DEE42E0"/>
    <w:multiLevelType w:val="hybridMultilevel"/>
    <w:tmpl w:val="BDFADA5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6FE43DE4"/>
    <w:multiLevelType w:val="hybridMultilevel"/>
    <w:tmpl w:val="74E4C082"/>
    <w:lvl w:ilvl="0" w:tplc="19B4784C">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nsid w:val="6FFC5E6E"/>
    <w:multiLevelType w:val="hybridMultilevel"/>
    <w:tmpl w:val="DE7493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74A52307"/>
    <w:multiLevelType w:val="hybridMultilevel"/>
    <w:tmpl w:val="5880B202"/>
    <w:lvl w:ilvl="0" w:tplc="F32A3A28">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4"/>
  </w:num>
  <w:num w:numId="2">
    <w:abstractNumId w:val="0"/>
  </w:num>
  <w:num w:numId="3">
    <w:abstractNumId w:val="3"/>
  </w:num>
  <w:num w:numId="4">
    <w:abstractNumId w:val="1"/>
  </w:num>
  <w:num w:numId="5">
    <w:abstractNumId w:val="5"/>
  </w:num>
  <w:num w:numId="6">
    <w:abstractNumId w:val="19"/>
  </w:num>
  <w:num w:numId="7">
    <w:abstractNumId w:val="16"/>
  </w:num>
  <w:num w:numId="8">
    <w:abstractNumId w:val="17"/>
  </w:num>
  <w:num w:numId="9">
    <w:abstractNumId w:val="2"/>
  </w:num>
  <w:num w:numId="10">
    <w:abstractNumId w:val="4"/>
  </w:num>
  <w:num w:numId="11">
    <w:abstractNumId w:val="11"/>
  </w:num>
  <w:num w:numId="12">
    <w:abstractNumId w:val="15"/>
  </w:num>
  <w:num w:numId="13">
    <w:abstractNumId w:val="12"/>
  </w:num>
  <w:num w:numId="14">
    <w:abstractNumId w:val="9"/>
  </w:num>
  <w:num w:numId="15">
    <w:abstractNumId w:val="13"/>
  </w:num>
  <w:num w:numId="16">
    <w:abstractNumId w:val="10"/>
  </w:num>
  <w:num w:numId="17">
    <w:abstractNumId w:val="8"/>
  </w:num>
  <w:num w:numId="18">
    <w:abstractNumId w:val="20"/>
  </w:num>
  <w:num w:numId="19">
    <w:abstractNumId w:val="18"/>
  </w:num>
  <w:num w:numId="20">
    <w:abstractNumId w:val="7"/>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0313F"/>
    <w:rsid w:val="00037C6C"/>
    <w:rsid w:val="000D323D"/>
    <w:rsid w:val="00113F43"/>
    <w:rsid w:val="001269D9"/>
    <w:rsid w:val="00130705"/>
    <w:rsid w:val="001412DB"/>
    <w:rsid w:val="0016442A"/>
    <w:rsid w:val="00196FB6"/>
    <w:rsid w:val="001D0FB8"/>
    <w:rsid w:val="002322BC"/>
    <w:rsid w:val="00236CFD"/>
    <w:rsid w:val="002A3413"/>
    <w:rsid w:val="002D1F6F"/>
    <w:rsid w:val="002D793E"/>
    <w:rsid w:val="002F744F"/>
    <w:rsid w:val="00354A22"/>
    <w:rsid w:val="00420E30"/>
    <w:rsid w:val="00457A3E"/>
    <w:rsid w:val="00460472"/>
    <w:rsid w:val="004740EB"/>
    <w:rsid w:val="004918DE"/>
    <w:rsid w:val="004D1CA2"/>
    <w:rsid w:val="00571FC5"/>
    <w:rsid w:val="0057337E"/>
    <w:rsid w:val="005A34F3"/>
    <w:rsid w:val="005B1AE3"/>
    <w:rsid w:val="00600B7E"/>
    <w:rsid w:val="00620964"/>
    <w:rsid w:val="00636FE0"/>
    <w:rsid w:val="00642210"/>
    <w:rsid w:val="00663833"/>
    <w:rsid w:val="00671A91"/>
    <w:rsid w:val="00673257"/>
    <w:rsid w:val="006A010B"/>
    <w:rsid w:val="006A65A8"/>
    <w:rsid w:val="006C1403"/>
    <w:rsid w:val="006C1D1B"/>
    <w:rsid w:val="006C7AB1"/>
    <w:rsid w:val="006E00EC"/>
    <w:rsid w:val="0079447F"/>
    <w:rsid w:val="007B70ED"/>
    <w:rsid w:val="008004F5"/>
    <w:rsid w:val="0080313F"/>
    <w:rsid w:val="00834EF2"/>
    <w:rsid w:val="00844878"/>
    <w:rsid w:val="00895EFF"/>
    <w:rsid w:val="008A74F7"/>
    <w:rsid w:val="008F17C2"/>
    <w:rsid w:val="008F490A"/>
    <w:rsid w:val="00967D49"/>
    <w:rsid w:val="00972F54"/>
    <w:rsid w:val="009B5667"/>
    <w:rsid w:val="00A234B8"/>
    <w:rsid w:val="00A35BFD"/>
    <w:rsid w:val="00A93616"/>
    <w:rsid w:val="00AD7C6B"/>
    <w:rsid w:val="00AE3C1B"/>
    <w:rsid w:val="00B60C0C"/>
    <w:rsid w:val="00B75AA6"/>
    <w:rsid w:val="00B75B51"/>
    <w:rsid w:val="00B9309D"/>
    <w:rsid w:val="00BB2A4A"/>
    <w:rsid w:val="00BB4751"/>
    <w:rsid w:val="00BC1673"/>
    <w:rsid w:val="00BE50F9"/>
    <w:rsid w:val="00BF4868"/>
    <w:rsid w:val="00C230C2"/>
    <w:rsid w:val="00C366DF"/>
    <w:rsid w:val="00C44117"/>
    <w:rsid w:val="00C45F98"/>
    <w:rsid w:val="00CA584C"/>
    <w:rsid w:val="00D00904"/>
    <w:rsid w:val="00D32D84"/>
    <w:rsid w:val="00D468EA"/>
    <w:rsid w:val="00D645A1"/>
    <w:rsid w:val="00D666E9"/>
    <w:rsid w:val="00D979F8"/>
    <w:rsid w:val="00DA7F3F"/>
    <w:rsid w:val="00DB3AE3"/>
    <w:rsid w:val="00DB5E98"/>
    <w:rsid w:val="00DB7FCF"/>
    <w:rsid w:val="00DE1407"/>
    <w:rsid w:val="00DE4C91"/>
    <w:rsid w:val="00DE674B"/>
    <w:rsid w:val="00E04674"/>
    <w:rsid w:val="00E1248F"/>
    <w:rsid w:val="00E4537D"/>
    <w:rsid w:val="00E70E13"/>
    <w:rsid w:val="00E7565F"/>
    <w:rsid w:val="00EE4004"/>
    <w:rsid w:val="00EE7A90"/>
    <w:rsid w:val="00EF5945"/>
    <w:rsid w:val="00F109E2"/>
    <w:rsid w:val="00F33793"/>
    <w:rsid w:val="00F773A6"/>
    <w:rsid w:val="00F91E8F"/>
    <w:rsid w:val="00FD6A2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460472"/>
    <w:pPr>
      <w:spacing w:after="200" w:line="276" w:lineRule="auto"/>
    </w:pPr>
    <w:rPr>
      <w:szCs w:val="20"/>
      <w:lang w:val="en-GB"/>
    </w:rPr>
  </w:style>
  <w:style w:type="paragraph" w:styleId="Heading1">
    <w:name w:val="heading 1"/>
    <w:basedOn w:val="Normal"/>
    <w:next w:val="Normal"/>
    <w:link w:val="Heading1Char"/>
    <w:uiPriority w:val="99"/>
    <w:qFormat/>
    <w:rsid w:val="002F744F"/>
    <w:pPr>
      <w:keepNext/>
      <w:keepLines/>
      <w:spacing w:before="480" w:after="0"/>
      <w:outlineLvl w:val="0"/>
    </w:pPr>
    <w:rPr>
      <w:rFonts w:ascii="Cambria" w:eastAsia="Times New Roman" w:hAnsi="Cambria"/>
      <w:b/>
      <w:bCs/>
      <w:color w:val="365F91"/>
      <w:sz w:val="28"/>
      <w:szCs w:val="28"/>
      <w:lang w:val="en-US"/>
    </w:rPr>
  </w:style>
  <w:style w:type="paragraph" w:styleId="Heading2">
    <w:name w:val="heading 2"/>
    <w:basedOn w:val="Normal"/>
    <w:next w:val="Normal"/>
    <w:link w:val="Heading2Char"/>
    <w:uiPriority w:val="99"/>
    <w:qFormat/>
    <w:rsid w:val="002F744F"/>
    <w:pPr>
      <w:keepNext/>
      <w:keepLines/>
      <w:spacing w:before="200" w:after="0"/>
      <w:outlineLvl w:val="1"/>
    </w:pPr>
    <w:rPr>
      <w:rFonts w:ascii="Cambria" w:eastAsia="Times New Roman" w:hAnsi="Cambria"/>
      <w:b/>
      <w:bCs/>
      <w:color w:val="4F81BD"/>
      <w:sz w:val="26"/>
      <w:szCs w:val="26"/>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F744F"/>
    <w:rPr>
      <w:rFonts w:ascii="Cambria" w:hAnsi="Cambria" w:cs="Times New Roman"/>
      <w:b/>
      <w:bCs/>
      <w:color w:val="365F91"/>
      <w:sz w:val="28"/>
      <w:szCs w:val="28"/>
      <w:lang w:val="en-US"/>
    </w:rPr>
  </w:style>
  <w:style w:type="character" w:customStyle="1" w:styleId="Heading2Char">
    <w:name w:val="Heading 2 Char"/>
    <w:basedOn w:val="DefaultParagraphFont"/>
    <w:link w:val="Heading2"/>
    <w:uiPriority w:val="99"/>
    <w:locked/>
    <w:rsid w:val="002F744F"/>
    <w:rPr>
      <w:rFonts w:ascii="Cambria" w:hAnsi="Cambria" w:cs="Times New Roman"/>
      <w:b/>
      <w:bCs/>
      <w:color w:val="4F81BD"/>
      <w:sz w:val="26"/>
      <w:szCs w:val="26"/>
      <w:lang w:val="en-US"/>
    </w:rPr>
  </w:style>
  <w:style w:type="character" w:customStyle="1" w:styleId="ministrydescription">
    <w:name w:val="ministrydescription"/>
    <w:basedOn w:val="DefaultParagraphFont"/>
    <w:uiPriority w:val="99"/>
    <w:rsid w:val="0080313F"/>
    <w:rPr>
      <w:rFonts w:cs="Times New Roman"/>
    </w:rPr>
  </w:style>
  <w:style w:type="paragraph" w:styleId="BalloonText">
    <w:name w:val="Balloon Text"/>
    <w:basedOn w:val="Normal"/>
    <w:link w:val="BalloonTextChar"/>
    <w:uiPriority w:val="99"/>
    <w:semiHidden/>
    <w:rsid w:val="008031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0313F"/>
    <w:rPr>
      <w:rFonts w:ascii="Tahoma" w:hAnsi="Tahoma" w:cs="Tahoma"/>
      <w:sz w:val="16"/>
      <w:szCs w:val="16"/>
    </w:rPr>
  </w:style>
  <w:style w:type="character" w:styleId="Strong">
    <w:name w:val="Strong"/>
    <w:basedOn w:val="DefaultParagraphFont"/>
    <w:uiPriority w:val="99"/>
    <w:qFormat/>
    <w:rsid w:val="008F490A"/>
    <w:rPr>
      <w:rFonts w:cs="Times New Roman"/>
      <w:b/>
      <w:bCs/>
    </w:rPr>
  </w:style>
  <w:style w:type="table" w:styleId="TableGrid">
    <w:name w:val="Table Grid"/>
    <w:basedOn w:val="TableNormal"/>
    <w:uiPriority w:val="99"/>
    <w:rsid w:val="008F490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571FC5"/>
    <w:rPr>
      <w:szCs w:val="20"/>
      <w:lang w:val="en-GB"/>
    </w:rPr>
  </w:style>
  <w:style w:type="paragraph" w:styleId="TOCHeading">
    <w:name w:val="TOC Heading"/>
    <w:basedOn w:val="Heading1"/>
    <w:next w:val="Normal"/>
    <w:uiPriority w:val="99"/>
    <w:qFormat/>
    <w:rsid w:val="002F744F"/>
    <w:pPr>
      <w:outlineLvl w:val="9"/>
    </w:pPr>
  </w:style>
  <w:style w:type="paragraph" w:styleId="TOC1">
    <w:name w:val="toc 1"/>
    <w:basedOn w:val="Normal"/>
    <w:next w:val="Normal"/>
    <w:autoRedefine/>
    <w:uiPriority w:val="99"/>
    <w:rsid w:val="00600B7E"/>
    <w:pPr>
      <w:tabs>
        <w:tab w:val="right" w:leader="dot" w:pos="9016"/>
      </w:tabs>
      <w:spacing w:after="100"/>
    </w:pPr>
    <w:rPr>
      <w:noProof/>
      <w:sz w:val="24"/>
      <w:szCs w:val="24"/>
      <w:lang w:eastAsia="en-GB"/>
    </w:rPr>
  </w:style>
  <w:style w:type="character" w:styleId="Hyperlink">
    <w:name w:val="Hyperlink"/>
    <w:basedOn w:val="DefaultParagraphFont"/>
    <w:uiPriority w:val="99"/>
    <w:rsid w:val="002F744F"/>
    <w:rPr>
      <w:rFonts w:cs="Times New Roman"/>
      <w:color w:val="0000FF"/>
      <w:u w:val="single"/>
    </w:rPr>
  </w:style>
  <w:style w:type="paragraph" w:styleId="ListParagraph">
    <w:name w:val="List Paragraph"/>
    <w:basedOn w:val="Normal"/>
    <w:uiPriority w:val="99"/>
    <w:qFormat/>
    <w:rsid w:val="002F744F"/>
    <w:pPr>
      <w:ind w:left="720"/>
      <w:contextualSpacing/>
    </w:pPr>
    <w:rPr>
      <w:b/>
    </w:rPr>
  </w:style>
  <w:style w:type="paragraph" w:styleId="TOC2">
    <w:name w:val="toc 2"/>
    <w:basedOn w:val="Normal"/>
    <w:next w:val="Normal"/>
    <w:autoRedefine/>
    <w:uiPriority w:val="99"/>
    <w:rsid w:val="002F744F"/>
    <w:pPr>
      <w:spacing w:after="100"/>
      <w:ind w:left="220"/>
    </w:pPr>
    <w:rPr>
      <w:rFonts w:ascii="Calibri" w:hAnsi="Calibri"/>
      <w:szCs w:val="22"/>
      <w:lang w:val="en-US"/>
    </w:rPr>
  </w:style>
  <w:style w:type="paragraph" w:styleId="Header">
    <w:name w:val="header"/>
    <w:basedOn w:val="Normal"/>
    <w:link w:val="HeaderChar"/>
    <w:uiPriority w:val="99"/>
    <w:rsid w:val="002F744F"/>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2F744F"/>
    <w:rPr>
      <w:rFonts w:cs="Times New Roman"/>
    </w:rPr>
  </w:style>
  <w:style w:type="paragraph" w:styleId="Footer">
    <w:name w:val="footer"/>
    <w:basedOn w:val="Normal"/>
    <w:link w:val="FooterChar"/>
    <w:uiPriority w:val="99"/>
    <w:rsid w:val="002F744F"/>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2F744F"/>
    <w:rPr>
      <w:rFonts w:cs="Times New Roman"/>
    </w:rPr>
  </w:style>
  <w:style w:type="paragraph" w:customStyle="1" w:styleId="Default">
    <w:name w:val="Default"/>
    <w:uiPriority w:val="99"/>
    <w:rsid w:val="00C366DF"/>
    <w:pPr>
      <w:autoSpaceDE w:val="0"/>
      <w:autoSpaceDN w:val="0"/>
      <w:adjustRightInd w:val="0"/>
    </w:pPr>
    <w:rPr>
      <w:color w:val="000000"/>
      <w:sz w:val="24"/>
      <w:szCs w:val="24"/>
    </w:rPr>
  </w:style>
  <w:style w:type="table" w:styleId="LightList">
    <w:name w:val="Light List"/>
    <w:basedOn w:val="TableNormal"/>
    <w:uiPriority w:val="99"/>
    <w:rsid w:val="00DE1407"/>
    <w:rPr>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paragraph" w:styleId="NormalWeb">
    <w:name w:val="Normal (Web)"/>
    <w:basedOn w:val="Normal"/>
    <w:uiPriority w:val="99"/>
    <w:semiHidden/>
    <w:rsid w:val="00620964"/>
    <w:rPr>
      <w:sz w:val="24"/>
      <w:szCs w:val="24"/>
    </w:rPr>
  </w:style>
  <w:style w:type="character" w:styleId="CommentReference">
    <w:name w:val="annotation reference"/>
    <w:basedOn w:val="DefaultParagraphFont"/>
    <w:uiPriority w:val="99"/>
    <w:semiHidden/>
    <w:rsid w:val="00C44117"/>
    <w:rPr>
      <w:rFonts w:cs="Times New Roman"/>
      <w:sz w:val="16"/>
      <w:szCs w:val="16"/>
    </w:rPr>
  </w:style>
  <w:style w:type="paragraph" w:styleId="CommentText">
    <w:name w:val="annotation text"/>
    <w:basedOn w:val="Normal"/>
    <w:link w:val="CommentTextChar"/>
    <w:uiPriority w:val="99"/>
    <w:semiHidden/>
    <w:rsid w:val="00C44117"/>
    <w:pPr>
      <w:spacing w:line="240" w:lineRule="auto"/>
    </w:pPr>
    <w:rPr>
      <w:sz w:val="20"/>
    </w:rPr>
  </w:style>
  <w:style w:type="character" w:customStyle="1" w:styleId="CommentTextChar">
    <w:name w:val="Comment Text Char"/>
    <w:basedOn w:val="DefaultParagraphFont"/>
    <w:link w:val="CommentText"/>
    <w:uiPriority w:val="99"/>
    <w:semiHidden/>
    <w:locked/>
    <w:rsid w:val="00C44117"/>
    <w:rPr>
      <w:rFonts w:cs="Times New Roman"/>
      <w:sz w:val="20"/>
    </w:rPr>
  </w:style>
  <w:style w:type="paragraph" w:styleId="CommentSubject">
    <w:name w:val="annotation subject"/>
    <w:basedOn w:val="CommentText"/>
    <w:next w:val="CommentText"/>
    <w:link w:val="CommentSubjectChar"/>
    <w:uiPriority w:val="99"/>
    <w:semiHidden/>
    <w:rsid w:val="00C44117"/>
    <w:rPr>
      <w:b/>
      <w:bCs/>
    </w:rPr>
  </w:style>
  <w:style w:type="character" w:customStyle="1" w:styleId="CommentSubjectChar">
    <w:name w:val="Comment Subject Char"/>
    <w:basedOn w:val="CommentTextChar"/>
    <w:link w:val="CommentSubject"/>
    <w:uiPriority w:val="99"/>
    <w:semiHidden/>
    <w:locked/>
    <w:rsid w:val="00C44117"/>
    <w:rPr>
      <w:b/>
      <w:bCs/>
    </w:rPr>
  </w:style>
</w:styles>
</file>

<file path=word/webSettings.xml><?xml version="1.0" encoding="utf-8"?>
<w:webSettings xmlns:r="http://schemas.openxmlformats.org/officeDocument/2006/relationships" xmlns:w="http://schemas.openxmlformats.org/wordprocessingml/2006/main">
  <w:divs>
    <w:div w:id="854802923">
      <w:marLeft w:val="0"/>
      <w:marRight w:val="0"/>
      <w:marTop w:val="0"/>
      <w:marBottom w:val="0"/>
      <w:divBdr>
        <w:top w:val="none" w:sz="0" w:space="0" w:color="auto"/>
        <w:left w:val="none" w:sz="0" w:space="0" w:color="auto"/>
        <w:bottom w:val="none" w:sz="0" w:space="0" w:color="auto"/>
        <w:right w:val="none" w:sz="0" w:space="0" w:color="auto"/>
      </w:divBdr>
    </w:div>
    <w:div w:id="854802924">
      <w:marLeft w:val="0"/>
      <w:marRight w:val="0"/>
      <w:marTop w:val="0"/>
      <w:marBottom w:val="0"/>
      <w:divBdr>
        <w:top w:val="none" w:sz="0" w:space="0" w:color="auto"/>
        <w:left w:val="none" w:sz="0" w:space="0" w:color="auto"/>
        <w:bottom w:val="none" w:sz="0" w:space="0" w:color="auto"/>
        <w:right w:val="none" w:sz="0" w:space="0" w:color="auto"/>
      </w:divBdr>
      <w:divsChild>
        <w:div w:id="854802925">
          <w:marLeft w:val="0"/>
          <w:marRight w:val="0"/>
          <w:marTop w:val="0"/>
          <w:marBottom w:val="0"/>
          <w:divBdr>
            <w:top w:val="none" w:sz="0" w:space="0" w:color="auto"/>
            <w:left w:val="none" w:sz="0" w:space="0" w:color="auto"/>
            <w:bottom w:val="none" w:sz="0" w:space="0" w:color="auto"/>
            <w:right w:val="none" w:sz="0" w:space="0" w:color="auto"/>
          </w:divBdr>
        </w:div>
        <w:div w:id="854802928">
          <w:marLeft w:val="0"/>
          <w:marRight w:val="0"/>
          <w:marTop w:val="0"/>
          <w:marBottom w:val="0"/>
          <w:divBdr>
            <w:top w:val="none" w:sz="0" w:space="0" w:color="auto"/>
            <w:left w:val="none" w:sz="0" w:space="0" w:color="auto"/>
            <w:bottom w:val="none" w:sz="0" w:space="0" w:color="auto"/>
            <w:right w:val="none" w:sz="0" w:space="0" w:color="auto"/>
          </w:divBdr>
        </w:div>
      </w:divsChild>
    </w:div>
    <w:div w:id="854802926">
      <w:marLeft w:val="0"/>
      <w:marRight w:val="0"/>
      <w:marTop w:val="0"/>
      <w:marBottom w:val="0"/>
      <w:divBdr>
        <w:top w:val="none" w:sz="0" w:space="0" w:color="auto"/>
        <w:left w:val="none" w:sz="0" w:space="0" w:color="auto"/>
        <w:bottom w:val="none" w:sz="0" w:space="0" w:color="auto"/>
        <w:right w:val="none" w:sz="0" w:space="0" w:color="auto"/>
      </w:divBdr>
    </w:div>
    <w:div w:id="8548029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0589A42DCACB4AA414BCC53A3B2812" ma:contentTypeVersion="1" ma:contentTypeDescription="Create a new document." ma:contentTypeScope="" ma:versionID="c63d93a18e59ee1c58bb623bfc12c7b7">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4A4794A-C187-48A2-84FA-463ABE84428E}"/>
</file>

<file path=customXml/itemProps2.xml><?xml version="1.0" encoding="utf-8"?>
<ds:datastoreItem xmlns:ds="http://schemas.openxmlformats.org/officeDocument/2006/customXml" ds:itemID="{94F6EC5A-C500-4424-84C2-DB7239E67938}"/>
</file>

<file path=customXml/itemProps3.xml><?xml version="1.0" encoding="utf-8"?>
<ds:datastoreItem xmlns:ds="http://schemas.openxmlformats.org/officeDocument/2006/customXml" ds:itemID="{C7418057-1121-46EC-A839-69FDB520EECD}"/>
</file>

<file path=docProps/app.xml><?xml version="1.0" encoding="utf-8"?>
<Properties xmlns="http://schemas.openxmlformats.org/officeDocument/2006/extended-properties" xmlns:vt="http://schemas.openxmlformats.org/officeDocument/2006/docPropsVTypes">
  <Template>Normal_Wordconv.dotm</Template>
  <TotalTime>1</TotalTime>
  <Pages>13</Pages>
  <Words>2101</Words>
  <Characters>11978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REPORTING COUNCIL</dc:title>
  <dc:subject/>
  <dc:creator>HansyeY</dc:creator>
  <cp:keywords/>
  <dc:description/>
  <cp:lastModifiedBy>mnowbotsing</cp:lastModifiedBy>
  <cp:revision>2</cp:revision>
  <cp:lastPrinted>2014-06-05T10:37:00Z</cp:lastPrinted>
  <dcterms:created xsi:type="dcterms:W3CDTF">2014-06-06T04:47:00Z</dcterms:created>
  <dcterms:modified xsi:type="dcterms:W3CDTF">2014-06-06T04:47:00Z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0x010100360589A42DCACB4AA414BCC53A3B2812</vt:lpwstr>
  </property>
  <property fmtid="{D5CDD505-2E9C-101B-9397-08002B2CF9AE}" pid="3" name="Order">
    <vt:r8>10800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