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001A" w14:textId="77777777" w:rsidR="00C541FB" w:rsidRPr="004636B2" w:rsidRDefault="001C0EF3" w:rsidP="004636B2">
      <w:pPr>
        <w:jc w:val="center"/>
        <w:rPr>
          <w:sz w:val="32"/>
          <w:szCs w:val="32"/>
        </w:rPr>
      </w:pPr>
      <w:r w:rsidRPr="004636B2">
        <w:rPr>
          <w:b/>
          <w:sz w:val="32"/>
          <w:szCs w:val="32"/>
        </w:rPr>
        <w:t>Deferred Tax related to Assets and Liabilities arising from a Single Transaction</w:t>
      </w:r>
      <w:r>
        <w:br/>
      </w:r>
      <w:r>
        <w:br/>
      </w:r>
      <w:r w:rsidRPr="004636B2">
        <w:rPr>
          <w:sz w:val="32"/>
          <w:szCs w:val="32"/>
        </w:rPr>
        <w:t>Amendments to IAS 12</w:t>
      </w:r>
    </w:p>
    <w:p w14:paraId="44D4ACED" w14:textId="77777777" w:rsidR="00C541FB" w:rsidRDefault="00C541FB">
      <w:pPr>
        <w:sectPr w:rsidR="00C541FB">
          <w:headerReference w:type="even" r:id="rId6"/>
          <w:headerReference w:type="default" r:id="rId7"/>
          <w:footerReference w:type="even" r:id="rId8"/>
          <w:footerReference w:type="default" r:id="rId9"/>
          <w:type w:val="oddPage"/>
          <w:pgSz w:w="11880" w:h="16820"/>
          <w:pgMar w:top="1440" w:right="1440" w:bottom="1440" w:left="1440" w:header="720" w:footer="720" w:gutter="0"/>
          <w:cols w:space="720"/>
        </w:sectPr>
      </w:pPr>
    </w:p>
    <w:p w14:paraId="01DD96BE" w14:textId="77777777" w:rsidR="00C541FB" w:rsidRDefault="001C0EF3" w:rsidP="001C0EF3">
      <w:pPr>
        <w:pStyle w:val="IASBSectionTitle1NonInd"/>
        <w:pBdr>
          <w:bottom w:val="none" w:sz="0" w:space="0" w:color="auto"/>
        </w:pBdr>
      </w:pPr>
      <w:r>
        <w:lastRenderedPageBreak/>
        <w:t xml:space="preserve">Amendments to IAS 12 </w:t>
      </w:r>
      <w:r>
        <w:rPr>
          <w:i/>
        </w:rPr>
        <w:t>Income Taxes</w:t>
      </w:r>
    </w:p>
    <w:p w14:paraId="2CEC9991" w14:textId="77777777" w:rsidR="00C541FB" w:rsidRDefault="00C541FB">
      <w:pPr>
        <w:pStyle w:val="IASBNormalnpara"/>
      </w:pPr>
    </w:p>
    <w:tbl>
      <w:tblPr>
        <w:tblW w:w="0" w:type="auto"/>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Pr>
      <w:tblGrid>
        <w:gridCol w:w="9000"/>
      </w:tblGrid>
      <w:tr w:rsidR="00C541FB" w14:paraId="30DD8717" w14:textId="77777777">
        <w:tc>
          <w:tcPr>
            <w:tcW w:w="50" w:type="pct"/>
            <w:tcBorders>
              <w:bottom w:val="single" w:sz="0" w:space="0" w:color="auto"/>
              <w:right w:val="single" w:sz="0" w:space="0" w:color="auto"/>
            </w:tcBorders>
          </w:tcPr>
          <w:p w14:paraId="0BCC1F68" w14:textId="77777777" w:rsidR="00C541FB" w:rsidRDefault="001C0EF3">
            <w:pPr>
              <w:pStyle w:val="IASBTableArial"/>
            </w:pPr>
            <w:r>
              <w:t>Paragraphs 15, 22 and 24 are amended. Paragraphs 22A and 98J–98L are added. Deleted text is struck through and new text is underlined.</w:t>
            </w:r>
          </w:p>
        </w:tc>
      </w:tr>
    </w:tbl>
    <w:p w14:paraId="3D943A93" w14:textId="77777777" w:rsidR="00C541FB" w:rsidRDefault="00C541FB">
      <w:pPr>
        <w:pStyle w:val="IASBNormalnpara"/>
      </w:pPr>
    </w:p>
    <w:p w14:paraId="7A97DC3C" w14:textId="77777777" w:rsidR="00C541FB" w:rsidRDefault="001C0EF3">
      <w:pPr>
        <w:pStyle w:val="IASBSectionTitle1NonInd"/>
      </w:pPr>
      <w:r>
        <w:t>Recognition of deferred tax liabilities and deferred tax assets</w:t>
      </w:r>
    </w:p>
    <w:p w14:paraId="2EE8EAE6" w14:textId="77777777" w:rsidR="00C541FB" w:rsidRDefault="001C0EF3">
      <w:pPr>
        <w:pStyle w:val="IASBSectionTitle2Ind"/>
      </w:pPr>
      <w:r>
        <w:t>Taxable temporary differences</w:t>
      </w:r>
    </w:p>
    <w:p w14:paraId="38885232" w14:textId="77777777" w:rsidR="00C541FB" w:rsidRDefault="001C0EF3">
      <w:pPr>
        <w:pStyle w:val="IASBNormalnpara"/>
      </w:pPr>
      <w:r>
        <w:rPr>
          <w:b/>
        </w:rPr>
        <w:t>15</w:t>
      </w:r>
      <w:r>
        <w:tab/>
      </w:r>
      <w:r>
        <w:rPr>
          <w:b/>
        </w:rPr>
        <w:t xml:space="preserve">A deferred tax liability shall be </w:t>
      </w:r>
      <w:proofErr w:type="spellStart"/>
      <w:r>
        <w:rPr>
          <w:b/>
        </w:rPr>
        <w:t>recognised</w:t>
      </w:r>
      <w:proofErr w:type="spellEnd"/>
      <w:r>
        <w:rPr>
          <w:b/>
        </w:rPr>
        <w:t xml:space="preserve"> for all taxable temporary differences, except to the extent that the deferred tax liability arises from: </w:t>
      </w:r>
    </w:p>
    <w:p w14:paraId="60C61D6E" w14:textId="77777777" w:rsidR="00C541FB" w:rsidRDefault="001C0EF3">
      <w:pPr>
        <w:pStyle w:val="IASBNormalnparaL1"/>
      </w:pPr>
      <w:r>
        <w:rPr>
          <w:b/>
        </w:rPr>
        <w:t>(a)</w:t>
      </w:r>
      <w:r>
        <w:tab/>
      </w:r>
      <w:r>
        <w:rPr>
          <w:b/>
        </w:rPr>
        <w:t>the initial recognition of goodwill; or</w:t>
      </w:r>
    </w:p>
    <w:p w14:paraId="2B63F9ED" w14:textId="77777777" w:rsidR="00C541FB" w:rsidRDefault="001C0EF3">
      <w:pPr>
        <w:pStyle w:val="IASBNormalnparaL1"/>
      </w:pPr>
      <w:r>
        <w:rPr>
          <w:b/>
        </w:rPr>
        <w:t>(b)</w:t>
      </w:r>
      <w:r>
        <w:tab/>
      </w:r>
      <w:r>
        <w:rPr>
          <w:b/>
        </w:rPr>
        <w:t>the initial recognition of an asset or liability in a transaction which:</w:t>
      </w:r>
    </w:p>
    <w:p w14:paraId="3577C154" w14:textId="77777777" w:rsidR="00C541FB" w:rsidRDefault="001C0EF3">
      <w:pPr>
        <w:pStyle w:val="IASBNormalnparaL2"/>
      </w:pPr>
      <w:r>
        <w:rPr>
          <w:b/>
        </w:rPr>
        <w:t>(</w:t>
      </w:r>
      <w:proofErr w:type="spellStart"/>
      <w:r>
        <w:rPr>
          <w:b/>
        </w:rPr>
        <w:t>i</w:t>
      </w:r>
      <w:proofErr w:type="spellEnd"/>
      <w:r>
        <w:rPr>
          <w:b/>
        </w:rPr>
        <w:t>)</w:t>
      </w:r>
      <w:r>
        <w:tab/>
      </w:r>
      <w:r>
        <w:rPr>
          <w:b/>
        </w:rPr>
        <w:t>is not a business combination;</w:t>
      </w:r>
      <w:r>
        <w:rPr>
          <w:b/>
          <w:strike/>
        </w:rPr>
        <w:t xml:space="preserve"> and</w:t>
      </w:r>
    </w:p>
    <w:p w14:paraId="4E409140" w14:textId="77777777" w:rsidR="00C541FB" w:rsidRDefault="001C0EF3">
      <w:pPr>
        <w:pStyle w:val="IASBNormalnparaL2"/>
      </w:pPr>
      <w:r>
        <w:rPr>
          <w:b/>
        </w:rPr>
        <w:t>(ii)</w:t>
      </w:r>
      <w:r>
        <w:tab/>
      </w:r>
      <w:r>
        <w:rPr>
          <w:b/>
        </w:rPr>
        <w:t>at the time of the transaction, affects neither accounting profit nor taxable profit (tax loss</w:t>
      </w:r>
      <w:proofErr w:type="gramStart"/>
      <w:r>
        <w:rPr>
          <w:b/>
        </w:rPr>
        <w:t>)</w:t>
      </w:r>
      <w:r>
        <w:rPr>
          <w:b/>
          <w:u w:val="single"/>
        </w:rPr>
        <w:t>;</w:t>
      </w:r>
      <w:proofErr w:type="gramEnd"/>
      <w:r>
        <w:rPr>
          <w:b/>
          <w:u w:val="single"/>
        </w:rPr>
        <w:t xml:space="preserve"> and</w:t>
      </w:r>
      <w:r>
        <w:rPr>
          <w:b/>
          <w:strike/>
        </w:rPr>
        <w:t>.</w:t>
      </w:r>
    </w:p>
    <w:p w14:paraId="1E112702" w14:textId="77777777" w:rsidR="00C541FB" w:rsidRDefault="001C0EF3">
      <w:pPr>
        <w:pStyle w:val="IASBNormalnparaL2"/>
      </w:pPr>
      <w:r>
        <w:rPr>
          <w:b/>
          <w:u w:val="single"/>
        </w:rPr>
        <w:t>(iii)</w:t>
      </w:r>
      <w:r>
        <w:tab/>
      </w:r>
      <w:r>
        <w:rPr>
          <w:b/>
          <w:u w:val="single"/>
        </w:rPr>
        <w:t>at the time of the transaction, does not give rise to equal taxable and deductible temporary differences.</w:t>
      </w:r>
    </w:p>
    <w:p w14:paraId="13123AA4" w14:textId="77777777" w:rsidR="00C541FB" w:rsidRDefault="001C0EF3">
      <w:pPr>
        <w:pStyle w:val="IASBNormalnpara"/>
      </w:pPr>
      <w:r>
        <w:tab/>
        <w:t>...</w:t>
      </w:r>
    </w:p>
    <w:p w14:paraId="3D6060EC" w14:textId="77777777" w:rsidR="00C541FB" w:rsidRDefault="001C0EF3">
      <w:pPr>
        <w:pStyle w:val="IASBSectionTitle3Ind"/>
      </w:pPr>
      <w:r>
        <w:t>Initial recognition of an asset or liability</w:t>
      </w:r>
    </w:p>
    <w:p w14:paraId="3573122E" w14:textId="77777777" w:rsidR="00C541FB" w:rsidRDefault="001C0EF3">
      <w:pPr>
        <w:pStyle w:val="IASBNormalnpara"/>
      </w:pPr>
      <w:r>
        <w:t>22</w:t>
      </w:r>
      <w:r>
        <w:tab/>
        <w:t xml:space="preserve">A temporary difference may arise on initial recognition of an asset or liability, for example if part or </w:t>
      </w:r>
      <w:proofErr w:type="gramStart"/>
      <w:r>
        <w:t>all of</w:t>
      </w:r>
      <w:proofErr w:type="gramEnd"/>
      <w:r>
        <w:t xml:space="preserve"> the cost of an asset will not be deductible for tax purposes. The method of accounting for such a temporary difference depends on the nature of the transaction that led to the initial recognition of the asset or liability: </w:t>
      </w:r>
    </w:p>
    <w:p w14:paraId="1A8D3D63" w14:textId="77777777" w:rsidR="00C541FB" w:rsidRDefault="001C0EF3">
      <w:pPr>
        <w:pStyle w:val="IASBNormalnparaL1"/>
      </w:pPr>
      <w:r>
        <w:t>(a)</w:t>
      </w:r>
      <w:r>
        <w:tab/>
        <w:t xml:space="preserve">in a business combination, an entity </w:t>
      </w:r>
      <w:proofErr w:type="spellStart"/>
      <w:r>
        <w:t>recognises</w:t>
      </w:r>
      <w:proofErr w:type="spellEnd"/>
      <w:r>
        <w:t xml:space="preserve"> any deferred tax liability or </w:t>
      </w:r>
      <w:proofErr w:type="gramStart"/>
      <w:r>
        <w:t>asset</w:t>
      </w:r>
      <w:proofErr w:type="gramEnd"/>
      <w:r>
        <w:t xml:space="preserve"> and this affects the amount of goodwill or bargain purchase gain it </w:t>
      </w:r>
      <w:proofErr w:type="spellStart"/>
      <w:r>
        <w:t>recognises</w:t>
      </w:r>
      <w:proofErr w:type="spellEnd"/>
      <w:r>
        <w:t xml:space="preserve"> (see paragraph 19);</w:t>
      </w:r>
    </w:p>
    <w:p w14:paraId="3778CE2A" w14:textId="77777777" w:rsidR="00C541FB" w:rsidRDefault="001C0EF3">
      <w:pPr>
        <w:pStyle w:val="IASBNormalnparaL1"/>
      </w:pPr>
      <w:r>
        <w:t>(b)</w:t>
      </w:r>
      <w:r>
        <w:tab/>
        <w:t>if the transaction affects either accounting profit or taxable profit</w:t>
      </w:r>
      <w:r>
        <w:rPr>
          <w:u w:val="single"/>
        </w:rPr>
        <w:t>, or gives rise to equal taxable and deductible temporary differences</w:t>
      </w:r>
      <w:r>
        <w:t xml:space="preserve">, an entity </w:t>
      </w:r>
      <w:proofErr w:type="spellStart"/>
      <w:r>
        <w:t>recognises</w:t>
      </w:r>
      <w:proofErr w:type="spellEnd"/>
      <w:r>
        <w:t xml:space="preserve"> any deferred tax liability or asset and </w:t>
      </w:r>
      <w:proofErr w:type="spellStart"/>
      <w:r>
        <w:t>recognises</w:t>
      </w:r>
      <w:proofErr w:type="spellEnd"/>
      <w:r>
        <w:t xml:space="preserve"> the resulting deferred tax expense or income in profit or loss (see paragraph 59</w:t>
      </w:r>
      <w:proofErr w:type="gramStart"/>
      <w:r>
        <w:t>);</w:t>
      </w:r>
      <w:proofErr w:type="gramEnd"/>
    </w:p>
    <w:p w14:paraId="3089FAE0" w14:textId="77777777" w:rsidR="00C541FB" w:rsidRDefault="001C0EF3">
      <w:pPr>
        <w:pStyle w:val="IASBNormalnparaL1"/>
      </w:pPr>
      <w:r>
        <w:t>(c)</w:t>
      </w:r>
      <w:r>
        <w:tab/>
        <w:t xml:space="preserve">if the transaction is not a business </w:t>
      </w:r>
      <w:proofErr w:type="gramStart"/>
      <w:r>
        <w:t xml:space="preserve">combination, </w:t>
      </w:r>
      <w:r>
        <w:rPr>
          <w:strike/>
        </w:rPr>
        <w:t>and</w:t>
      </w:r>
      <w:proofErr w:type="gramEnd"/>
      <w:r>
        <w:rPr>
          <w:strike/>
        </w:rPr>
        <w:t xml:space="preserve"> </w:t>
      </w:r>
      <w:r>
        <w:t>affects neither accounting profit nor taxable profit</w:t>
      </w:r>
      <w:r>
        <w:rPr>
          <w:u w:val="single"/>
        </w:rPr>
        <w:t xml:space="preserve"> and does not give rise to equal taxable and deductible temporary differences</w:t>
      </w:r>
      <w:r>
        <w:t xml:space="preserve">, an entity would, in the absence of the exemption provided by paragraphs 15 and 24, </w:t>
      </w:r>
      <w:proofErr w:type="spellStart"/>
      <w:r>
        <w:t>recognise</w:t>
      </w:r>
      <w:proofErr w:type="spellEnd"/>
      <w:r>
        <w:t xml:space="preserve"> the resulting deferred tax liability or asset and adjust the carrying amount of the asset or liability by the same amount. Such adjustments would make the financial statements less transparent. Therefore, this Standard does not permit an entity to </w:t>
      </w:r>
      <w:proofErr w:type="spellStart"/>
      <w:r>
        <w:t>recognise</w:t>
      </w:r>
      <w:proofErr w:type="spellEnd"/>
      <w:r>
        <w:t xml:space="preserve"> the resulting deferred tax liability or asset, either on initial recognition or subsequently (see example below). Furthermore, an entity does not </w:t>
      </w:r>
      <w:proofErr w:type="spellStart"/>
      <w:r>
        <w:t>recognise</w:t>
      </w:r>
      <w:proofErr w:type="spellEnd"/>
      <w:r>
        <w:t xml:space="preserve"> subsequent changes in the </w:t>
      </w:r>
      <w:proofErr w:type="spellStart"/>
      <w:r>
        <w:t>unrecognised</w:t>
      </w:r>
      <w:proofErr w:type="spellEnd"/>
      <w:r>
        <w:t xml:space="preserve"> deferred tax liability or asset as the asset is depreciated.</w:t>
      </w:r>
    </w:p>
    <w:p w14:paraId="386A2025" w14:textId="77777777" w:rsidR="00C541FB" w:rsidRDefault="001C0EF3">
      <w:pPr>
        <w:pStyle w:val="IASBNormalnpara"/>
      </w:pPr>
      <w:r>
        <w:tab/>
        <w:t>...</w:t>
      </w:r>
    </w:p>
    <w:p w14:paraId="5A5FEAD4" w14:textId="77777777" w:rsidR="00C541FB" w:rsidRDefault="001C0EF3">
      <w:pPr>
        <w:pStyle w:val="IASBNormalnpara"/>
      </w:pPr>
      <w:r>
        <w:rPr>
          <w:u w:val="single"/>
        </w:rPr>
        <w:t>22A</w:t>
      </w:r>
      <w:r>
        <w:tab/>
      </w:r>
      <w:r>
        <w:rPr>
          <w:u w:val="single"/>
        </w:rPr>
        <w:t xml:space="preserve">A transaction that is not a business combination may lead to the initial recognition of an asset and a liability and, at the time of the transaction, affect neither accounting profit nor taxable profit. For example, at the commencement date of a lease, a lessee typically </w:t>
      </w:r>
      <w:proofErr w:type="spellStart"/>
      <w:r>
        <w:rPr>
          <w:u w:val="single"/>
        </w:rPr>
        <w:t>recognises</w:t>
      </w:r>
      <w:proofErr w:type="spellEnd"/>
      <w:r>
        <w:rPr>
          <w:u w:val="single"/>
        </w:rPr>
        <w:t xml:space="preserve"> a lease liability and the corresponding amount as part of the cost of a right-of-use asset. Depending on the applicable tax law, equal taxable and deductible temporary differences may arise on initial recognition of the asset and liability in such a transaction. The exemption provided by paragraphs 15 and 24 does not apply to such temporary differences and an entity </w:t>
      </w:r>
      <w:proofErr w:type="spellStart"/>
      <w:r>
        <w:rPr>
          <w:u w:val="single"/>
        </w:rPr>
        <w:t>recognises</w:t>
      </w:r>
      <w:proofErr w:type="spellEnd"/>
      <w:r>
        <w:rPr>
          <w:u w:val="single"/>
        </w:rPr>
        <w:t xml:space="preserve"> any resulting deferred tax liability and asset.</w:t>
      </w:r>
    </w:p>
    <w:p w14:paraId="2CC0BA7B" w14:textId="77777777" w:rsidR="00C541FB" w:rsidRDefault="001C0EF3">
      <w:pPr>
        <w:pStyle w:val="IASBNormalnpara"/>
      </w:pPr>
      <w:r>
        <w:tab/>
        <w:t>...</w:t>
      </w:r>
    </w:p>
    <w:p w14:paraId="78BED6FF" w14:textId="77777777" w:rsidR="00C541FB" w:rsidRDefault="001C0EF3">
      <w:pPr>
        <w:pStyle w:val="IASBSectionTitle2Ind"/>
      </w:pPr>
      <w:r>
        <w:lastRenderedPageBreak/>
        <w:t>Deductible temporary differences</w:t>
      </w:r>
    </w:p>
    <w:p w14:paraId="4C4AFE6E" w14:textId="77777777" w:rsidR="00C541FB" w:rsidRDefault="001C0EF3">
      <w:pPr>
        <w:pStyle w:val="IASBNormalnpara"/>
      </w:pPr>
      <w:r>
        <w:rPr>
          <w:b/>
        </w:rPr>
        <w:t>24</w:t>
      </w:r>
      <w:r>
        <w:tab/>
      </w:r>
      <w:r>
        <w:rPr>
          <w:b/>
        </w:rPr>
        <w:t xml:space="preserve">A deferred tax asset shall be </w:t>
      </w:r>
      <w:proofErr w:type="spellStart"/>
      <w:r>
        <w:rPr>
          <w:b/>
        </w:rPr>
        <w:t>recognised</w:t>
      </w:r>
      <w:proofErr w:type="spellEnd"/>
      <w:r>
        <w:rPr>
          <w:b/>
        </w:rPr>
        <w:t xml:space="preserve"> for all deductible temporary differences to the extent that it is probable that taxable profit will be available against which the deductible temporary difference can be </w:t>
      </w:r>
      <w:proofErr w:type="spellStart"/>
      <w:r>
        <w:rPr>
          <w:b/>
        </w:rPr>
        <w:t>utilised</w:t>
      </w:r>
      <w:proofErr w:type="spellEnd"/>
      <w:r>
        <w:rPr>
          <w:b/>
        </w:rPr>
        <w:t xml:space="preserve">, unless the deferred tax asset arises from the initial recognition of an asset or liability in a transaction that: </w:t>
      </w:r>
    </w:p>
    <w:p w14:paraId="740F9D4C" w14:textId="77777777" w:rsidR="00C541FB" w:rsidRDefault="001C0EF3">
      <w:pPr>
        <w:pStyle w:val="IASBNormalnparaL1"/>
      </w:pPr>
      <w:r>
        <w:rPr>
          <w:b/>
        </w:rPr>
        <w:t>(a)</w:t>
      </w:r>
      <w:r>
        <w:tab/>
      </w:r>
      <w:r>
        <w:rPr>
          <w:b/>
        </w:rPr>
        <w:t>is not a business combination;</w:t>
      </w:r>
      <w:r>
        <w:rPr>
          <w:b/>
          <w:strike/>
        </w:rPr>
        <w:t xml:space="preserve"> and</w:t>
      </w:r>
    </w:p>
    <w:p w14:paraId="16125690" w14:textId="77777777" w:rsidR="00C541FB" w:rsidRDefault="001C0EF3">
      <w:pPr>
        <w:pStyle w:val="IASBNormalnparaL1"/>
      </w:pPr>
      <w:r>
        <w:rPr>
          <w:b/>
        </w:rPr>
        <w:t>(b)</w:t>
      </w:r>
      <w:r>
        <w:tab/>
      </w:r>
      <w:r>
        <w:rPr>
          <w:b/>
        </w:rPr>
        <w:t>at the time of the transaction, affects neither accounting profit nor taxable profit (tax loss</w:t>
      </w:r>
      <w:proofErr w:type="gramStart"/>
      <w:r>
        <w:rPr>
          <w:b/>
        </w:rPr>
        <w:t>)</w:t>
      </w:r>
      <w:r>
        <w:rPr>
          <w:b/>
          <w:u w:val="single"/>
        </w:rPr>
        <w:t>;</w:t>
      </w:r>
      <w:proofErr w:type="gramEnd"/>
      <w:r>
        <w:rPr>
          <w:b/>
          <w:u w:val="single"/>
        </w:rPr>
        <w:t xml:space="preserve"> and</w:t>
      </w:r>
      <w:r>
        <w:rPr>
          <w:b/>
          <w:strike/>
        </w:rPr>
        <w:t>.</w:t>
      </w:r>
    </w:p>
    <w:p w14:paraId="588F7FCB" w14:textId="77777777" w:rsidR="00C541FB" w:rsidRDefault="001C0EF3">
      <w:pPr>
        <w:pStyle w:val="IASBNormalnparaL1"/>
      </w:pPr>
      <w:r>
        <w:rPr>
          <w:b/>
          <w:u w:val="single"/>
        </w:rPr>
        <w:t>(c)</w:t>
      </w:r>
      <w:r>
        <w:tab/>
      </w:r>
      <w:r>
        <w:rPr>
          <w:b/>
          <w:u w:val="single"/>
        </w:rPr>
        <w:t>at the time of the transaction, does not give rise to equal taxable and deductible temporary differences.</w:t>
      </w:r>
    </w:p>
    <w:p w14:paraId="14267267" w14:textId="77777777" w:rsidR="00C541FB" w:rsidRDefault="001C0EF3">
      <w:pPr>
        <w:pStyle w:val="IASBNormalnpara"/>
      </w:pPr>
      <w:r>
        <w:tab/>
        <w:t>...</w:t>
      </w:r>
    </w:p>
    <w:p w14:paraId="21FFA339" w14:textId="77777777" w:rsidR="00C541FB" w:rsidRDefault="001C0EF3">
      <w:pPr>
        <w:pStyle w:val="IASBSectionTitle1NonInd"/>
      </w:pPr>
      <w:r>
        <w:t>Effective date</w:t>
      </w:r>
    </w:p>
    <w:p w14:paraId="67259852" w14:textId="77777777" w:rsidR="00C541FB" w:rsidRDefault="001C0EF3">
      <w:pPr>
        <w:pStyle w:val="IASBNormalnpara"/>
      </w:pPr>
      <w:r>
        <w:tab/>
        <w:t>...</w:t>
      </w:r>
    </w:p>
    <w:p w14:paraId="28518118" w14:textId="77777777" w:rsidR="00C541FB" w:rsidRDefault="001C0EF3">
      <w:pPr>
        <w:pStyle w:val="IASBNormalnpara"/>
      </w:pPr>
      <w:r>
        <w:rPr>
          <w:u w:val="single"/>
        </w:rPr>
        <w:t>98J</w:t>
      </w:r>
      <w:r>
        <w:tab/>
      </w:r>
      <w:r>
        <w:rPr>
          <w:i/>
          <w:u w:val="single"/>
        </w:rPr>
        <w:t>Deferred Tax related to Assets and Liabilities arising from a Single Transaction</w:t>
      </w:r>
      <w:r>
        <w:rPr>
          <w:u w:val="single"/>
        </w:rPr>
        <w:t>, issued in May 2021, amended paragraphs 15, 22 and 24 and added paragraph 22A. An entity shall apply these amendments in accordance with paragraphs 98K–98L for annual reporting periods beginning on or after 1 January 2023. Earlier application is permitted. If an entity applies the amendments for an earlier period, it shall disclose that fact.</w:t>
      </w:r>
    </w:p>
    <w:p w14:paraId="59D2407F" w14:textId="77777777" w:rsidR="00C541FB" w:rsidRDefault="001C0EF3">
      <w:pPr>
        <w:pStyle w:val="IASBNormalnpara"/>
      </w:pPr>
      <w:r>
        <w:rPr>
          <w:u w:val="single"/>
        </w:rPr>
        <w:t>98K</w:t>
      </w:r>
      <w:r>
        <w:tab/>
      </w:r>
      <w:proofErr w:type="gramStart"/>
      <w:r>
        <w:rPr>
          <w:u w:val="single"/>
        </w:rPr>
        <w:t>An</w:t>
      </w:r>
      <w:proofErr w:type="gramEnd"/>
      <w:r>
        <w:rPr>
          <w:u w:val="single"/>
        </w:rPr>
        <w:t xml:space="preserve"> entity shall apply </w:t>
      </w:r>
      <w:r>
        <w:rPr>
          <w:i/>
          <w:u w:val="single"/>
        </w:rPr>
        <w:t>Deferred Tax related to Assets and Liabilities arising from a Single Transaction</w:t>
      </w:r>
      <w:r>
        <w:rPr>
          <w:u w:val="single"/>
        </w:rPr>
        <w:t xml:space="preserve"> to transactions that occur on or after the beginning of the earliest comparative period presented.</w:t>
      </w:r>
    </w:p>
    <w:p w14:paraId="72012C9D" w14:textId="77777777" w:rsidR="00C541FB" w:rsidRDefault="001C0EF3">
      <w:pPr>
        <w:pStyle w:val="IASBNormalnpara"/>
      </w:pPr>
      <w:r>
        <w:rPr>
          <w:u w:val="single"/>
        </w:rPr>
        <w:t>98L</w:t>
      </w:r>
      <w:r>
        <w:tab/>
      </w:r>
      <w:proofErr w:type="gramStart"/>
      <w:r>
        <w:rPr>
          <w:u w:val="single"/>
        </w:rPr>
        <w:t>An</w:t>
      </w:r>
      <w:proofErr w:type="gramEnd"/>
      <w:r>
        <w:rPr>
          <w:u w:val="single"/>
        </w:rPr>
        <w:t xml:space="preserve"> entity applying </w:t>
      </w:r>
      <w:r>
        <w:rPr>
          <w:i/>
          <w:u w:val="single"/>
        </w:rPr>
        <w:t>Deferred Tax related to Assets and Liabilities arising from a Single Transaction</w:t>
      </w:r>
      <w:r>
        <w:rPr>
          <w:u w:val="single"/>
        </w:rPr>
        <w:t xml:space="preserve"> shall also, at the beginning of the earliest comparative period presented:</w:t>
      </w:r>
    </w:p>
    <w:p w14:paraId="32197321" w14:textId="77777777" w:rsidR="00C541FB" w:rsidRDefault="001C0EF3">
      <w:pPr>
        <w:pStyle w:val="IASBNormalnparaL1"/>
      </w:pPr>
      <w:r>
        <w:rPr>
          <w:u w:val="single"/>
        </w:rPr>
        <w:t>(a)</w:t>
      </w:r>
      <w:r>
        <w:tab/>
      </w:r>
      <w:proofErr w:type="spellStart"/>
      <w:r>
        <w:rPr>
          <w:u w:val="single"/>
        </w:rPr>
        <w:t>recognise</w:t>
      </w:r>
      <w:proofErr w:type="spellEnd"/>
      <w:r>
        <w:rPr>
          <w:u w:val="single"/>
        </w:rPr>
        <w:t xml:space="preserve"> a deferred tax asset—to the extent that it is probable that taxable profit will be available against which the deductible temporary difference can be </w:t>
      </w:r>
      <w:proofErr w:type="spellStart"/>
      <w:r>
        <w:rPr>
          <w:u w:val="single"/>
        </w:rPr>
        <w:t>utilised</w:t>
      </w:r>
      <w:proofErr w:type="spellEnd"/>
      <w:r>
        <w:rPr>
          <w:u w:val="single"/>
        </w:rPr>
        <w:t>—and a deferred tax liability for all deductible and taxable temporary differences associated with:</w:t>
      </w:r>
    </w:p>
    <w:p w14:paraId="156288A4" w14:textId="77777777" w:rsidR="00C541FB" w:rsidRDefault="001C0EF3">
      <w:pPr>
        <w:pStyle w:val="IASBNormalnparaL2"/>
      </w:pPr>
      <w:r>
        <w:rPr>
          <w:u w:val="single"/>
        </w:rPr>
        <w:t>(</w:t>
      </w:r>
      <w:proofErr w:type="spellStart"/>
      <w:r>
        <w:rPr>
          <w:u w:val="single"/>
        </w:rPr>
        <w:t>i</w:t>
      </w:r>
      <w:proofErr w:type="spellEnd"/>
      <w:r>
        <w:rPr>
          <w:u w:val="single"/>
        </w:rPr>
        <w:t>)</w:t>
      </w:r>
      <w:r>
        <w:tab/>
      </w:r>
      <w:r>
        <w:rPr>
          <w:u w:val="single"/>
        </w:rPr>
        <w:t>right-of-use assets and lease liabilities; and</w:t>
      </w:r>
    </w:p>
    <w:p w14:paraId="0020B248" w14:textId="77777777" w:rsidR="00C541FB" w:rsidRDefault="001C0EF3">
      <w:pPr>
        <w:pStyle w:val="IASBNormalnparaL2"/>
      </w:pPr>
      <w:r>
        <w:rPr>
          <w:u w:val="single"/>
        </w:rPr>
        <w:t>(ii)</w:t>
      </w:r>
      <w:r>
        <w:tab/>
      </w:r>
      <w:r>
        <w:rPr>
          <w:u w:val="single"/>
        </w:rPr>
        <w:t xml:space="preserve">decommissioning, restoration and similar liabilities and the corresponding amounts </w:t>
      </w:r>
      <w:proofErr w:type="spellStart"/>
      <w:r>
        <w:rPr>
          <w:u w:val="single"/>
        </w:rPr>
        <w:t>recognised</w:t>
      </w:r>
      <w:proofErr w:type="spellEnd"/>
      <w:r>
        <w:rPr>
          <w:u w:val="single"/>
        </w:rPr>
        <w:t xml:space="preserve"> as part of the cost of the related asset; and</w:t>
      </w:r>
    </w:p>
    <w:p w14:paraId="01641833" w14:textId="77777777" w:rsidR="00C541FB" w:rsidRDefault="001C0EF3">
      <w:pPr>
        <w:pStyle w:val="IASBNormalnparaL1"/>
      </w:pPr>
      <w:r>
        <w:rPr>
          <w:u w:val="single"/>
        </w:rPr>
        <w:t>(b)</w:t>
      </w:r>
      <w:r>
        <w:tab/>
      </w:r>
      <w:proofErr w:type="spellStart"/>
      <w:r>
        <w:rPr>
          <w:u w:val="single"/>
        </w:rPr>
        <w:t>recognise</w:t>
      </w:r>
      <w:proofErr w:type="spellEnd"/>
      <w:r>
        <w:rPr>
          <w:u w:val="single"/>
        </w:rPr>
        <w:t xml:space="preserve"> the cumulative effect of initially applying the amendments as an adjustment to the opening balance of retained earnings (or other component of equity, as appropriate) at that date.</w:t>
      </w:r>
    </w:p>
    <w:p w14:paraId="78011E2A" w14:textId="77777777" w:rsidR="00C541FB" w:rsidRDefault="00C541FB">
      <w:pPr>
        <w:sectPr w:rsidR="00C541FB">
          <w:headerReference w:type="even" r:id="rId10"/>
          <w:headerReference w:type="default" r:id="rId11"/>
          <w:footerReference w:type="even" r:id="rId12"/>
          <w:footerReference w:type="default" r:id="rId13"/>
          <w:pgSz w:w="11880" w:h="16820"/>
          <w:pgMar w:top="1440" w:right="1440" w:bottom="1440" w:left="1440" w:header="720" w:footer="720" w:gutter="0"/>
          <w:cols w:space="720"/>
        </w:sectPr>
      </w:pPr>
    </w:p>
    <w:p w14:paraId="5DEF1DF7" w14:textId="77777777" w:rsidR="00C541FB" w:rsidRDefault="001C0EF3" w:rsidP="001C0EF3">
      <w:pPr>
        <w:pStyle w:val="IASBSectionTitle1NonInd"/>
        <w:pBdr>
          <w:bottom w:val="none" w:sz="0" w:space="0" w:color="auto"/>
        </w:pBdr>
      </w:pPr>
      <w:r>
        <w:lastRenderedPageBreak/>
        <w:t xml:space="preserve">Amendments to IFRS 1 </w:t>
      </w:r>
      <w:r>
        <w:rPr>
          <w:i/>
        </w:rPr>
        <w:t>First‑time Adoption of International Financial Reporting Standards</w:t>
      </w:r>
    </w:p>
    <w:p w14:paraId="395D70C3" w14:textId="77777777" w:rsidR="00C541FB" w:rsidRDefault="00C541FB">
      <w:pPr>
        <w:pStyle w:val="IASBNormalnpara"/>
      </w:pPr>
    </w:p>
    <w:tbl>
      <w:tblPr>
        <w:tblW w:w="0" w:type="auto"/>
        <w:tblBorders>
          <w:top w:val="single" w:sz="0" w:space="0" w:color="auto"/>
          <w:left w:val="single" w:sz="0" w:space="0" w:color="auto"/>
          <w:bottom w:val="single" w:sz="0" w:space="0" w:color="auto"/>
          <w:right w:val="single" w:sz="0" w:space="0" w:color="auto"/>
        </w:tblBorders>
        <w:tblLook w:val="04A0" w:firstRow="1" w:lastRow="0" w:firstColumn="1" w:lastColumn="0" w:noHBand="0" w:noVBand="1"/>
      </w:tblPr>
      <w:tblGrid>
        <w:gridCol w:w="9000"/>
      </w:tblGrid>
      <w:tr w:rsidR="00C541FB" w14:paraId="4B3A20A3" w14:textId="77777777">
        <w:tc>
          <w:tcPr>
            <w:tcW w:w="50" w:type="pct"/>
            <w:tcBorders>
              <w:bottom w:val="single" w:sz="0" w:space="0" w:color="auto"/>
              <w:right w:val="single" w:sz="0" w:space="0" w:color="auto"/>
            </w:tcBorders>
          </w:tcPr>
          <w:p w14:paraId="50BBAF1F" w14:textId="77777777" w:rsidR="00C541FB" w:rsidRDefault="001C0EF3">
            <w:pPr>
              <w:pStyle w:val="IASBTableArial"/>
            </w:pPr>
            <w:r>
              <w:t>Paragraph 39AH is added. In Appendix B, paragraph B1 is amended and paragraph B14 and its heading are added. Deleted text is struck through and new text is underlined.</w:t>
            </w:r>
          </w:p>
        </w:tc>
      </w:tr>
    </w:tbl>
    <w:p w14:paraId="1002E808" w14:textId="77777777" w:rsidR="00C541FB" w:rsidRDefault="00C541FB">
      <w:pPr>
        <w:pStyle w:val="IASBNormalnpara"/>
      </w:pPr>
    </w:p>
    <w:p w14:paraId="5A8C3413" w14:textId="77777777" w:rsidR="00C541FB" w:rsidRDefault="001C0EF3">
      <w:pPr>
        <w:pStyle w:val="IASBSectionTitle1NonInd"/>
      </w:pPr>
      <w:r>
        <w:t>Effective date</w:t>
      </w:r>
    </w:p>
    <w:p w14:paraId="4FB6AD72" w14:textId="77777777" w:rsidR="00C541FB" w:rsidRDefault="001C0EF3">
      <w:pPr>
        <w:pStyle w:val="IASBNormalnpara"/>
      </w:pPr>
      <w:r>
        <w:tab/>
        <w:t>...</w:t>
      </w:r>
    </w:p>
    <w:p w14:paraId="2E28C183" w14:textId="77777777" w:rsidR="00C541FB" w:rsidRDefault="001C0EF3">
      <w:pPr>
        <w:pStyle w:val="IASBNormalnpara"/>
      </w:pPr>
      <w:r>
        <w:rPr>
          <w:u w:val="single"/>
        </w:rPr>
        <w:t>39AH</w:t>
      </w:r>
      <w:r>
        <w:tab/>
      </w:r>
      <w:r>
        <w:rPr>
          <w:i/>
          <w:u w:val="single"/>
        </w:rPr>
        <w:t>Deferred Tax related to Assets and Liabilities arising from a Single Transaction</w:t>
      </w:r>
      <w:r>
        <w:rPr>
          <w:u w:val="single"/>
        </w:rPr>
        <w:t>, issued in May 2021, amended paragraph B1 and added paragraph B14. An entity shall apply these amendments for annual reporting periods beginning on or after 1 January 2023. Earlier application is permitted. If an entity applies the amendments for an earlier period, it shall disclose that fact.</w:t>
      </w:r>
    </w:p>
    <w:p w14:paraId="6C9482EC" w14:textId="77777777" w:rsidR="00C541FB" w:rsidRDefault="001C0EF3">
      <w:pPr>
        <w:pStyle w:val="IASBNormalnpara"/>
      </w:pPr>
      <w:r>
        <w:tab/>
        <w:t>...</w:t>
      </w:r>
    </w:p>
    <w:p w14:paraId="186F8AC1" w14:textId="77777777" w:rsidR="00C541FB" w:rsidRDefault="00C541FB">
      <w:pPr>
        <w:sectPr w:rsidR="00C541FB">
          <w:headerReference w:type="even" r:id="rId14"/>
          <w:headerReference w:type="default" r:id="rId15"/>
          <w:footerReference w:type="even" r:id="rId16"/>
          <w:footerReference w:type="default" r:id="rId17"/>
          <w:pgSz w:w="11880" w:h="16820"/>
          <w:pgMar w:top="1440" w:right="1440" w:bottom="1440" w:left="1440" w:header="720" w:footer="720" w:gutter="0"/>
          <w:cols w:space="720"/>
        </w:sectPr>
      </w:pPr>
    </w:p>
    <w:p w14:paraId="0A2ABAB3" w14:textId="77777777" w:rsidR="00C541FB" w:rsidRDefault="001C0EF3" w:rsidP="001C0EF3">
      <w:pPr>
        <w:pStyle w:val="IASBSectionTitle1NonInd"/>
        <w:pBdr>
          <w:bottom w:val="none" w:sz="0" w:space="0" w:color="auto"/>
        </w:pBdr>
      </w:pPr>
      <w:r>
        <w:lastRenderedPageBreak/>
        <w:t>Appendix B</w:t>
      </w:r>
      <w:r>
        <w:br/>
        <w:t>Exceptions to the retrospective application of other IFRSs</w:t>
      </w:r>
    </w:p>
    <w:p w14:paraId="24491B6D" w14:textId="77777777" w:rsidR="00C541FB" w:rsidRDefault="001C0EF3">
      <w:pPr>
        <w:pStyle w:val="IASBNormal"/>
      </w:pPr>
      <w:r>
        <w:rPr>
          <w:i/>
        </w:rPr>
        <w:t>This appendix is an integral part of the IFRS.</w:t>
      </w:r>
    </w:p>
    <w:p w14:paraId="23ADF97E" w14:textId="77777777" w:rsidR="00C541FB" w:rsidRDefault="001C0EF3">
      <w:pPr>
        <w:pStyle w:val="IASBNormalnpara"/>
      </w:pPr>
      <w:r>
        <w:t>B1</w:t>
      </w:r>
      <w:r>
        <w:tab/>
        <w:t>An entity shall apply the following exceptions:</w:t>
      </w:r>
    </w:p>
    <w:p w14:paraId="644928E5" w14:textId="77777777" w:rsidR="00C541FB" w:rsidRDefault="001C0EF3">
      <w:pPr>
        <w:pStyle w:val="IASBNormalnparaL1"/>
      </w:pPr>
      <w:r>
        <w:t>...</w:t>
      </w:r>
      <w:r>
        <w:tab/>
      </w:r>
    </w:p>
    <w:p w14:paraId="65B2B607" w14:textId="77777777" w:rsidR="00C541FB" w:rsidRDefault="001C0EF3">
      <w:pPr>
        <w:pStyle w:val="IASBNormalnparaL1"/>
      </w:pPr>
      <w:r>
        <w:t>(g)</w:t>
      </w:r>
      <w:r>
        <w:tab/>
        <w:t>government loans (paragraphs B10–B12);</w:t>
      </w:r>
      <w:r>
        <w:rPr>
          <w:strike/>
        </w:rPr>
        <w:t xml:space="preserve"> and</w:t>
      </w:r>
    </w:p>
    <w:p w14:paraId="13FE0668" w14:textId="77777777" w:rsidR="00C541FB" w:rsidRDefault="001C0EF3">
      <w:pPr>
        <w:pStyle w:val="IASBNormalnparaL1"/>
      </w:pPr>
      <w:r>
        <w:t>(h)</w:t>
      </w:r>
      <w:r>
        <w:tab/>
        <w:t>insurance contracts (paragraph B13)</w:t>
      </w:r>
      <w:r>
        <w:rPr>
          <w:u w:val="single"/>
        </w:rPr>
        <w:t>; and</w:t>
      </w:r>
      <w:r>
        <w:rPr>
          <w:strike/>
        </w:rPr>
        <w:t>.</w:t>
      </w:r>
    </w:p>
    <w:p w14:paraId="134891C9" w14:textId="77777777" w:rsidR="00C541FB" w:rsidRDefault="001C0EF3">
      <w:pPr>
        <w:pStyle w:val="IASBNormalnparaL1"/>
      </w:pPr>
      <w:r>
        <w:rPr>
          <w:u w:val="single"/>
        </w:rPr>
        <w:t>(</w:t>
      </w:r>
      <w:proofErr w:type="spellStart"/>
      <w:r>
        <w:rPr>
          <w:u w:val="single"/>
        </w:rPr>
        <w:t>i</w:t>
      </w:r>
      <w:proofErr w:type="spellEnd"/>
      <w:r>
        <w:rPr>
          <w:u w:val="single"/>
        </w:rPr>
        <w:t>)</w:t>
      </w:r>
      <w:r>
        <w:tab/>
      </w:r>
      <w:r>
        <w:rPr>
          <w:u w:val="single"/>
        </w:rPr>
        <w:t xml:space="preserve">deferred tax related to leases and decommissioning, </w:t>
      </w:r>
      <w:proofErr w:type="gramStart"/>
      <w:r>
        <w:rPr>
          <w:u w:val="single"/>
        </w:rPr>
        <w:t>restoration</w:t>
      </w:r>
      <w:proofErr w:type="gramEnd"/>
      <w:r>
        <w:rPr>
          <w:u w:val="single"/>
        </w:rPr>
        <w:t xml:space="preserve"> and similar liabilities (paragraph B14).</w:t>
      </w:r>
    </w:p>
    <w:p w14:paraId="620D82DE" w14:textId="77777777" w:rsidR="00C541FB" w:rsidRDefault="001C0EF3">
      <w:pPr>
        <w:pStyle w:val="IASBNormalnpara"/>
      </w:pPr>
      <w:r>
        <w:tab/>
        <w:t>...</w:t>
      </w:r>
    </w:p>
    <w:p w14:paraId="3B6256FD" w14:textId="77777777" w:rsidR="00C541FB" w:rsidRDefault="001C0EF3">
      <w:pPr>
        <w:pStyle w:val="IASBSectionTitle2Ind"/>
      </w:pPr>
      <w:r>
        <w:rPr>
          <w:u w:val="single"/>
        </w:rPr>
        <w:t xml:space="preserve">Deferred tax related to leases and decommissioning, </w:t>
      </w:r>
      <w:proofErr w:type="gramStart"/>
      <w:r>
        <w:rPr>
          <w:u w:val="single"/>
        </w:rPr>
        <w:t>restoration</w:t>
      </w:r>
      <w:proofErr w:type="gramEnd"/>
      <w:r>
        <w:rPr>
          <w:u w:val="single"/>
        </w:rPr>
        <w:t xml:space="preserve"> and similar liabilities</w:t>
      </w:r>
    </w:p>
    <w:p w14:paraId="46B007AB" w14:textId="77777777" w:rsidR="00C541FB" w:rsidRDefault="001C0EF3">
      <w:pPr>
        <w:pStyle w:val="IASBNormalnpara"/>
      </w:pPr>
      <w:r>
        <w:rPr>
          <w:u w:val="single"/>
        </w:rPr>
        <w:t>B14</w:t>
      </w:r>
      <w:r>
        <w:tab/>
      </w:r>
      <w:r>
        <w:rPr>
          <w:u w:val="single"/>
        </w:rPr>
        <w:t xml:space="preserve">Paragraphs 15 and 24 of IAS 12 </w:t>
      </w:r>
      <w:r>
        <w:rPr>
          <w:i/>
          <w:u w:val="single"/>
        </w:rPr>
        <w:t>Income Taxes</w:t>
      </w:r>
      <w:r>
        <w:rPr>
          <w:u w:val="single"/>
        </w:rPr>
        <w:t xml:space="preserve"> exempt an entity from </w:t>
      </w:r>
      <w:proofErr w:type="spellStart"/>
      <w:r>
        <w:rPr>
          <w:u w:val="single"/>
        </w:rPr>
        <w:t>recognising</w:t>
      </w:r>
      <w:proofErr w:type="spellEnd"/>
      <w:r>
        <w:rPr>
          <w:u w:val="single"/>
        </w:rPr>
        <w:t xml:space="preserve"> a deferred tax asset or liability in particular circumstances. Despite this exemption, at the date of transition to IFRSs, a first-time adopter shall </w:t>
      </w:r>
      <w:proofErr w:type="spellStart"/>
      <w:r>
        <w:rPr>
          <w:u w:val="single"/>
        </w:rPr>
        <w:t>recognise</w:t>
      </w:r>
      <w:proofErr w:type="spellEnd"/>
      <w:r>
        <w:rPr>
          <w:u w:val="single"/>
        </w:rPr>
        <w:t xml:space="preserve"> a deferred tax asset—to the extent that it is probable that taxable profit will be available against which the deductible temporary difference can be </w:t>
      </w:r>
      <w:proofErr w:type="spellStart"/>
      <w:r>
        <w:rPr>
          <w:u w:val="single"/>
        </w:rPr>
        <w:t>utilised</w:t>
      </w:r>
      <w:proofErr w:type="spellEnd"/>
      <w:r>
        <w:rPr>
          <w:u w:val="single"/>
        </w:rPr>
        <w:t>—and a deferred tax liability for all deductible and taxable temporary differences associated with:</w:t>
      </w:r>
    </w:p>
    <w:p w14:paraId="6A230A34" w14:textId="77777777" w:rsidR="00C541FB" w:rsidRDefault="001C0EF3">
      <w:pPr>
        <w:pStyle w:val="IASBNormalnparaL1"/>
      </w:pPr>
      <w:r>
        <w:rPr>
          <w:u w:val="single"/>
        </w:rPr>
        <w:t>(a)</w:t>
      </w:r>
      <w:r>
        <w:tab/>
      </w:r>
      <w:r>
        <w:rPr>
          <w:u w:val="single"/>
        </w:rPr>
        <w:t>right-of-use assets and lease liabilities; and</w:t>
      </w:r>
    </w:p>
    <w:p w14:paraId="5D4B59FC" w14:textId="77777777" w:rsidR="00C541FB" w:rsidRDefault="001C0EF3">
      <w:pPr>
        <w:pStyle w:val="IASBNormalnparaL1"/>
      </w:pPr>
      <w:r>
        <w:rPr>
          <w:u w:val="single"/>
        </w:rPr>
        <w:t>(b)</w:t>
      </w:r>
      <w:r>
        <w:tab/>
      </w:r>
      <w:r>
        <w:rPr>
          <w:u w:val="single"/>
        </w:rPr>
        <w:t xml:space="preserve">decommissioning, restoration and similar liabilities and the corresponding amounts </w:t>
      </w:r>
      <w:proofErr w:type="spellStart"/>
      <w:r>
        <w:rPr>
          <w:u w:val="single"/>
        </w:rPr>
        <w:t>recognised</w:t>
      </w:r>
      <w:proofErr w:type="spellEnd"/>
      <w:r>
        <w:rPr>
          <w:u w:val="single"/>
        </w:rPr>
        <w:t xml:space="preserve"> as part of the cost of the related asset.</w:t>
      </w:r>
    </w:p>
    <w:p w14:paraId="34E6EC06" w14:textId="29EEFEE5" w:rsidR="00C541FB" w:rsidRDefault="00C541FB" w:rsidP="00E74FC5">
      <w:pPr>
        <w:pStyle w:val="IASBSectionTitle1NonInd"/>
        <w:pBdr>
          <w:bottom w:val="none" w:sz="0" w:space="0" w:color="auto"/>
        </w:pBdr>
      </w:pPr>
    </w:p>
    <w:sectPr w:rsidR="00C541FB">
      <w:headerReference w:type="even" r:id="rId18"/>
      <w:headerReference w:type="default" r:id="rId19"/>
      <w:footerReference w:type="even" r:id="rId20"/>
      <w:footerReference w:type="default" r:id="rId21"/>
      <w:pgSz w:w="11880" w:h="1682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6F76" w14:textId="77777777" w:rsidR="007F6EF3" w:rsidRDefault="001C0EF3">
      <w:r>
        <w:separator/>
      </w:r>
    </w:p>
  </w:endnote>
  <w:endnote w:type="continuationSeparator" w:id="0">
    <w:p w14:paraId="6381AAE6" w14:textId="77777777" w:rsidR="007F6EF3" w:rsidRDefault="001C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A0C0" w14:textId="77777777" w:rsidR="00C541FB" w:rsidRDefault="001C0EF3">
    <w:pPr>
      <w:pStyle w:val="Footer"/>
    </w:pPr>
    <w:r>
      <w:fldChar w:fldCharType="begin"/>
    </w:r>
    <w:r>
      <w:instrText>PAGE</w:instrText>
    </w:r>
    <w:r>
      <w:fldChar w:fldCharType="end"/>
    </w:r>
    <w:r>
      <w:tab/>
      <w:t>© IFRS Foundation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1901" w14:textId="77777777" w:rsidR="00C541FB" w:rsidRDefault="001C0EF3">
    <w:pPr>
      <w:pStyle w:val="Footer"/>
    </w:pPr>
    <w:r>
      <w:tab/>
      <w:t>© IFRS Foundation</w:t>
    </w:r>
    <w:r>
      <w:tab/>
    </w:r>
    <w:r>
      <w:fldChar w:fldCharType="begin"/>
    </w:r>
    <w:r>
      <w:instrText>PAGE</w:instrText>
    </w:r>
    <w:r>
      <w:fldChar w:fldCharType="separate"/>
    </w:r>
    <w:r w:rsidR="004636B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AEB9" w14:textId="77777777" w:rsidR="00C541FB" w:rsidRDefault="001C0EF3">
    <w:pPr>
      <w:pStyle w:val="Footer"/>
    </w:pPr>
    <w:r>
      <w:fldChar w:fldCharType="begin"/>
    </w:r>
    <w:r>
      <w:instrText>PAGE</w:instrText>
    </w:r>
    <w:r>
      <w:fldChar w:fldCharType="separate"/>
    </w:r>
    <w:r w:rsidR="004636B2">
      <w:rPr>
        <w:noProof/>
      </w:rPr>
      <w:t>4</w:t>
    </w:r>
    <w:r>
      <w:fldChar w:fldCharType="end"/>
    </w:r>
    <w:r>
      <w:tab/>
      <w:t>© IFRS Foundation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D7D9" w14:textId="77777777" w:rsidR="00C541FB" w:rsidRDefault="001C0EF3">
    <w:pPr>
      <w:pStyle w:val="Footer"/>
    </w:pPr>
    <w:r>
      <w:tab/>
      <w:t>© IFRS Foundation</w:t>
    </w:r>
    <w:r>
      <w:tab/>
    </w:r>
    <w:r>
      <w:fldChar w:fldCharType="begin"/>
    </w:r>
    <w:r>
      <w:instrText>PAGE</w:instrText>
    </w:r>
    <w:r>
      <w:fldChar w:fldCharType="separate"/>
    </w:r>
    <w:r w:rsidR="004636B2">
      <w:rPr>
        <w:noProof/>
      </w:rPr>
      <w:t>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9EC4" w14:textId="7F05DA17" w:rsidR="00C541FB" w:rsidRDefault="001C0EF3">
    <w:pPr>
      <w:pStyle w:val="Footer"/>
    </w:pPr>
    <w:r>
      <w:fldChar w:fldCharType="begin"/>
    </w:r>
    <w:r>
      <w:instrText>PAGE</w:instrText>
    </w:r>
    <w:r>
      <w:fldChar w:fldCharType="separate"/>
    </w:r>
    <w:r w:rsidR="004636B2">
      <w:rPr>
        <w:noProof/>
      </w:rPr>
      <w:t>6</w:t>
    </w:r>
    <w:r>
      <w:fldChar w:fldCharType="end"/>
    </w:r>
    <w:r>
      <w:tab/>
      <w:t>© IFRS Foundation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E6F1" w14:textId="77777777" w:rsidR="00C541FB" w:rsidRDefault="001C0EF3">
    <w:pPr>
      <w:pStyle w:val="Footer"/>
    </w:pPr>
    <w:r>
      <w:tab/>
      <w:t>© IFRS Foundation</w:t>
    </w:r>
    <w:r>
      <w:tab/>
    </w:r>
    <w:r>
      <w:fldChar w:fldCharType="begin"/>
    </w:r>
    <w:r>
      <w:instrText>PAGE</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997" w14:textId="4123DAEE" w:rsidR="00C541FB" w:rsidRDefault="001C0EF3">
    <w:pPr>
      <w:pStyle w:val="Footer"/>
    </w:pPr>
    <w:r>
      <w:fldChar w:fldCharType="begin"/>
    </w:r>
    <w:r>
      <w:instrText>PAGE</w:instrText>
    </w:r>
    <w:r>
      <w:fldChar w:fldCharType="separate"/>
    </w:r>
    <w:r>
      <w:rPr>
        <w:noProof/>
      </w:rPr>
      <w:t>12</w:t>
    </w:r>
    <w:r>
      <w:fldChar w:fldCharType="end"/>
    </w:r>
    <w:r>
      <w:tab/>
      <w:t>© IFRS Foundation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D579" w14:textId="6C8E6A73" w:rsidR="00C541FB" w:rsidRDefault="001C0EF3">
    <w:pPr>
      <w:pStyle w:val="Footer"/>
    </w:pPr>
    <w:r>
      <w:tab/>
      <w:t>© IFRS Foundation</w:t>
    </w:r>
    <w:r>
      <w:tab/>
    </w:r>
    <w:r>
      <w:fldChar w:fldCharType="begin"/>
    </w:r>
    <w:r>
      <w:instrText>PAGE</w:instrText>
    </w:r>
    <w:r>
      <w:fldChar w:fldCharType="separate"/>
    </w:r>
    <w:r w:rsidR="004636B2">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B3E1" w14:textId="77777777" w:rsidR="007F6EF3" w:rsidRDefault="001C0EF3">
      <w:r>
        <w:separator/>
      </w:r>
    </w:p>
  </w:footnote>
  <w:footnote w:type="continuationSeparator" w:id="0">
    <w:p w14:paraId="03844514" w14:textId="77777777" w:rsidR="007F6EF3" w:rsidRDefault="001C0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8DB6" w14:textId="77777777" w:rsidR="00C541FB" w:rsidRDefault="00C54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279D" w14:textId="77777777" w:rsidR="00C541FB" w:rsidRDefault="001C0EF3">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3326" w14:textId="77777777" w:rsidR="00C541FB" w:rsidRDefault="00C541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C9DC" w14:textId="77777777" w:rsidR="00C541FB" w:rsidRDefault="001C0EF3">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1830" w14:textId="77777777" w:rsidR="00C541FB" w:rsidRDefault="00C541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D12E" w14:textId="77777777" w:rsidR="00C541FB" w:rsidRDefault="001C0EF3">
    <w:pPr>
      <w:pStyle w:val="Heade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D416" w14:textId="77777777" w:rsidR="00C541FB" w:rsidRDefault="00C541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7361" w14:textId="77777777" w:rsidR="00C541FB" w:rsidRDefault="001C0EF3">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FB"/>
    <w:rsid w:val="001C0EF3"/>
    <w:rsid w:val="002F088A"/>
    <w:rsid w:val="004636B2"/>
    <w:rsid w:val="007F6EF3"/>
    <w:rsid w:val="00C541FB"/>
    <w:rsid w:val="00E74FC5"/>
    <w:rsid w:val="00F761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2D5C"/>
  <w15:docId w15:val="{795989BC-58B7-4F3A-B80A-FFEDBAAB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pPr>
      <w:tabs>
        <w:tab w:val="left" w:pos="4253"/>
      </w:tabs>
      <w:spacing w:before="100" w:after="100" w:line="240" w:lineRule="auto"/>
      <w:jc w:val="both"/>
    </w:pPr>
    <w:rPr>
      <w:sz w:val="19"/>
      <w:szCs w:val="20"/>
      <w:lang w:val="en-US" w:eastAsia="en-US"/>
    </w:rPr>
  </w:style>
  <w:style w:type="paragraph" w:customStyle="1" w:styleId="IASBNormalArial">
    <w:name w:val="IASB Normal Arial"/>
    <w:pPr>
      <w:tabs>
        <w:tab w:val="left" w:pos="4253"/>
      </w:tabs>
      <w:spacing w:before="100" w:after="100" w:line="240" w:lineRule="auto"/>
      <w:jc w:val="both"/>
    </w:pPr>
    <w:rPr>
      <w:rFonts w:ascii="Arial" w:hAnsi="Arial"/>
      <w:sz w:val="19"/>
      <w:szCs w:val="20"/>
      <w:lang w:val="en-US"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Normal"/>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Normal"/>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Normal"/>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Normal"/>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Normal"/>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Normal"/>
    <w:rsid w:val="00E20281"/>
    <w:pPr>
      <w:keepNext/>
      <w:keepLines/>
      <w:spacing w:before="300" w:after="200"/>
    </w:pPr>
    <w:rPr>
      <w:rFonts w:ascii="Arial" w:hAnsi="Arial" w:cs="Arial"/>
      <w:b/>
      <w:sz w:val="19"/>
      <w:szCs w:val="20"/>
      <w:lang w:val="en-US"/>
    </w:rPr>
  </w:style>
  <w:style w:type="paragraph" w:customStyle="1" w:styleId="IASBSectionTitle5Ind">
    <w:name w:val="IASB Section Title 5 Ind"/>
    <w:basedOn w:val="IASBSectionTitle5NonInd"/>
    <w:rsid w:val="00E20281"/>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pPr>
      <w:ind w:left="1564"/>
    </w:pPr>
  </w:style>
  <w:style w:type="paragraph" w:customStyle="1" w:styleId="IASBNormalArialnparaL1">
    <w:name w:val="IASB Normal Arial nparaL1"/>
    <w:basedOn w:val="IASBNormalnpara"/>
    <w:pPr>
      <w:ind w:left="1564"/>
    </w:pPr>
    <w:rPr>
      <w:rFonts w:ascii="Arial" w:hAnsi="Arial"/>
    </w:r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Primary">
    <w:name w:val="IASB TOC Primary Primary"/>
    <w:basedOn w:val="Normal"/>
    <w:pPr>
      <w:tabs>
        <w:tab w:val="right" w:pos="8647"/>
      </w:tabs>
      <w:spacing w:before="100" w:after="100"/>
    </w:pPr>
    <w:rPr>
      <w:rFonts w:ascii="Arial" w:hAnsi="Arial" w:cs="Arial"/>
      <w:b/>
      <w:caps/>
      <w:sz w:val="20"/>
      <w:szCs w:val="20"/>
      <w:lang w:val="en-US"/>
    </w:rPr>
  </w:style>
  <w:style w:type="paragraph" w:customStyle="1" w:styleId="IASBTOCPrimary">
    <w:name w:val="IASB TOC Primary"/>
    <w:basedOn w:val="Normal"/>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Normal"/>
    <w:pPr>
      <w:spacing w:before="30" w:after="30"/>
    </w:pPr>
    <w:rPr>
      <w:rFonts w:ascii="Arial" w:hAnsi="Arial" w:cs="Arial"/>
      <w:i/>
      <w:sz w:val="18"/>
      <w:szCs w:val="20"/>
      <w:lang w:val="en-US"/>
    </w:rPr>
  </w:style>
  <w:style w:type="paragraph" w:customStyle="1" w:styleId="IASBTOCSecondary">
    <w:name w:val="IASB TOC Secondary"/>
    <w:basedOn w:val="Normal"/>
    <w:pPr>
      <w:tabs>
        <w:tab w:val="right" w:pos="8647"/>
      </w:tabs>
      <w:spacing w:before="30" w:after="30"/>
    </w:pPr>
    <w:rPr>
      <w:rFonts w:ascii="Arial" w:hAnsi="Arial" w:cs="Arial"/>
      <w:b/>
      <w:sz w:val="18"/>
      <w:szCs w:val="20"/>
      <w:lang w:val="en-US"/>
    </w:rPr>
  </w:style>
  <w:style w:type="paragraph" w:customStyle="1" w:styleId="IASBTOCTertiary">
    <w:name w:val="IASB TOC Tertiary"/>
    <w:basedOn w:val="Normal"/>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Normal"/>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E9784B"/>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FootnoteReference">
    <w:name w:val="footnote reference"/>
    <w:basedOn w:val="DefaultParagraphFont"/>
    <w:uiPriority w:val="99"/>
    <w:semiHidden/>
    <w:unhideWhenUsed/>
    <w:rPr>
      <w:rFonts w:cs="Times New Roman"/>
      <w:vertAlign w:val="superscript"/>
    </w:rPr>
  </w:style>
  <w:style w:type="paragraph" w:styleId="FootnoteText">
    <w:name w:val="footnote text"/>
    <w:basedOn w:val="IASBSectionTitle2Ind"/>
    <w:next w:val="IASBBlockquote"/>
    <w:uiPriority w:val="99"/>
    <w:semiHidden/>
    <w:rsid w:val="00713675"/>
    <w:pPr>
      <w:keepNext w:val="0"/>
      <w:keepLines w:val="0"/>
      <w:spacing w:before="0" w:after="0"/>
      <w:ind w:hanging="782"/>
    </w:pPr>
    <w:rPr>
      <w:rFonts w:ascii="Times New Roman" w:hAnsi="Times New Roman" w:cs="Times New Roman"/>
      <w:b w:val="0"/>
      <w:sz w:val="16"/>
    </w:rPr>
  </w:style>
  <w:style w:type="paragraph" w:customStyle="1" w:styleId="edufootnotetext">
    <w:name w:val="edu footnote text"/>
    <w:basedOn w:val="IASBSectionTitle2Ind"/>
    <w:next w:val="IASBBlockquote"/>
    <w:link w:val="FootnoteTextChar"/>
    <w:uiPriority w:val="99"/>
    <w:semiHidden/>
    <w:rsid w:val="00713675"/>
    <w:pPr>
      <w:keepNext w:val="0"/>
      <w:keepLines w:val="0"/>
      <w:spacing w:before="0" w:after="0"/>
      <w:ind w:hanging="782"/>
    </w:pPr>
    <w:rPr>
      <w:sz w:val="16"/>
    </w:rPr>
  </w:style>
  <w:style w:type="character" w:customStyle="1" w:styleId="FootnoteTextChar">
    <w:name w:val="Footnote Text Char"/>
    <w:basedOn w:val="DefaultParagraphFont"/>
    <w:link w:val="edufootnotetext"/>
    <w:uiPriority w:val="99"/>
    <w:semiHidden/>
    <w:rPr>
      <w:sz w:val="20"/>
      <w:szCs w:val="20"/>
      <w:lang w:eastAsia="en-US"/>
    </w:rPr>
  </w:style>
  <w:style w:type="paragraph" w:customStyle="1" w:styleId="IASBNormalL1">
    <w:name w:val="IASB Normal L1"/>
    <w:basedOn w:val="IASBNormalnpara"/>
  </w:style>
  <w:style w:type="paragraph" w:customStyle="1" w:styleId="IASBNormalArialL1">
    <w:name w:val="IASB Normal Arial L1"/>
    <w:basedOn w:val="IASBNormalnpara"/>
    <w:rPr>
      <w:rFonts w:ascii="Arial" w:hAnsi="Arial"/>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ArialnparaL2">
    <w:name w:val="IASB Normal Arial nparaL2"/>
    <w:basedOn w:val="IASBNormalnparaL1"/>
    <w:pPr>
      <w:ind w:left="2347"/>
    </w:pPr>
    <w:rPr>
      <w:rFonts w:ascii="Arial" w:hAnsi="Arial"/>
    </w:rPr>
  </w:style>
  <w:style w:type="paragraph" w:customStyle="1" w:styleId="IASBNormalArialnparaL3">
    <w:name w:val="IASB Normal Arial nparaL3"/>
    <w:basedOn w:val="IASBNormalnparaL2"/>
    <w:pPr>
      <w:ind w:left="3129"/>
    </w:pPr>
    <w:rPr>
      <w:rFonts w:ascii="Arial" w:hAnsi="Arial"/>
    </w:rPr>
  </w:style>
  <w:style w:type="paragraph" w:customStyle="1" w:styleId="IASBNormalArialnparaL4">
    <w:name w:val="IASB Normal Arial nparaL4"/>
    <w:basedOn w:val="IASBNormalnparaL3"/>
    <w:pPr>
      <w:ind w:left="3912"/>
    </w:pPr>
    <w:rPr>
      <w:rFonts w:ascii="Arial" w:hAnsi="Arial"/>
    </w:rPr>
  </w:style>
  <w:style w:type="paragraph" w:customStyle="1" w:styleId="IASBNormalArialnparaL5">
    <w:name w:val="IASB Normal Arial nparaL5"/>
    <w:basedOn w:val="IASBNormalnparaL4"/>
    <w:pPr>
      <w:ind w:left="4694"/>
    </w:pPr>
    <w:rPr>
      <w:rFonts w:ascii="Arial" w:hAnsi="Arial"/>
    </w:r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NormalArialL2">
    <w:name w:val="IASB Normal Arial L2"/>
    <w:basedOn w:val="IASBNormalL1"/>
    <w:pPr>
      <w:ind w:left="1564"/>
    </w:pPr>
    <w:rPr>
      <w:rFonts w:ascii="Arial" w:hAnsi="Arial"/>
    </w:r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Normal"/>
    <w:qFormat/>
    <w:pPr>
      <w:spacing w:before="120"/>
    </w:pPr>
    <w:rPr>
      <w:b/>
      <w:sz w:val="19"/>
      <w:szCs w:val="20"/>
      <w:lang w:eastAsia="en-GB"/>
    </w:rPr>
  </w:style>
  <w:style w:type="paragraph" w:customStyle="1" w:styleId="IASBTableHeaderTNR">
    <w:name w:val="IASB Table Header TNR"/>
    <w:basedOn w:val="Normal"/>
    <w:qFormat/>
    <w:pPr>
      <w:keepNext/>
      <w:spacing w:before="120" w:after="200" w:line="276" w:lineRule="auto"/>
    </w:pPr>
    <w:rPr>
      <w:sz w:val="19"/>
      <w:szCs w:val="20"/>
      <w:lang w:eastAsia="en-GB"/>
    </w:rPr>
  </w:style>
  <w:style w:type="paragraph" w:customStyle="1" w:styleId="IASBTableTNR">
    <w:name w:val="IASB Table TNR"/>
    <w:basedOn w:val="Normal"/>
    <w:qFormat/>
    <w:pPr>
      <w:spacing w:before="120"/>
    </w:pPr>
    <w:rPr>
      <w:sz w:val="19"/>
      <w:szCs w:val="20"/>
      <w:lang w:eastAsia="en-GB"/>
    </w:rPr>
  </w:style>
  <w:style w:type="paragraph" w:customStyle="1" w:styleId="IASBTableNormal">
    <w:name w:val="IASB Table Normal"/>
    <w:basedOn w:val="Normal"/>
    <w:pPr>
      <w:spacing w:before="80" w:after="60"/>
    </w:pPr>
    <w:rPr>
      <w:sz w:val="19"/>
      <w:szCs w:val="20"/>
      <w:lang w:eastAsia="en-GB"/>
    </w:rPr>
  </w:style>
  <w:style w:type="paragraph" w:customStyle="1" w:styleId="IASBTableArial">
    <w:name w:val="IASB Table Arial"/>
    <w:basedOn w:val="Normal"/>
    <w:pPr>
      <w:spacing w:before="120"/>
    </w:pPr>
    <w:rPr>
      <w:rFonts w:ascii="Arial" w:hAnsi="Arial"/>
      <w:sz w:val="18"/>
      <w:szCs w:val="20"/>
      <w:lang w:eastAsia="en-GB"/>
    </w:rPr>
  </w:style>
  <w:style w:type="paragraph" w:customStyle="1" w:styleId="IASBTableBoldArial">
    <w:name w:val="IASB Table Bold Arial"/>
    <w:basedOn w:val="IASBTableArial"/>
    <w:qFormat/>
    <w:pPr>
      <w:spacing w:after="60"/>
    </w:pPr>
    <w:rPr>
      <w:b/>
    </w:rPr>
  </w:style>
  <w:style w:type="paragraph" w:customStyle="1" w:styleId="IASBTableHeaderArial">
    <w:name w:val="IASB Table Header Arial"/>
    <w:basedOn w:val="IASBTableArial"/>
    <w:qFormat/>
    <w:pPr>
      <w:keepNext/>
      <w:spacing w:after="100"/>
    </w:pPr>
    <w:rPr>
      <w:b/>
    </w:rPr>
  </w:style>
  <w:style w:type="character" w:styleId="EndnoteReference">
    <w:name w:val="endnote reference"/>
    <w:basedOn w:val="DefaultParagraphFont"/>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ArialL3">
    <w:name w:val="IASB Normal Arial L3"/>
    <w:basedOn w:val="IASBNormalL2"/>
    <w:qFormat/>
    <w:rsid w:val="0078108C"/>
    <w:pPr>
      <w:ind w:left="2268" w:hanging="708"/>
    </w:pPr>
    <w:rPr>
      <w:rFonts w:ascii="Arial" w:hAnsi="Arial"/>
    </w:r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ArialL4">
    <w:name w:val="IASB Normal Arial L4"/>
    <w:basedOn w:val="IASBNormalL3"/>
    <w:qFormat/>
    <w:rsid w:val="0078108C"/>
    <w:pPr>
      <w:ind w:left="2977"/>
    </w:pPr>
    <w:rPr>
      <w:rFonts w:ascii="Arial" w:hAnsi="Arial"/>
    </w:rPr>
  </w:style>
  <w:style w:type="paragraph" w:customStyle="1" w:styleId="IASBNormalL4P">
    <w:name w:val="IASB Normal L4P"/>
    <w:basedOn w:val="IASBNormalL3P"/>
    <w:qFormat/>
    <w:rsid w:val="0078108C"/>
    <w:pPr>
      <w:ind w:left="2977"/>
    </w:pPr>
  </w:style>
  <w:style w:type="character" w:styleId="Hyperlink">
    <w:name w:val="Hyperlink"/>
    <w:basedOn w:val="DefaultParagraphFont"/>
    <w:uiPriority w:val="99"/>
    <w:unhideWhenUsed/>
    <w:rsid w:val="00F761C3"/>
    <w:rPr>
      <w:color w:val="0563C1" w:themeColor="hyperlink"/>
      <w:u w:val="single"/>
    </w:rPr>
  </w:style>
  <w:style w:type="character" w:styleId="UnresolvedMention">
    <w:name w:val="Unresolved Mention"/>
    <w:basedOn w:val="DefaultParagraphFont"/>
    <w:uiPriority w:val="99"/>
    <w:semiHidden/>
    <w:unhideWhenUsed/>
    <w:rsid w:val="00F76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Macdonald, Leilani</cp:lastModifiedBy>
  <cp:revision>3</cp:revision>
  <dcterms:created xsi:type="dcterms:W3CDTF">2021-05-10T17:48:00Z</dcterms:created>
  <dcterms:modified xsi:type="dcterms:W3CDTF">2021-05-10T17:49:00Z</dcterms:modified>
</cp:coreProperties>
</file>