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3EEE2" w14:textId="77777777" w:rsidR="00C01CAA" w:rsidRPr="00D7737E" w:rsidRDefault="00C01CAA" w:rsidP="00C01CAA">
      <w:pPr>
        <w:spacing w:after="0" w:line="240" w:lineRule="auto"/>
        <w:jc w:val="both"/>
        <w:rPr>
          <w:rFonts w:ascii="Calibri" w:hAnsi="Calibri" w:cs="Calibri"/>
          <w:b/>
          <w:bCs/>
          <w:sz w:val="21"/>
          <w:szCs w:val="21"/>
        </w:rPr>
      </w:pPr>
      <w:bookmarkStart w:id="0" w:name="_Hlk197089569"/>
      <w:r w:rsidRPr="00D7737E">
        <w:rPr>
          <w:rFonts w:ascii="Calibri" w:hAnsi="Calibri" w:cs="Calibri"/>
          <w:b/>
          <w:bCs/>
          <w:sz w:val="21"/>
          <w:szCs w:val="21"/>
        </w:rPr>
        <w:t>Financial Reporting Council</w:t>
      </w:r>
    </w:p>
    <w:bookmarkEnd w:id="0"/>
    <w:p w14:paraId="658991F5" w14:textId="77777777" w:rsidR="00C01CAA" w:rsidRPr="00D7737E" w:rsidRDefault="00C01CAA" w:rsidP="00074AE6">
      <w:pPr>
        <w:spacing w:after="0" w:line="240" w:lineRule="auto"/>
        <w:ind w:left="720" w:hanging="720"/>
        <w:jc w:val="both"/>
        <w:rPr>
          <w:rFonts w:ascii="Calibri" w:hAnsi="Calibri" w:cs="Calibri"/>
          <w:b/>
          <w:bCs/>
          <w:sz w:val="21"/>
          <w:szCs w:val="21"/>
        </w:rPr>
      </w:pPr>
    </w:p>
    <w:p w14:paraId="2AE4D7FF" w14:textId="77777777" w:rsidR="00977CF4" w:rsidRPr="00D7737E" w:rsidRDefault="00831A5F" w:rsidP="00074AE6">
      <w:pPr>
        <w:spacing w:after="0" w:line="240" w:lineRule="auto"/>
        <w:ind w:left="720" w:hanging="720"/>
        <w:jc w:val="both"/>
        <w:rPr>
          <w:rFonts w:ascii="Calibri" w:hAnsi="Calibri" w:cs="Calibri"/>
          <w:b/>
          <w:bCs/>
          <w:sz w:val="21"/>
          <w:szCs w:val="21"/>
        </w:rPr>
      </w:pPr>
      <w:r w:rsidRPr="00D7737E">
        <w:rPr>
          <w:rFonts w:ascii="Calibri" w:hAnsi="Calibri" w:cs="Calibri"/>
          <w:b/>
          <w:bCs/>
          <w:sz w:val="21"/>
          <w:szCs w:val="21"/>
        </w:rPr>
        <w:t xml:space="preserve">Executive summary </w:t>
      </w:r>
    </w:p>
    <w:p w14:paraId="17BEF82A" w14:textId="77777777" w:rsidR="00977CF4" w:rsidRPr="00D7737E" w:rsidRDefault="00977CF4" w:rsidP="00074AE6">
      <w:pPr>
        <w:spacing w:after="0" w:line="240" w:lineRule="auto"/>
        <w:ind w:left="720" w:hanging="720"/>
        <w:jc w:val="both"/>
        <w:rPr>
          <w:rFonts w:ascii="Calibri" w:hAnsi="Calibri" w:cs="Calibri"/>
          <w:b/>
          <w:bCs/>
          <w:sz w:val="21"/>
          <w:szCs w:val="21"/>
        </w:rPr>
      </w:pPr>
    </w:p>
    <w:p w14:paraId="585DDB8A" w14:textId="0BAFD6D9" w:rsidR="00831A5F" w:rsidRPr="00D7737E" w:rsidRDefault="00DE38A8" w:rsidP="00074AE6">
      <w:pPr>
        <w:spacing w:after="0" w:line="240" w:lineRule="auto"/>
        <w:ind w:left="720" w:hanging="720"/>
        <w:jc w:val="both"/>
        <w:rPr>
          <w:rFonts w:ascii="Calibri" w:hAnsi="Calibri" w:cs="Calibri"/>
          <w:b/>
          <w:bCs/>
          <w:sz w:val="21"/>
          <w:szCs w:val="21"/>
        </w:rPr>
      </w:pPr>
      <w:r w:rsidRPr="00D7737E">
        <w:rPr>
          <w:rFonts w:ascii="Calibri" w:hAnsi="Calibri" w:cs="Calibri"/>
          <w:b/>
          <w:bCs/>
          <w:sz w:val="21"/>
          <w:szCs w:val="21"/>
        </w:rPr>
        <w:t>Thematic</w:t>
      </w:r>
      <w:r w:rsidR="00977CF4" w:rsidRPr="00D7737E">
        <w:rPr>
          <w:rFonts w:ascii="Calibri" w:hAnsi="Calibri" w:cs="Calibri"/>
          <w:b/>
          <w:bCs/>
          <w:sz w:val="21"/>
          <w:szCs w:val="21"/>
        </w:rPr>
        <w:t xml:space="preserve"> review </w:t>
      </w:r>
      <w:r w:rsidR="00C01CAA" w:rsidRPr="00D7737E">
        <w:rPr>
          <w:rFonts w:ascii="Calibri" w:hAnsi="Calibri" w:cs="Calibri"/>
          <w:b/>
          <w:bCs/>
          <w:sz w:val="21"/>
          <w:szCs w:val="21"/>
        </w:rPr>
        <w:t>on</w:t>
      </w:r>
      <w:r w:rsidR="00073A7C">
        <w:rPr>
          <w:rFonts w:ascii="Calibri" w:hAnsi="Calibri" w:cs="Calibri"/>
          <w:b/>
          <w:bCs/>
          <w:sz w:val="21"/>
          <w:szCs w:val="21"/>
        </w:rPr>
        <w:t xml:space="preserve"> the extent of </w:t>
      </w:r>
      <w:r w:rsidR="00C01CAA" w:rsidRPr="00D7737E">
        <w:rPr>
          <w:rFonts w:ascii="Calibri" w:hAnsi="Calibri" w:cs="Calibri"/>
          <w:b/>
          <w:bCs/>
          <w:sz w:val="21"/>
          <w:szCs w:val="21"/>
        </w:rPr>
        <w:t>financial and non-financial risks disclosures</w:t>
      </w:r>
      <w:r w:rsidR="00073A7C">
        <w:rPr>
          <w:rFonts w:ascii="Calibri" w:hAnsi="Calibri" w:cs="Calibri"/>
          <w:b/>
          <w:bCs/>
          <w:sz w:val="21"/>
          <w:szCs w:val="21"/>
        </w:rPr>
        <w:t xml:space="preserve"> of selected PIEs</w:t>
      </w:r>
    </w:p>
    <w:p w14:paraId="0CAA1C47" w14:textId="77777777" w:rsidR="00074AE6" w:rsidRPr="00D7737E" w:rsidRDefault="00074AE6" w:rsidP="00074AE6">
      <w:pPr>
        <w:spacing w:after="0" w:line="240" w:lineRule="auto"/>
        <w:jc w:val="both"/>
        <w:rPr>
          <w:rFonts w:ascii="Calibri" w:hAnsi="Calibri" w:cs="Calibri"/>
          <w:sz w:val="21"/>
          <w:szCs w:val="21"/>
        </w:rPr>
      </w:pPr>
    </w:p>
    <w:p w14:paraId="0CABB815" w14:textId="73D1EF30" w:rsidR="008301E3" w:rsidRPr="00D7737E" w:rsidRDefault="00891D20" w:rsidP="00074AE6">
      <w:pPr>
        <w:spacing w:after="0" w:line="240" w:lineRule="auto"/>
        <w:jc w:val="both"/>
        <w:rPr>
          <w:rFonts w:ascii="Calibri" w:hAnsi="Calibri" w:cs="Calibri"/>
          <w:sz w:val="21"/>
          <w:szCs w:val="21"/>
        </w:rPr>
      </w:pPr>
      <w:r w:rsidRPr="00D7737E">
        <w:rPr>
          <w:rFonts w:ascii="Calibri" w:hAnsi="Calibri" w:cs="Calibri"/>
          <w:sz w:val="21"/>
          <w:szCs w:val="21"/>
        </w:rPr>
        <w:t xml:space="preserve">In recent </w:t>
      </w:r>
      <w:r w:rsidR="00073A7C">
        <w:rPr>
          <w:rFonts w:ascii="Calibri" w:hAnsi="Calibri" w:cs="Calibri"/>
          <w:sz w:val="21"/>
          <w:szCs w:val="21"/>
        </w:rPr>
        <w:t>years</w:t>
      </w:r>
      <w:r w:rsidRPr="00D7737E">
        <w:rPr>
          <w:rFonts w:ascii="Calibri" w:hAnsi="Calibri" w:cs="Calibri"/>
          <w:sz w:val="21"/>
          <w:szCs w:val="21"/>
        </w:rPr>
        <w:t>, there has been a</w:t>
      </w:r>
      <w:r w:rsidR="00D22C38" w:rsidRPr="00D7737E">
        <w:rPr>
          <w:rFonts w:ascii="Calibri" w:hAnsi="Calibri" w:cs="Calibri"/>
          <w:sz w:val="21"/>
          <w:szCs w:val="21"/>
        </w:rPr>
        <w:t xml:space="preserve"> growing demand</w:t>
      </w:r>
      <w:r w:rsidR="003B5DB3" w:rsidRPr="00D7737E">
        <w:rPr>
          <w:rFonts w:ascii="Calibri" w:hAnsi="Calibri" w:cs="Calibri"/>
          <w:sz w:val="21"/>
          <w:szCs w:val="21"/>
        </w:rPr>
        <w:t xml:space="preserve"> </w:t>
      </w:r>
      <w:r w:rsidR="00D22C38" w:rsidRPr="00D7737E">
        <w:rPr>
          <w:rFonts w:ascii="Calibri" w:hAnsi="Calibri" w:cs="Calibri"/>
          <w:sz w:val="21"/>
          <w:szCs w:val="21"/>
        </w:rPr>
        <w:t xml:space="preserve">for </w:t>
      </w:r>
      <w:r w:rsidR="002D6A31" w:rsidRPr="00D7737E">
        <w:rPr>
          <w:rFonts w:ascii="Calibri" w:hAnsi="Calibri" w:cs="Calibri"/>
          <w:sz w:val="21"/>
          <w:szCs w:val="21"/>
        </w:rPr>
        <w:t>improved transparency and relevance in the</w:t>
      </w:r>
      <w:r w:rsidR="00D22C38" w:rsidRPr="00D7737E">
        <w:rPr>
          <w:rFonts w:ascii="Calibri" w:hAnsi="Calibri" w:cs="Calibri"/>
          <w:sz w:val="21"/>
          <w:szCs w:val="21"/>
        </w:rPr>
        <w:t xml:space="preserve"> reporting of business risks</w:t>
      </w:r>
      <w:r w:rsidR="00073A7C">
        <w:rPr>
          <w:rFonts w:ascii="Calibri" w:hAnsi="Calibri" w:cs="Calibri"/>
          <w:sz w:val="21"/>
          <w:szCs w:val="21"/>
        </w:rPr>
        <w:t xml:space="preserve"> within the financial statements</w:t>
      </w:r>
      <w:r w:rsidR="00D22C38" w:rsidRPr="00D7737E">
        <w:rPr>
          <w:rFonts w:ascii="Calibri" w:hAnsi="Calibri" w:cs="Calibri"/>
          <w:sz w:val="21"/>
          <w:szCs w:val="21"/>
        </w:rPr>
        <w:t>.</w:t>
      </w:r>
      <w:r w:rsidR="003227B3" w:rsidRPr="00D7737E">
        <w:rPr>
          <w:rFonts w:ascii="Calibri" w:hAnsi="Calibri" w:cs="Calibri"/>
          <w:sz w:val="21"/>
          <w:szCs w:val="21"/>
        </w:rPr>
        <w:t xml:space="preserve"> </w:t>
      </w:r>
      <w:r w:rsidR="00B86A57" w:rsidRPr="00D7737E">
        <w:rPr>
          <w:rFonts w:ascii="Calibri" w:hAnsi="Calibri" w:cs="Calibri"/>
          <w:sz w:val="21"/>
          <w:szCs w:val="21"/>
        </w:rPr>
        <w:t>U</w:t>
      </w:r>
      <w:r w:rsidR="003227B3" w:rsidRPr="00D7737E">
        <w:rPr>
          <w:rFonts w:ascii="Calibri" w:hAnsi="Calibri" w:cs="Calibri"/>
          <w:sz w:val="21"/>
          <w:szCs w:val="21"/>
        </w:rPr>
        <w:t xml:space="preserve">sers </w:t>
      </w:r>
      <w:r w:rsidR="00B86A57" w:rsidRPr="00D7737E">
        <w:rPr>
          <w:rFonts w:ascii="Calibri" w:hAnsi="Calibri" w:cs="Calibri"/>
          <w:sz w:val="21"/>
          <w:szCs w:val="21"/>
        </w:rPr>
        <w:t>of financial statements increasingly seek</w:t>
      </w:r>
      <w:r w:rsidR="003227B3" w:rsidRPr="00D7737E">
        <w:rPr>
          <w:rFonts w:ascii="Calibri" w:hAnsi="Calibri" w:cs="Calibri"/>
          <w:sz w:val="21"/>
          <w:szCs w:val="21"/>
        </w:rPr>
        <w:t xml:space="preserve"> decision-useful information</w:t>
      </w:r>
      <w:r w:rsidR="00B86A57" w:rsidRPr="00D7737E">
        <w:rPr>
          <w:rFonts w:ascii="Calibri" w:hAnsi="Calibri" w:cs="Calibri"/>
          <w:sz w:val="21"/>
          <w:szCs w:val="21"/>
        </w:rPr>
        <w:t xml:space="preserve"> particularly regarding the key risks faced by Public Interest </w:t>
      </w:r>
      <w:proofErr w:type="gramStart"/>
      <w:r w:rsidR="00B86A57" w:rsidRPr="00D7737E">
        <w:rPr>
          <w:rFonts w:ascii="Calibri" w:hAnsi="Calibri" w:cs="Calibri"/>
          <w:sz w:val="21"/>
          <w:szCs w:val="21"/>
        </w:rPr>
        <w:t>Entities (‘</w:t>
      </w:r>
      <w:proofErr w:type="spellStart"/>
      <w:proofErr w:type="gramEnd"/>
      <w:r w:rsidR="00B86A57" w:rsidRPr="00D7737E">
        <w:rPr>
          <w:rFonts w:ascii="Calibri" w:hAnsi="Calibri" w:cs="Calibri"/>
          <w:sz w:val="21"/>
          <w:szCs w:val="21"/>
        </w:rPr>
        <w:t>PIEs’</w:t>
      </w:r>
      <w:proofErr w:type="spellEnd"/>
      <w:r w:rsidR="00B86A57" w:rsidRPr="00D7737E">
        <w:rPr>
          <w:rFonts w:ascii="Calibri" w:hAnsi="Calibri" w:cs="Calibri"/>
          <w:sz w:val="21"/>
          <w:szCs w:val="21"/>
        </w:rPr>
        <w:t>)</w:t>
      </w:r>
      <w:r w:rsidR="003227B3" w:rsidRPr="00D7737E">
        <w:rPr>
          <w:rFonts w:ascii="Calibri" w:hAnsi="Calibri" w:cs="Calibri"/>
          <w:sz w:val="21"/>
          <w:szCs w:val="21"/>
        </w:rPr>
        <w:t>.</w:t>
      </w:r>
    </w:p>
    <w:p w14:paraId="310D4F6F" w14:textId="77777777" w:rsidR="00D1177A" w:rsidRPr="00D7737E" w:rsidRDefault="00D1177A" w:rsidP="00074AE6">
      <w:pPr>
        <w:spacing w:after="0" w:line="240" w:lineRule="auto"/>
        <w:jc w:val="both"/>
        <w:rPr>
          <w:rFonts w:ascii="Calibri" w:hAnsi="Calibri" w:cs="Calibri"/>
          <w:sz w:val="21"/>
          <w:szCs w:val="21"/>
        </w:rPr>
      </w:pPr>
    </w:p>
    <w:p w14:paraId="7B00729D" w14:textId="29D741D4" w:rsidR="00190A14" w:rsidRPr="00D7737E" w:rsidRDefault="00B86A57" w:rsidP="00074AE6">
      <w:pPr>
        <w:spacing w:after="0" w:line="240" w:lineRule="auto"/>
        <w:jc w:val="both"/>
        <w:rPr>
          <w:rFonts w:ascii="Calibri" w:hAnsi="Calibri" w:cs="Calibri"/>
          <w:sz w:val="21"/>
          <w:szCs w:val="21"/>
        </w:rPr>
      </w:pPr>
      <w:r w:rsidRPr="00D7737E">
        <w:rPr>
          <w:rFonts w:ascii="Calibri" w:hAnsi="Calibri" w:cs="Calibri"/>
          <w:sz w:val="21"/>
          <w:szCs w:val="21"/>
        </w:rPr>
        <w:t>In response, t</w:t>
      </w:r>
      <w:r w:rsidR="00D22C38" w:rsidRPr="00D7737E">
        <w:rPr>
          <w:rFonts w:ascii="Calibri" w:hAnsi="Calibri" w:cs="Calibri"/>
          <w:sz w:val="21"/>
          <w:szCs w:val="21"/>
        </w:rPr>
        <w:t xml:space="preserve">he Financial Reporting </w:t>
      </w:r>
      <w:proofErr w:type="gramStart"/>
      <w:r w:rsidRPr="00D7737E">
        <w:rPr>
          <w:rFonts w:ascii="Calibri" w:hAnsi="Calibri" w:cs="Calibri"/>
          <w:sz w:val="21"/>
          <w:szCs w:val="21"/>
        </w:rPr>
        <w:t>Council (‘</w:t>
      </w:r>
      <w:proofErr w:type="gramEnd"/>
      <w:r w:rsidR="00D22C38" w:rsidRPr="00D7737E">
        <w:rPr>
          <w:rFonts w:ascii="Calibri" w:hAnsi="Calibri" w:cs="Calibri"/>
          <w:sz w:val="21"/>
          <w:szCs w:val="21"/>
        </w:rPr>
        <w:t xml:space="preserve">FRC’) </w:t>
      </w:r>
      <w:r w:rsidRPr="00D7737E">
        <w:rPr>
          <w:rFonts w:ascii="Calibri" w:hAnsi="Calibri" w:cs="Calibri"/>
          <w:sz w:val="21"/>
          <w:szCs w:val="21"/>
        </w:rPr>
        <w:t>conducted</w:t>
      </w:r>
      <w:r w:rsidR="00D22C38" w:rsidRPr="00D7737E">
        <w:rPr>
          <w:rFonts w:ascii="Calibri" w:hAnsi="Calibri" w:cs="Calibri"/>
          <w:sz w:val="21"/>
          <w:szCs w:val="21"/>
        </w:rPr>
        <w:t xml:space="preserve"> a </w:t>
      </w:r>
      <w:r w:rsidR="00DE38A8" w:rsidRPr="00D7737E">
        <w:rPr>
          <w:rFonts w:ascii="Calibri" w:hAnsi="Calibri" w:cs="Calibri"/>
          <w:sz w:val="21"/>
          <w:szCs w:val="21"/>
        </w:rPr>
        <w:t>thematic</w:t>
      </w:r>
      <w:r w:rsidR="00D22C38" w:rsidRPr="00D7737E">
        <w:rPr>
          <w:rFonts w:ascii="Calibri" w:hAnsi="Calibri" w:cs="Calibri"/>
          <w:sz w:val="21"/>
          <w:szCs w:val="21"/>
        </w:rPr>
        <w:t xml:space="preserve"> review to </w:t>
      </w:r>
      <w:r w:rsidRPr="00D7737E">
        <w:rPr>
          <w:rFonts w:ascii="Calibri" w:hAnsi="Calibri" w:cs="Calibri"/>
          <w:sz w:val="21"/>
          <w:szCs w:val="21"/>
        </w:rPr>
        <w:t>evaluate</w:t>
      </w:r>
      <w:r w:rsidR="00995ACD" w:rsidRPr="00D7737E">
        <w:rPr>
          <w:rFonts w:ascii="Calibri" w:hAnsi="Calibri" w:cs="Calibri"/>
          <w:sz w:val="21"/>
          <w:szCs w:val="21"/>
        </w:rPr>
        <w:t xml:space="preserve"> the quality </w:t>
      </w:r>
      <w:r w:rsidRPr="00D7737E">
        <w:rPr>
          <w:rFonts w:ascii="Calibri" w:hAnsi="Calibri" w:cs="Calibri"/>
          <w:sz w:val="21"/>
          <w:szCs w:val="21"/>
        </w:rPr>
        <w:t xml:space="preserve">of </w:t>
      </w:r>
      <w:r w:rsidR="006E3AFF" w:rsidRPr="00D7737E">
        <w:rPr>
          <w:rFonts w:ascii="Calibri" w:hAnsi="Calibri" w:cs="Calibri"/>
          <w:sz w:val="21"/>
          <w:szCs w:val="21"/>
        </w:rPr>
        <w:t>financial and non-financial risk</w:t>
      </w:r>
      <w:r w:rsidRPr="00D7737E">
        <w:rPr>
          <w:rFonts w:ascii="Calibri" w:hAnsi="Calibri" w:cs="Calibri"/>
          <w:sz w:val="21"/>
          <w:szCs w:val="21"/>
        </w:rPr>
        <w:t xml:space="preserve"> disclosure</w:t>
      </w:r>
      <w:r w:rsidR="006E3AFF" w:rsidRPr="00D7737E">
        <w:rPr>
          <w:rFonts w:ascii="Calibri" w:hAnsi="Calibri" w:cs="Calibri"/>
          <w:sz w:val="21"/>
          <w:szCs w:val="21"/>
        </w:rPr>
        <w:t>s</w:t>
      </w:r>
      <w:r w:rsidRPr="00D7737E">
        <w:rPr>
          <w:rFonts w:ascii="Calibri" w:hAnsi="Calibri" w:cs="Calibri"/>
          <w:sz w:val="21"/>
          <w:szCs w:val="21"/>
        </w:rPr>
        <w:t xml:space="preserve"> in the annual reports of selected PIEs</w:t>
      </w:r>
      <w:r w:rsidR="006E3AFF" w:rsidRPr="00D7737E">
        <w:rPr>
          <w:rFonts w:ascii="Calibri" w:hAnsi="Calibri" w:cs="Calibri"/>
          <w:sz w:val="21"/>
          <w:szCs w:val="21"/>
        </w:rPr>
        <w:t>.</w:t>
      </w:r>
      <w:r w:rsidR="00F50D01" w:rsidRPr="00D7737E">
        <w:rPr>
          <w:rFonts w:ascii="Calibri" w:hAnsi="Calibri" w:cs="Calibri"/>
          <w:sz w:val="21"/>
          <w:szCs w:val="21"/>
        </w:rPr>
        <w:t xml:space="preserve"> </w:t>
      </w:r>
    </w:p>
    <w:p w14:paraId="54FFC804" w14:textId="77777777" w:rsidR="00074AE6" w:rsidRPr="00D7737E" w:rsidRDefault="00074AE6" w:rsidP="00074AE6">
      <w:pPr>
        <w:spacing w:after="0" w:line="240" w:lineRule="auto"/>
        <w:jc w:val="both"/>
        <w:rPr>
          <w:rFonts w:ascii="Calibri" w:hAnsi="Calibri" w:cs="Calibri"/>
          <w:sz w:val="21"/>
          <w:szCs w:val="21"/>
        </w:rPr>
      </w:pPr>
    </w:p>
    <w:p w14:paraId="68B4FA05" w14:textId="2C56F85D" w:rsidR="00434291" w:rsidRPr="00D7737E" w:rsidRDefault="00B86A57" w:rsidP="00C01CAA">
      <w:pPr>
        <w:spacing w:after="0" w:line="240" w:lineRule="auto"/>
        <w:jc w:val="both"/>
        <w:rPr>
          <w:rFonts w:ascii="Calibri" w:hAnsi="Calibri" w:cs="Calibri"/>
          <w:sz w:val="21"/>
          <w:szCs w:val="21"/>
        </w:rPr>
      </w:pPr>
      <w:r w:rsidRPr="00D7737E">
        <w:rPr>
          <w:rFonts w:ascii="Calibri" w:hAnsi="Calibri" w:cs="Calibri"/>
          <w:sz w:val="21"/>
          <w:szCs w:val="21"/>
        </w:rPr>
        <w:t xml:space="preserve">The review </w:t>
      </w:r>
      <w:r w:rsidR="00073A7C">
        <w:rPr>
          <w:rFonts w:ascii="Calibri" w:hAnsi="Calibri" w:cs="Calibri"/>
          <w:sz w:val="21"/>
          <w:szCs w:val="21"/>
        </w:rPr>
        <w:t>leveraged</w:t>
      </w:r>
      <w:r w:rsidR="00073A7C" w:rsidRPr="00D7737E">
        <w:rPr>
          <w:rFonts w:ascii="Calibri" w:hAnsi="Calibri" w:cs="Calibri"/>
          <w:sz w:val="21"/>
          <w:szCs w:val="21"/>
        </w:rPr>
        <w:t xml:space="preserve"> </w:t>
      </w:r>
      <w:r w:rsidRPr="00D7737E">
        <w:rPr>
          <w:rFonts w:ascii="Calibri" w:hAnsi="Calibri" w:cs="Calibri"/>
          <w:sz w:val="21"/>
          <w:szCs w:val="21"/>
        </w:rPr>
        <w:t>a sample of 40</w:t>
      </w:r>
      <w:r w:rsidR="00434291" w:rsidRPr="00D7737E">
        <w:rPr>
          <w:rFonts w:ascii="Calibri" w:hAnsi="Calibri" w:cs="Calibri"/>
          <w:sz w:val="21"/>
          <w:szCs w:val="21"/>
        </w:rPr>
        <w:t xml:space="preserve"> PIEs</w:t>
      </w:r>
      <w:r w:rsidR="008301E3" w:rsidRPr="00D7737E">
        <w:rPr>
          <w:rFonts w:ascii="Calibri" w:hAnsi="Calibri" w:cs="Calibri"/>
          <w:sz w:val="21"/>
          <w:szCs w:val="21"/>
        </w:rPr>
        <w:t xml:space="preserve"> </w:t>
      </w:r>
      <w:r w:rsidRPr="00D7737E">
        <w:rPr>
          <w:rFonts w:ascii="Calibri" w:hAnsi="Calibri" w:cs="Calibri"/>
          <w:sz w:val="21"/>
          <w:szCs w:val="21"/>
        </w:rPr>
        <w:t>comprising</w:t>
      </w:r>
      <w:r w:rsidR="008301E3" w:rsidRPr="00D7737E">
        <w:rPr>
          <w:rFonts w:ascii="Calibri" w:hAnsi="Calibri" w:cs="Calibri"/>
          <w:sz w:val="21"/>
          <w:szCs w:val="21"/>
        </w:rPr>
        <w:t xml:space="preserve"> of 16 listed entities and 24 </w:t>
      </w:r>
      <w:r w:rsidR="00DE38A8" w:rsidRPr="00D7737E">
        <w:rPr>
          <w:rFonts w:ascii="Calibri" w:hAnsi="Calibri" w:cs="Calibri"/>
          <w:sz w:val="21"/>
          <w:szCs w:val="21"/>
        </w:rPr>
        <w:t>non-listed</w:t>
      </w:r>
      <w:r w:rsidR="008301E3" w:rsidRPr="00D7737E">
        <w:rPr>
          <w:rFonts w:ascii="Calibri" w:hAnsi="Calibri" w:cs="Calibri"/>
          <w:sz w:val="21"/>
          <w:szCs w:val="21"/>
        </w:rPr>
        <w:t xml:space="preserve"> </w:t>
      </w:r>
      <w:r w:rsidR="00E334A7">
        <w:rPr>
          <w:rFonts w:ascii="Calibri" w:hAnsi="Calibri" w:cs="Calibri"/>
          <w:sz w:val="21"/>
          <w:szCs w:val="21"/>
        </w:rPr>
        <w:t>entitie</w:t>
      </w:r>
      <w:r w:rsidR="00E334A7" w:rsidRPr="00D7737E">
        <w:rPr>
          <w:rFonts w:ascii="Calibri" w:hAnsi="Calibri" w:cs="Calibri"/>
          <w:sz w:val="21"/>
          <w:szCs w:val="21"/>
        </w:rPr>
        <w:t>s</w:t>
      </w:r>
      <w:r w:rsidRPr="00D7737E">
        <w:rPr>
          <w:rFonts w:ascii="Calibri" w:hAnsi="Calibri" w:cs="Calibri"/>
          <w:sz w:val="21"/>
          <w:szCs w:val="21"/>
        </w:rPr>
        <w:t>, randomly selected across the following seven sectors:</w:t>
      </w:r>
    </w:p>
    <w:tbl>
      <w:tblPr>
        <w:tblW w:w="39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692"/>
      </w:tblGrid>
      <w:tr w:rsidR="00434291" w:rsidRPr="00D7737E" w14:paraId="7CC7DBB6" w14:textId="77777777" w:rsidTr="00CD0A49">
        <w:trPr>
          <w:trHeight w:val="269"/>
        </w:trPr>
        <w:tc>
          <w:tcPr>
            <w:tcW w:w="2268" w:type="dxa"/>
            <w:vMerge w:val="restart"/>
            <w:noWrap/>
            <w:vAlign w:val="bottom"/>
          </w:tcPr>
          <w:p w14:paraId="01E88044" w14:textId="77777777" w:rsidR="00434291" w:rsidRPr="00D7737E" w:rsidRDefault="00434291" w:rsidP="00074AE6">
            <w:pPr>
              <w:spacing w:after="0" w:line="240" w:lineRule="auto"/>
              <w:contextualSpacing/>
              <w:jc w:val="both"/>
              <w:rPr>
                <w:rFonts w:ascii="Calibri" w:eastAsia="Times New Roman" w:hAnsi="Calibri" w:cs="Calibri"/>
                <w:b/>
                <w:sz w:val="21"/>
                <w:szCs w:val="21"/>
                <w:lang w:eastAsia="en-GB"/>
              </w:rPr>
            </w:pPr>
            <w:r w:rsidRPr="00D7737E">
              <w:rPr>
                <w:rFonts w:ascii="Calibri" w:eastAsia="Times New Roman" w:hAnsi="Calibri" w:cs="Calibri"/>
                <w:b/>
                <w:sz w:val="21"/>
                <w:szCs w:val="21"/>
                <w:lang w:eastAsia="en-GB"/>
              </w:rPr>
              <w:t>Sectors</w:t>
            </w:r>
          </w:p>
        </w:tc>
        <w:tc>
          <w:tcPr>
            <w:tcW w:w="1692" w:type="dxa"/>
            <w:vMerge w:val="restart"/>
            <w:noWrap/>
            <w:vAlign w:val="bottom"/>
          </w:tcPr>
          <w:p w14:paraId="4F8D5A23" w14:textId="77777777" w:rsidR="00434291" w:rsidRPr="00D7737E" w:rsidRDefault="00434291" w:rsidP="00074AE6">
            <w:pPr>
              <w:spacing w:after="0" w:line="240" w:lineRule="auto"/>
              <w:contextualSpacing/>
              <w:jc w:val="both"/>
              <w:rPr>
                <w:rFonts w:ascii="Calibri" w:eastAsia="Times New Roman" w:hAnsi="Calibri" w:cs="Calibri"/>
                <w:b/>
                <w:sz w:val="21"/>
                <w:szCs w:val="21"/>
                <w:lang w:eastAsia="en-GB"/>
              </w:rPr>
            </w:pPr>
            <w:r w:rsidRPr="00D7737E">
              <w:rPr>
                <w:rFonts w:ascii="Calibri" w:eastAsia="Times New Roman" w:hAnsi="Calibri" w:cs="Calibri"/>
                <w:b/>
                <w:sz w:val="21"/>
                <w:szCs w:val="21"/>
                <w:lang w:eastAsia="en-GB"/>
              </w:rPr>
              <w:t>Number of PIEs</w:t>
            </w:r>
          </w:p>
        </w:tc>
      </w:tr>
      <w:tr w:rsidR="00434291" w:rsidRPr="00D7737E" w14:paraId="29179AFC" w14:textId="77777777" w:rsidTr="003B5DB3">
        <w:trPr>
          <w:trHeight w:val="269"/>
        </w:trPr>
        <w:tc>
          <w:tcPr>
            <w:tcW w:w="2268" w:type="dxa"/>
            <w:vMerge/>
            <w:noWrap/>
            <w:vAlign w:val="bottom"/>
          </w:tcPr>
          <w:p w14:paraId="1A44D4A6" w14:textId="77777777" w:rsidR="00434291" w:rsidRPr="00D7737E" w:rsidRDefault="00434291" w:rsidP="00074AE6">
            <w:pPr>
              <w:spacing w:after="0" w:line="240" w:lineRule="auto"/>
              <w:contextualSpacing/>
              <w:jc w:val="both"/>
              <w:rPr>
                <w:rFonts w:ascii="Calibri" w:eastAsia="Times New Roman" w:hAnsi="Calibri" w:cs="Calibri"/>
                <w:sz w:val="21"/>
                <w:szCs w:val="21"/>
                <w:lang w:eastAsia="en-GB"/>
              </w:rPr>
            </w:pPr>
          </w:p>
        </w:tc>
        <w:tc>
          <w:tcPr>
            <w:tcW w:w="1692" w:type="dxa"/>
            <w:vMerge/>
            <w:noWrap/>
            <w:vAlign w:val="bottom"/>
          </w:tcPr>
          <w:p w14:paraId="5D9E9DC6" w14:textId="77777777" w:rsidR="00434291" w:rsidRPr="00D7737E" w:rsidRDefault="00434291" w:rsidP="00074AE6">
            <w:pPr>
              <w:spacing w:after="0" w:line="240" w:lineRule="auto"/>
              <w:contextualSpacing/>
              <w:jc w:val="both"/>
              <w:rPr>
                <w:rFonts w:ascii="Calibri" w:eastAsia="Times New Roman" w:hAnsi="Calibri" w:cs="Calibri"/>
                <w:sz w:val="21"/>
                <w:szCs w:val="21"/>
                <w:lang w:eastAsia="en-GB"/>
              </w:rPr>
            </w:pPr>
          </w:p>
        </w:tc>
      </w:tr>
      <w:tr w:rsidR="00434291" w:rsidRPr="00D7737E" w14:paraId="0D22FE81" w14:textId="77777777" w:rsidTr="003B5DB3">
        <w:trPr>
          <w:trHeight w:val="47"/>
        </w:trPr>
        <w:tc>
          <w:tcPr>
            <w:tcW w:w="2268" w:type="dxa"/>
            <w:noWrap/>
            <w:vAlign w:val="bottom"/>
          </w:tcPr>
          <w:p w14:paraId="09A17829" w14:textId="77777777" w:rsidR="00434291" w:rsidRPr="00D7737E" w:rsidRDefault="00434291" w:rsidP="00074AE6">
            <w:pPr>
              <w:spacing w:after="0" w:line="240" w:lineRule="auto"/>
              <w:contextualSpacing/>
              <w:jc w:val="both"/>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Leisure &amp; Hotels</w:t>
            </w:r>
          </w:p>
        </w:tc>
        <w:tc>
          <w:tcPr>
            <w:tcW w:w="1692" w:type="dxa"/>
            <w:noWrap/>
            <w:vAlign w:val="bottom"/>
          </w:tcPr>
          <w:p w14:paraId="128B82BB" w14:textId="77777777" w:rsidR="00434291" w:rsidRPr="00D7737E" w:rsidRDefault="00434291" w:rsidP="003B5DB3">
            <w:pPr>
              <w:spacing w:after="0" w:line="240" w:lineRule="auto"/>
              <w:contextualSpacing/>
              <w:jc w:val="center"/>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7</w:t>
            </w:r>
          </w:p>
        </w:tc>
      </w:tr>
      <w:tr w:rsidR="00434291" w:rsidRPr="00D7737E" w14:paraId="59AF62A9" w14:textId="77777777" w:rsidTr="003B5DB3">
        <w:trPr>
          <w:trHeight w:val="375"/>
        </w:trPr>
        <w:tc>
          <w:tcPr>
            <w:tcW w:w="2268" w:type="dxa"/>
            <w:noWrap/>
            <w:vAlign w:val="bottom"/>
          </w:tcPr>
          <w:p w14:paraId="128A41AE" w14:textId="77777777" w:rsidR="00434291" w:rsidRPr="00D7737E" w:rsidRDefault="00434291" w:rsidP="00074AE6">
            <w:pPr>
              <w:spacing w:after="0" w:line="240" w:lineRule="auto"/>
              <w:contextualSpacing/>
              <w:jc w:val="both"/>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Property Development</w:t>
            </w:r>
          </w:p>
        </w:tc>
        <w:tc>
          <w:tcPr>
            <w:tcW w:w="1692" w:type="dxa"/>
            <w:noWrap/>
            <w:vAlign w:val="bottom"/>
          </w:tcPr>
          <w:p w14:paraId="5D066722" w14:textId="77777777" w:rsidR="00434291" w:rsidRPr="00D7737E" w:rsidRDefault="00434291" w:rsidP="003B5DB3">
            <w:pPr>
              <w:spacing w:after="0" w:line="240" w:lineRule="auto"/>
              <w:contextualSpacing/>
              <w:jc w:val="center"/>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3</w:t>
            </w:r>
          </w:p>
        </w:tc>
      </w:tr>
      <w:tr w:rsidR="00434291" w:rsidRPr="00D7737E" w14:paraId="238E345C" w14:textId="77777777" w:rsidTr="003B5DB3">
        <w:trPr>
          <w:trHeight w:val="375"/>
        </w:trPr>
        <w:tc>
          <w:tcPr>
            <w:tcW w:w="2268" w:type="dxa"/>
            <w:noWrap/>
            <w:vAlign w:val="bottom"/>
          </w:tcPr>
          <w:p w14:paraId="3868C908" w14:textId="77777777" w:rsidR="00434291" w:rsidRPr="00D7737E" w:rsidRDefault="00434291" w:rsidP="00074AE6">
            <w:pPr>
              <w:spacing w:after="0" w:line="240" w:lineRule="auto"/>
              <w:contextualSpacing/>
              <w:jc w:val="both"/>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Commerce</w:t>
            </w:r>
          </w:p>
        </w:tc>
        <w:tc>
          <w:tcPr>
            <w:tcW w:w="1692" w:type="dxa"/>
            <w:noWrap/>
            <w:vAlign w:val="bottom"/>
          </w:tcPr>
          <w:p w14:paraId="26F5175E" w14:textId="77777777" w:rsidR="00434291" w:rsidRPr="00D7737E" w:rsidRDefault="00434291" w:rsidP="003B5DB3">
            <w:pPr>
              <w:spacing w:after="0" w:line="240" w:lineRule="auto"/>
              <w:contextualSpacing/>
              <w:jc w:val="center"/>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8</w:t>
            </w:r>
          </w:p>
        </w:tc>
      </w:tr>
      <w:tr w:rsidR="00434291" w:rsidRPr="00D7737E" w14:paraId="790ABD4E" w14:textId="77777777" w:rsidTr="003B5DB3">
        <w:trPr>
          <w:trHeight w:val="375"/>
        </w:trPr>
        <w:tc>
          <w:tcPr>
            <w:tcW w:w="2268" w:type="dxa"/>
            <w:noWrap/>
            <w:vAlign w:val="bottom"/>
          </w:tcPr>
          <w:p w14:paraId="217B84A4" w14:textId="12B7F869" w:rsidR="00434291" w:rsidRPr="00D7737E" w:rsidRDefault="00434291" w:rsidP="00074AE6">
            <w:pPr>
              <w:spacing w:after="0" w:line="240" w:lineRule="auto"/>
              <w:contextualSpacing/>
              <w:jc w:val="both"/>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Conglomerate</w:t>
            </w:r>
            <w:r w:rsidR="00DE38A8" w:rsidRPr="00D7737E">
              <w:rPr>
                <w:rFonts w:ascii="Calibri" w:eastAsia="Times New Roman" w:hAnsi="Calibri" w:cs="Calibri"/>
                <w:sz w:val="21"/>
                <w:szCs w:val="21"/>
                <w:lang w:eastAsia="en-GB"/>
              </w:rPr>
              <w:t>s</w:t>
            </w:r>
          </w:p>
        </w:tc>
        <w:tc>
          <w:tcPr>
            <w:tcW w:w="1692" w:type="dxa"/>
            <w:noWrap/>
            <w:vAlign w:val="bottom"/>
          </w:tcPr>
          <w:p w14:paraId="1A9C4B8A" w14:textId="77777777" w:rsidR="00434291" w:rsidRPr="00D7737E" w:rsidRDefault="00434291" w:rsidP="003B5DB3">
            <w:pPr>
              <w:spacing w:after="0" w:line="240" w:lineRule="auto"/>
              <w:contextualSpacing/>
              <w:jc w:val="center"/>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4</w:t>
            </w:r>
          </w:p>
        </w:tc>
      </w:tr>
      <w:tr w:rsidR="00434291" w:rsidRPr="00D7737E" w14:paraId="209F1C2E" w14:textId="77777777" w:rsidTr="003B5DB3">
        <w:trPr>
          <w:trHeight w:val="314"/>
        </w:trPr>
        <w:tc>
          <w:tcPr>
            <w:tcW w:w="2268" w:type="dxa"/>
            <w:vAlign w:val="bottom"/>
          </w:tcPr>
          <w:p w14:paraId="2C0D40D0" w14:textId="172BCB03" w:rsidR="00434291" w:rsidRPr="00D7737E" w:rsidRDefault="00434291" w:rsidP="00074AE6">
            <w:pPr>
              <w:spacing w:after="0" w:line="240" w:lineRule="auto"/>
              <w:contextualSpacing/>
              <w:jc w:val="both"/>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B</w:t>
            </w:r>
            <w:r w:rsidR="00DE38A8" w:rsidRPr="00D7737E">
              <w:rPr>
                <w:rFonts w:ascii="Calibri" w:eastAsia="Times New Roman" w:hAnsi="Calibri" w:cs="Calibri"/>
                <w:sz w:val="21"/>
                <w:szCs w:val="21"/>
                <w:lang w:eastAsia="en-GB"/>
              </w:rPr>
              <w:t xml:space="preserve">ank, </w:t>
            </w:r>
            <w:r w:rsidRPr="00D7737E">
              <w:rPr>
                <w:rFonts w:ascii="Calibri" w:eastAsia="Times New Roman" w:hAnsi="Calibri" w:cs="Calibri"/>
                <w:sz w:val="21"/>
                <w:szCs w:val="21"/>
                <w:lang w:eastAsia="en-GB"/>
              </w:rPr>
              <w:t>I</w:t>
            </w:r>
            <w:r w:rsidR="00DE38A8" w:rsidRPr="00D7737E">
              <w:rPr>
                <w:rFonts w:ascii="Calibri" w:eastAsia="Times New Roman" w:hAnsi="Calibri" w:cs="Calibri"/>
                <w:sz w:val="21"/>
                <w:szCs w:val="21"/>
                <w:lang w:eastAsia="en-GB"/>
              </w:rPr>
              <w:t xml:space="preserve">nsurance and </w:t>
            </w:r>
            <w:proofErr w:type="gramStart"/>
            <w:r w:rsidR="00DE38A8" w:rsidRPr="00D7737E">
              <w:rPr>
                <w:rFonts w:ascii="Calibri" w:eastAsia="Times New Roman" w:hAnsi="Calibri" w:cs="Calibri"/>
                <w:sz w:val="21"/>
                <w:szCs w:val="21"/>
                <w:lang w:eastAsia="en-GB"/>
              </w:rPr>
              <w:t>Finance</w:t>
            </w:r>
            <w:r w:rsidR="00B53B5E" w:rsidRPr="00D7737E">
              <w:rPr>
                <w:rFonts w:ascii="Calibri" w:eastAsia="Times New Roman" w:hAnsi="Calibri" w:cs="Calibri"/>
                <w:sz w:val="21"/>
                <w:szCs w:val="21"/>
                <w:lang w:eastAsia="en-GB"/>
              </w:rPr>
              <w:t xml:space="preserve"> (‘</w:t>
            </w:r>
            <w:proofErr w:type="gramEnd"/>
            <w:r w:rsidR="00B53B5E" w:rsidRPr="00D7737E">
              <w:rPr>
                <w:rFonts w:ascii="Calibri" w:eastAsia="Times New Roman" w:hAnsi="Calibri" w:cs="Calibri"/>
                <w:sz w:val="21"/>
                <w:szCs w:val="21"/>
                <w:lang w:eastAsia="en-GB"/>
              </w:rPr>
              <w:t>BIF’)</w:t>
            </w:r>
          </w:p>
        </w:tc>
        <w:tc>
          <w:tcPr>
            <w:tcW w:w="1692" w:type="dxa"/>
            <w:noWrap/>
            <w:vAlign w:val="bottom"/>
          </w:tcPr>
          <w:p w14:paraId="137C3F8F" w14:textId="77777777" w:rsidR="00434291" w:rsidRPr="00D7737E" w:rsidRDefault="00434291" w:rsidP="003B5DB3">
            <w:pPr>
              <w:spacing w:after="0" w:line="240" w:lineRule="auto"/>
              <w:contextualSpacing/>
              <w:jc w:val="center"/>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12</w:t>
            </w:r>
          </w:p>
        </w:tc>
      </w:tr>
      <w:tr w:rsidR="00434291" w:rsidRPr="00D7737E" w14:paraId="0C13CA02" w14:textId="77777777" w:rsidTr="003B5DB3">
        <w:trPr>
          <w:trHeight w:val="375"/>
        </w:trPr>
        <w:tc>
          <w:tcPr>
            <w:tcW w:w="2268" w:type="dxa"/>
            <w:noWrap/>
            <w:vAlign w:val="bottom"/>
          </w:tcPr>
          <w:p w14:paraId="1308D247" w14:textId="77777777" w:rsidR="00434291" w:rsidRPr="00D7737E" w:rsidRDefault="00434291" w:rsidP="00074AE6">
            <w:pPr>
              <w:spacing w:after="0" w:line="240" w:lineRule="auto"/>
              <w:contextualSpacing/>
              <w:jc w:val="both"/>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Industry</w:t>
            </w:r>
          </w:p>
        </w:tc>
        <w:tc>
          <w:tcPr>
            <w:tcW w:w="1692" w:type="dxa"/>
            <w:noWrap/>
            <w:vAlign w:val="bottom"/>
          </w:tcPr>
          <w:p w14:paraId="54779ECC" w14:textId="77777777" w:rsidR="00434291" w:rsidRPr="00D7737E" w:rsidRDefault="00434291" w:rsidP="003B5DB3">
            <w:pPr>
              <w:spacing w:after="0" w:line="240" w:lineRule="auto"/>
              <w:contextualSpacing/>
              <w:jc w:val="center"/>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4</w:t>
            </w:r>
          </w:p>
        </w:tc>
      </w:tr>
      <w:tr w:rsidR="00434291" w:rsidRPr="00D7737E" w14:paraId="2045F7EE" w14:textId="77777777" w:rsidTr="003B5DB3">
        <w:trPr>
          <w:trHeight w:val="375"/>
        </w:trPr>
        <w:tc>
          <w:tcPr>
            <w:tcW w:w="2268" w:type="dxa"/>
            <w:noWrap/>
            <w:vAlign w:val="bottom"/>
          </w:tcPr>
          <w:p w14:paraId="6E3976A8" w14:textId="77777777" w:rsidR="00434291" w:rsidRPr="00D7737E" w:rsidRDefault="00434291" w:rsidP="00074AE6">
            <w:pPr>
              <w:spacing w:after="0" w:line="240" w:lineRule="auto"/>
              <w:contextualSpacing/>
              <w:jc w:val="both"/>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Sugar</w:t>
            </w:r>
          </w:p>
        </w:tc>
        <w:tc>
          <w:tcPr>
            <w:tcW w:w="1692" w:type="dxa"/>
            <w:noWrap/>
            <w:vAlign w:val="bottom"/>
          </w:tcPr>
          <w:p w14:paraId="2D89F342" w14:textId="77777777" w:rsidR="00434291" w:rsidRPr="00D7737E" w:rsidRDefault="00434291" w:rsidP="003B5DB3">
            <w:pPr>
              <w:spacing w:after="0" w:line="240" w:lineRule="auto"/>
              <w:contextualSpacing/>
              <w:jc w:val="center"/>
              <w:rPr>
                <w:rFonts w:ascii="Calibri" w:eastAsia="Times New Roman" w:hAnsi="Calibri" w:cs="Calibri"/>
                <w:sz w:val="21"/>
                <w:szCs w:val="21"/>
                <w:lang w:eastAsia="en-GB"/>
              </w:rPr>
            </w:pPr>
            <w:r w:rsidRPr="00D7737E">
              <w:rPr>
                <w:rFonts w:ascii="Calibri" w:eastAsia="Times New Roman" w:hAnsi="Calibri" w:cs="Calibri"/>
                <w:sz w:val="21"/>
                <w:szCs w:val="21"/>
                <w:lang w:eastAsia="en-GB"/>
              </w:rPr>
              <w:t>2</w:t>
            </w:r>
          </w:p>
        </w:tc>
      </w:tr>
      <w:tr w:rsidR="00434291" w:rsidRPr="00D7737E" w14:paraId="384BB8CF" w14:textId="77777777" w:rsidTr="00DE38A8">
        <w:trPr>
          <w:trHeight w:val="375"/>
        </w:trPr>
        <w:tc>
          <w:tcPr>
            <w:tcW w:w="2268" w:type="dxa"/>
            <w:noWrap/>
            <w:vAlign w:val="bottom"/>
          </w:tcPr>
          <w:p w14:paraId="37452DD8" w14:textId="77777777" w:rsidR="00434291" w:rsidRPr="00D7737E" w:rsidRDefault="00434291" w:rsidP="00074AE6">
            <w:pPr>
              <w:spacing w:after="0" w:line="240" w:lineRule="auto"/>
              <w:contextualSpacing/>
              <w:jc w:val="both"/>
              <w:rPr>
                <w:rFonts w:ascii="Calibri" w:eastAsia="Times New Roman" w:hAnsi="Calibri" w:cs="Calibri"/>
                <w:b/>
                <w:bCs/>
                <w:sz w:val="21"/>
                <w:szCs w:val="21"/>
                <w:lang w:eastAsia="en-GB"/>
              </w:rPr>
            </w:pPr>
            <w:r w:rsidRPr="00D7737E">
              <w:rPr>
                <w:rFonts w:ascii="Calibri" w:hAnsi="Calibri" w:cs="Calibri"/>
                <w:b/>
                <w:bCs/>
                <w:sz w:val="21"/>
                <w:szCs w:val="21"/>
              </w:rPr>
              <w:t>Total</w:t>
            </w:r>
          </w:p>
        </w:tc>
        <w:tc>
          <w:tcPr>
            <w:tcW w:w="1692" w:type="dxa"/>
            <w:noWrap/>
            <w:vAlign w:val="bottom"/>
          </w:tcPr>
          <w:p w14:paraId="73FC7CC6" w14:textId="77777777" w:rsidR="00434291" w:rsidRPr="00D7737E" w:rsidRDefault="00434291" w:rsidP="003B5DB3">
            <w:pPr>
              <w:spacing w:after="0" w:line="240" w:lineRule="auto"/>
              <w:contextualSpacing/>
              <w:jc w:val="center"/>
              <w:rPr>
                <w:rFonts w:ascii="Calibri" w:eastAsia="Times New Roman" w:hAnsi="Calibri" w:cs="Calibri"/>
                <w:b/>
                <w:bCs/>
                <w:sz w:val="21"/>
                <w:szCs w:val="21"/>
                <w:lang w:eastAsia="en-GB"/>
              </w:rPr>
            </w:pPr>
            <w:r w:rsidRPr="00D7737E">
              <w:rPr>
                <w:rFonts w:ascii="Calibri" w:eastAsia="Times New Roman" w:hAnsi="Calibri" w:cs="Calibri"/>
                <w:b/>
                <w:bCs/>
                <w:sz w:val="21"/>
                <w:szCs w:val="21"/>
                <w:lang w:eastAsia="en-GB"/>
              </w:rPr>
              <w:t>40</w:t>
            </w:r>
          </w:p>
        </w:tc>
      </w:tr>
    </w:tbl>
    <w:p w14:paraId="4BFDA0DC" w14:textId="77777777" w:rsidR="00434291" w:rsidRPr="00D7737E" w:rsidRDefault="00434291" w:rsidP="00074AE6">
      <w:pPr>
        <w:tabs>
          <w:tab w:val="left" w:pos="720"/>
          <w:tab w:val="left" w:pos="993"/>
        </w:tabs>
        <w:spacing w:after="0" w:line="240" w:lineRule="auto"/>
        <w:contextualSpacing/>
        <w:jc w:val="both"/>
        <w:rPr>
          <w:rFonts w:ascii="Calibri" w:hAnsi="Calibri" w:cs="Calibri"/>
          <w:sz w:val="21"/>
          <w:szCs w:val="21"/>
        </w:rPr>
      </w:pPr>
    </w:p>
    <w:p w14:paraId="294613B2" w14:textId="6E872A63" w:rsidR="00B86A57" w:rsidRPr="00D7737E" w:rsidRDefault="00B86A57" w:rsidP="00074AE6">
      <w:pPr>
        <w:tabs>
          <w:tab w:val="left" w:pos="709"/>
          <w:tab w:val="left" w:pos="851"/>
        </w:tabs>
        <w:spacing w:after="0" w:line="240" w:lineRule="auto"/>
        <w:contextualSpacing/>
        <w:jc w:val="both"/>
        <w:rPr>
          <w:rFonts w:ascii="Calibri" w:hAnsi="Calibri" w:cs="Calibri"/>
          <w:sz w:val="21"/>
          <w:szCs w:val="21"/>
        </w:rPr>
      </w:pPr>
      <w:r w:rsidRPr="00D7737E">
        <w:rPr>
          <w:rFonts w:ascii="Calibri" w:hAnsi="Calibri" w:cs="Calibri"/>
          <w:sz w:val="21"/>
          <w:szCs w:val="21"/>
        </w:rPr>
        <w:t>To guide the review, the F</w:t>
      </w:r>
      <w:r w:rsidR="00F50D01" w:rsidRPr="00D7737E">
        <w:rPr>
          <w:rFonts w:ascii="Calibri" w:hAnsi="Calibri" w:cs="Calibri"/>
          <w:sz w:val="21"/>
          <w:szCs w:val="21"/>
        </w:rPr>
        <w:t xml:space="preserve">RC </w:t>
      </w:r>
      <w:r w:rsidR="00DE38A8" w:rsidRPr="00D7737E">
        <w:rPr>
          <w:rFonts w:ascii="Calibri" w:hAnsi="Calibri" w:cs="Calibri"/>
          <w:sz w:val="21"/>
          <w:szCs w:val="21"/>
        </w:rPr>
        <w:t>developed</w:t>
      </w:r>
      <w:r w:rsidR="00F50D01" w:rsidRPr="00D7737E">
        <w:rPr>
          <w:rFonts w:ascii="Calibri" w:hAnsi="Calibri" w:cs="Calibri"/>
          <w:sz w:val="21"/>
          <w:szCs w:val="21"/>
        </w:rPr>
        <w:t xml:space="preserve"> </w:t>
      </w:r>
      <w:r w:rsidR="00434291" w:rsidRPr="00D7737E">
        <w:rPr>
          <w:rFonts w:ascii="Calibri" w:hAnsi="Calibri" w:cs="Calibri"/>
          <w:sz w:val="21"/>
          <w:szCs w:val="21"/>
        </w:rPr>
        <w:t>a</w:t>
      </w:r>
      <w:r w:rsidR="00DE38A8" w:rsidRPr="00D7737E">
        <w:rPr>
          <w:rFonts w:ascii="Calibri" w:hAnsi="Calibri" w:cs="Calibri"/>
          <w:sz w:val="21"/>
          <w:szCs w:val="21"/>
        </w:rPr>
        <w:t xml:space="preserve">n internal </w:t>
      </w:r>
      <w:r w:rsidR="00434291" w:rsidRPr="00D7737E">
        <w:rPr>
          <w:rFonts w:ascii="Calibri" w:hAnsi="Calibri" w:cs="Calibri"/>
          <w:sz w:val="21"/>
          <w:szCs w:val="21"/>
        </w:rPr>
        <w:t xml:space="preserve">checklist </w:t>
      </w:r>
      <w:r w:rsidRPr="00D7737E">
        <w:rPr>
          <w:rFonts w:ascii="Calibri" w:hAnsi="Calibri" w:cs="Calibri"/>
          <w:sz w:val="21"/>
          <w:szCs w:val="21"/>
        </w:rPr>
        <w:t>on established financial and non-financial risk disclosure</w:t>
      </w:r>
      <w:r w:rsidR="00073A7C">
        <w:rPr>
          <w:rFonts w:ascii="Calibri" w:hAnsi="Calibri" w:cs="Calibri"/>
          <w:sz w:val="21"/>
          <w:szCs w:val="21"/>
        </w:rPr>
        <w:t>s</w:t>
      </w:r>
      <w:r w:rsidRPr="00D7737E">
        <w:rPr>
          <w:rFonts w:ascii="Calibri" w:hAnsi="Calibri" w:cs="Calibri"/>
          <w:sz w:val="21"/>
          <w:szCs w:val="21"/>
        </w:rPr>
        <w:t xml:space="preserve"> requirements</w:t>
      </w:r>
      <w:r w:rsidR="00073A7C">
        <w:rPr>
          <w:rFonts w:ascii="Calibri" w:hAnsi="Calibri" w:cs="Calibri"/>
          <w:sz w:val="21"/>
          <w:szCs w:val="21"/>
        </w:rPr>
        <w:t xml:space="preserve"> based on </w:t>
      </w:r>
      <w:r w:rsidR="00A85560">
        <w:rPr>
          <w:rFonts w:ascii="Calibri" w:hAnsi="Calibri" w:cs="Calibri"/>
          <w:sz w:val="21"/>
          <w:szCs w:val="21"/>
        </w:rPr>
        <w:t xml:space="preserve">International Financial Reporting </w:t>
      </w:r>
      <w:proofErr w:type="gramStart"/>
      <w:r w:rsidR="00A85560">
        <w:rPr>
          <w:rFonts w:ascii="Calibri" w:hAnsi="Calibri" w:cs="Calibri"/>
          <w:sz w:val="21"/>
          <w:szCs w:val="21"/>
        </w:rPr>
        <w:t>Standards</w:t>
      </w:r>
      <w:r w:rsidR="00E334A7" w:rsidRPr="00E334A7">
        <w:rPr>
          <w:rFonts w:ascii="Calibri" w:hAnsi="Calibri" w:cs="Calibri"/>
          <w:sz w:val="21"/>
          <w:szCs w:val="21"/>
        </w:rPr>
        <w:t xml:space="preserve"> (</w:t>
      </w:r>
      <w:r w:rsidR="007E60DB">
        <w:rPr>
          <w:rFonts w:ascii="Calibri" w:hAnsi="Calibri" w:cs="Calibri"/>
          <w:sz w:val="21"/>
          <w:szCs w:val="21"/>
        </w:rPr>
        <w:t>‘</w:t>
      </w:r>
      <w:r w:rsidR="00E334A7" w:rsidRPr="00E334A7">
        <w:rPr>
          <w:rFonts w:ascii="Calibri" w:hAnsi="Calibri" w:cs="Calibri"/>
          <w:sz w:val="21"/>
          <w:szCs w:val="21"/>
        </w:rPr>
        <w:t>IFRS</w:t>
      </w:r>
      <w:r w:rsidR="007E60DB">
        <w:rPr>
          <w:rFonts w:ascii="Calibri" w:hAnsi="Calibri" w:cs="Calibri"/>
          <w:sz w:val="21"/>
          <w:szCs w:val="21"/>
        </w:rPr>
        <w:t>’</w:t>
      </w:r>
      <w:r w:rsidR="00E334A7" w:rsidRPr="00E334A7">
        <w:rPr>
          <w:rFonts w:ascii="Calibri" w:hAnsi="Calibri" w:cs="Calibri"/>
          <w:sz w:val="21"/>
          <w:szCs w:val="21"/>
        </w:rPr>
        <w:t>)</w:t>
      </w:r>
      <w:proofErr w:type="gramEnd"/>
      <w:r w:rsidRPr="00D7737E">
        <w:rPr>
          <w:rFonts w:ascii="Calibri" w:hAnsi="Calibri" w:cs="Calibri"/>
          <w:sz w:val="21"/>
          <w:szCs w:val="21"/>
        </w:rPr>
        <w:t xml:space="preserve">. This </w:t>
      </w:r>
      <w:r w:rsidR="00073A7C">
        <w:rPr>
          <w:rFonts w:ascii="Calibri" w:hAnsi="Calibri" w:cs="Calibri"/>
          <w:sz w:val="21"/>
          <w:szCs w:val="21"/>
        </w:rPr>
        <w:t>checklist</w:t>
      </w:r>
      <w:r w:rsidR="00073A7C" w:rsidRPr="00D7737E">
        <w:rPr>
          <w:rFonts w:ascii="Calibri" w:hAnsi="Calibri" w:cs="Calibri"/>
          <w:sz w:val="21"/>
          <w:szCs w:val="21"/>
        </w:rPr>
        <w:t xml:space="preserve"> </w:t>
      </w:r>
      <w:r w:rsidRPr="00D7737E">
        <w:rPr>
          <w:rFonts w:ascii="Calibri" w:hAnsi="Calibri" w:cs="Calibri"/>
          <w:sz w:val="21"/>
          <w:szCs w:val="21"/>
        </w:rPr>
        <w:t>enabled the systematic assessment of the nature and extent of risk information disclosed across the selected annual reports.</w:t>
      </w:r>
    </w:p>
    <w:p w14:paraId="3FAF1BDE" w14:textId="77777777" w:rsidR="005D4764" w:rsidRPr="00D7737E" w:rsidRDefault="005D4764" w:rsidP="005D4764">
      <w:pPr>
        <w:spacing w:after="0" w:line="240" w:lineRule="auto"/>
        <w:jc w:val="both"/>
        <w:rPr>
          <w:rFonts w:ascii="Calibri" w:hAnsi="Calibri" w:cs="Calibri"/>
          <w:i/>
          <w:iCs/>
          <w:sz w:val="21"/>
          <w:szCs w:val="21"/>
          <w:u w:val="single"/>
        </w:rPr>
      </w:pPr>
    </w:p>
    <w:p w14:paraId="4B4F3DD4" w14:textId="57D630AC" w:rsidR="005D4764" w:rsidRPr="00D7737E" w:rsidRDefault="005D4764" w:rsidP="005D4764">
      <w:pPr>
        <w:spacing w:after="0" w:line="240" w:lineRule="auto"/>
        <w:jc w:val="both"/>
        <w:rPr>
          <w:rFonts w:ascii="Calibri" w:hAnsi="Calibri" w:cs="Calibri"/>
          <w:sz w:val="21"/>
          <w:szCs w:val="21"/>
          <w:u w:val="single"/>
        </w:rPr>
      </w:pPr>
      <w:r w:rsidRPr="00D7737E">
        <w:rPr>
          <w:rFonts w:ascii="Calibri" w:hAnsi="Calibri" w:cs="Calibri"/>
          <w:sz w:val="21"/>
          <w:szCs w:val="21"/>
          <w:u w:val="single"/>
        </w:rPr>
        <w:t xml:space="preserve">General </w:t>
      </w:r>
      <w:r w:rsidR="006F0B38" w:rsidRPr="00D7737E">
        <w:rPr>
          <w:rFonts w:ascii="Calibri" w:hAnsi="Calibri" w:cs="Calibri"/>
          <w:sz w:val="21"/>
          <w:szCs w:val="21"/>
          <w:u w:val="single"/>
        </w:rPr>
        <w:t xml:space="preserve">observations on </w:t>
      </w:r>
      <w:proofErr w:type="gramStart"/>
      <w:r w:rsidR="006F0B38" w:rsidRPr="00D7737E">
        <w:rPr>
          <w:rFonts w:ascii="Calibri" w:hAnsi="Calibri" w:cs="Calibri"/>
          <w:sz w:val="21"/>
          <w:szCs w:val="21"/>
          <w:u w:val="single"/>
        </w:rPr>
        <w:t xml:space="preserve">the </w:t>
      </w:r>
      <w:r w:rsidRPr="00D7737E">
        <w:rPr>
          <w:rFonts w:ascii="Calibri" w:hAnsi="Calibri" w:cs="Calibri"/>
          <w:sz w:val="21"/>
          <w:szCs w:val="21"/>
          <w:u w:val="single"/>
        </w:rPr>
        <w:t>financial</w:t>
      </w:r>
      <w:proofErr w:type="gramEnd"/>
      <w:r w:rsidRPr="00D7737E">
        <w:rPr>
          <w:rFonts w:ascii="Calibri" w:hAnsi="Calibri" w:cs="Calibri"/>
          <w:sz w:val="21"/>
          <w:szCs w:val="21"/>
          <w:u w:val="single"/>
        </w:rPr>
        <w:t xml:space="preserve"> and non-financial risk disclosures</w:t>
      </w:r>
      <w:r w:rsidR="00982694" w:rsidRPr="00D7737E">
        <w:rPr>
          <w:rFonts w:ascii="Calibri" w:hAnsi="Calibri" w:cs="Calibri"/>
          <w:sz w:val="21"/>
          <w:szCs w:val="21"/>
          <w:u w:val="single"/>
        </w:rPr>
        <w:t xml:space="preserve"> </w:t>
      </w:r>
    </w:p>
    <w:p w14:paraId="0CC67947" w14:textId="77777777" w:rsidR="00DE38A8" w:rsidRPr="00D7737E" w:rsidRDefault="00DE38A8" w:rsidP="00074AE6">
      <w:pPr>
        <w:spacing w:after="0" w:line="240" w:lineRule="auto"/>
        <w:jc w:val="both"/>
        <w:rPr>
          <w:rFonts w:ascii="Calibri" w:hAnsi="Calibri" w:cs="Calibri"/>
          <w:sz w:val="21"/>
          <w:szCs w:val="21"/>
        </w:rPr>
      </w:pPr>
    </w:p>
    <w:p w14:paraId="3C4CCAFB" w14:textId="3D47CB52" w:rsidR="004E02D2" w:rsidRPr="00D7737E" w:rsidRDefault="00DE38A8" w:rsidP="00DE38A8">
      <w:pPr>
        <w:pStyle w:val="ListParagraph"/>
        <w:numPr>
          <w:ilvl w:val="0"/>
          <w:numId w:val="7"/>
        </w:numPr>
        <w:spacing w:after="0" w:line="240" w:lineRule="auto"/>
        <w:ind w:left="360"/>
        <w:jc w:val="both"/>
        <w:rPr>
          <w:rFonts w:ascii="Calibri" w:hAnsi="Calibri" w:cs="Calibri"/>
          <w:sz w:val="21"/>
          <w:szCs w:val="21"/>
        </w:rPr>
      </w:pPr>
      <w:r w:rsidRPr="00D7737E">
        <w:rPr>
          <w:rFonts w:ascii="Calibri" w:hAnsi="Calibri" w:cs="Calibri"/>
          <w:sz w:val="21"/>
          <w:szCs w:val="21"/>
        </w:rPr>
        <w:t>T</w:t>
      </w:r>
      <w:r w:rsidR="003227B3" w:rsidRPr="00D7737E">
        <w:rPr>
          <w:rFonts w:ascii="Calibri" w:eastAsia="Times New Roman" w:hAnsi="Calibri" w:cs="Calibri"/>
          <w:color w:val="000000"/>
          <w:sz w:val="21"/>
          <w:szCs w:val="21"/>
        </w:rPr>
        <w:t>he</w:t>
      </w:r>
      <w:r w:rsidR="004E02D2" w:rsidRPr="00D7737E">
        <w:rPr>
          <w:rFonts w:ascii="Calibri" w:eastAsia="Times New Roman" w:hAnsi="Calibri" w:cs="Calibri"/>
          <w:color w:val="000000"/>
          <w:sz w:val="21"/>
          <w:szCs w:val="21"/>
        </w:rPr>
        <w:t xml:space="preserve"> nature and extent of</w:t>
      </w:r>
      <w:r w:rsidR="003227B3" w:rsidRPr="00D7737E">
        <w:rPr>
          <w:rFonts w:ascii="Calibri" w:eastAsia="Times New Roman" w:hAnsi="Calibri" w:cs="Calibri"/>
          <w:color w:val="000000"/>
          <w:sz w:val="21"/>
          <w:szCs w:val="21"/>
        </w:rPr>
        <w:t xml:space="preserve"> risk disclosures </w:t>
      </w:r>
      <w:r w:rsidR="004E02D2" w:rsidRPr="00D7737E">
        <w:rPr>
          <w:rFonts w:ascii="Calibri" w:eastAsia="Times New Roman" w:hAnsi="Calibri" w:cs="Calibri"/>
          <w:color w:val="000000"/>
          <w:sz w:val="21"/>
          <w:szCs w:val="21"/>
        </w:rPr>
        <w:t>varie</w:t>
      </w:r>
      <w:r w:rsidR="00E709BA">
        <w:rPr>
          <w:rFonts w:ascii="Calibri" w:eastAsia="Times New Roman" w:hAnsi="Calibri" w:cs="Calibri"/>
          <w:color w:val="000000"/>
          <w:sz w:val="21"/>
          <w:szCs w:val="21"/>
        </w:rPr>
        <w:t>d</w:t>
      </w:r>
      <w:r w:rsidR="003227B3" w:rsidRPr="00D7737E">
        <w:rPr>
          <w:rFonts w:ascii="Calibri" w:eastAsia="Times New Roman" w:hAnsi="Calibri" w:cs="Calibri"/>
          <w:color w:val="000000"/>
          <w:sz w:val="21"/>
          <w:szCs w:val="21"/>
        </w:rPr>
        <w:t xml:space="preserve"> on the </w:t>
      </w:r>
      <w:r w:rsidR="004E02D2" w:rsidRPr="00D7737E">
        <w:rPr>
          <w:rFonts w:ascii="Calibri" w:eastAsia="Times New Roman" w:hAnsi="Calibri" w:cs="Calibri"/>
          <w:color w:val="000000"/>
          <w:sz w:val="21"/>
          <w:szCs w:val="21"/>
        </w:rPr>
        <w:t>size</w:t>
      </w:r>
      <w:r w:rsidR="003227B3" w:rsidRPr="00D7737E">
        <w:rPr>
          <w:rFonts w:ascii="Calibri" w:eastAsia="Times New Roman" w:hAnsi="Calibri" w:cs="Calibri"/>
          <w:color w:val="000000"/>
          <w:sz w:val="21"/>
          <w:szCs w:val="21"/>
        </w:rPr>
        <w:t xml:space="preserve">, sectors and </w:t>
      </w:r>
      <w:r w:rsidR="004E02D2" w:rsidRPr="00D7737E">
        <w:rPr>
          <w:rFonts w:ascii="Calibri" w:eastAsia="Times New Roman" w:hAnsi="Calibri" w:cs="Calibri"/>
          <w:color w:val="000000"/>
          <w:sz w:val="21"/>
          <w:szCs w:val="21"/>
        </w:rPr>
        <w:t>governance structures</w:t>
      </w:r>
      <w:r w:rsidR="003227B3" w:rsidRPr="00D7737E">
        <w:rPr>
          <w:rFonts w:ascii="Calibri" w:eastAsia="Times New Roman" w:hAnsi="Calibri" w:cs="Calibri"/>
          <w:color w:val="000000"/>
          <w:sz w:val="21"/>
          <w:szCs w:val="21"/>
        </w:rPr>
        <w:t xml:space="preserve"> of </w:t>
      </w:r>
      <w:r w:rsidR="004E02D2" w:rsidRPr="00D7737E">
        <w:rPr>
          <w:rFonts w:ascii="Calibri" w:eastAsia="Times New Roman" w:hAnsi="Calibri" w:cs="Calibri"/>
          <w:color w:val="000000"/>
          <w:sz w:val="21"/>
          <w:szCs w:val="21"/>
        </w:rPr>
        <w:t xml:space="preserve">the </w:t>
      </w:r>
      <w:r w:rsidR="003227B3" w:rsidRPr="00D7737E">
        <w:rPr>
          <w:rFonts w:ascii="Calibri" w:eastAsia="Times New Roman" w:hAnsi="Calibri" w:cs="Calibri"/>
          <w:color w:val="000000"/>
          <w:sz w:val="21"/>
          <w:szCs w:val="21"/>
        </w:rPr>
        <w:t>PIEs.</w:t>
      </w:r>
      <w:r w:rsidR="003227B3" w:rsidRPr="00D7737E">
        <w:rPr>
          <w:rFonts w:ascii="Calibri" w:hAnsi="Calibri" w:cs="Calibri"/>
          <w:sz w:val="21"/>
          <w:szCs w:val="21"/>
        </w:rPr>
        <w:t xml:space="preserve"> </w:t>
      </w:r>
    </w:p>
    <w:p w14:paraId="045E2836" w14:textId="41C2913D" w:rsidR="00074AE6" w:rsidRPr="00D7737E" w:rsidRDefault="004E02D2" w:rsidP="00DE38A8">
      <w:pPr>
        <w:pStyle w:val="ListParagraph"/>
        <w:numPr>
          <w:ilvl w:val="0"/>
          <w:numId w:val="7"/>
        </w:numPr>
        <w:spacing w:after="0" w:line="240" w:lineRule="auto"/>
        <w:ind w:left="360"/>
        <w:jc w:val="both"/>
        <w:rPr>
          <w:rFonts w:ascii="Calibri" w:hAnsi="Calibri" w:cs="Calibri"/>
          <w:sz w:val="21"/>
          <w:szCs w:val="21"/>
        </w:rPr>
      </w:pPr>
      <w:r w:rsidRPr="00D7737E">
        <w:rPr>
          <w:rFonts w:ascii="Calibri" w:hAnsi="Calibri" w:cs="Calibri"/>
          <w:sz w:val="21"/>
          <w:szCs w:val="21"/>
        </w:rPr>
        <w:t>F</w:t>
      </w:r>
      <w:r w:rsidR="00B337B8" w:rsidRPr="00D7737E">
        <w:rPr>
          <w:rFonts w:ascii="Calibri" w:hAnsi="Calibri" w:cs="Calibri"/>
          <w:sz w:val="21"/>
          <w:szCs w:val="21"/>
        </w:rPr>
        <w:t xml:space="preserve">inancial risk </w:t>
      </w:r>
      <w:r w:rsidRPr="00D7737E">
        <w:rPr>
          <w:rFonts w:ascii="Calibri" w:hAnsi="Calibri" w:cs="Calibri"/>
          <w:sz w:val="21"/>
          <w:szCs w:val="21"/>
        </w:rPr>
        <w:t>disclosures were generally consistent with</w:t>
      </w:r>
      <w:r w:rsidR="00B337B8" w:rsidRPr="00D7737E">
        <w:rPr>
          <w:rFonts w:ascii="Calibri" w:hAnsi="Calibri" w:cs="Calibri"/>
          <w:sz w:val="21"/>
          <w:szCs w:val="21"/>
        </w:rPr>
        <w:t xml:space="preserve"> IFRS</w:t>
      </w:r>
      <w:r w:rsidR="00A20EA7">
        <w:rPr>
          <w:rFonts w:ascii="Calibri" w:hAnsi="Calibri" w:cs="Calibri"/>
          <w:sz w:val="21"/>
          <w:szCs w:val="21"/>
        </w:rPr>
        <w:t xml:space="preserve"> </w:t>
      </w:r>
      <w:r w:rsidR="00B337B8" w:rsidRPr="00D7737E">
        <w:rPr>
          <w:rFonts w:ascii="Calibri" w:hAnsi="Calibri" w:cs="Calibri"/>
          <w:sz w:val="21"/>
          <w:szCs w:val="21"/>
        </w:rPr>
        <w:t xml:space="preserve">requirements. </w:t>
      </w:r>
    </w:p>
    <w:p w14:paraId="511EC8C4" w14:textId="6140DA19" w:rsidR="004E02D2" w:rsidRPr="00D7737E" w:rsidRDefault="004E02D2" w:rsidP="00DE38A8">
      <w:pPr>
        <w:pStyle w:val="ListParagraph"/>
        <w:numPr>
          <w:ilvl w:val="0"/>
          <w:numId w:val="7"/>
        </w:numPr>
        <w:spacing w:after="0" w:line="240" w:lineRule="auto"/>
        <w:ind w:left="360"/>
        <w:jc w:val="both"/>
        <w:rPr>
          <w:rFonts w:ascii="Calibri" w:eastAsia="Times New Roman" w:hAnsi="Calibri" w:cs="Calibri"/>
          <w:color w:val="000000"/>
          <w:sz w:val="21"/>
          <w:szCs w:val="21"/>
        </w:rPr>
      </w:pPr>
      <w:bookmarkStart w:id="1" w:name="_Hlk179378022"/>
      <w:r w:rsidRPr="00D7737E">
        <w:rPr>
          <w:rFonts w:ascii="Calibri" w:eastAsia="Times New Roman" w:hAnsi="Calibri" w:cs="Calibri"/>
          <w:color w:val="000000"/>
          <w:sz w:val="21"/>
          <w:szCs w:val="21"/>
        </w:rPr>
        <w:t>L</w:t>
      </w:r>
      <w:r w:rsidR="00850290" w:rsidRPr="00D7737E">
        <w:rPr>
          <w:rFonts w:ascii="Calibri" w:eastAsia="Times New Roman" w:hAnsi="Calibri" w:cs="Calibri"/>
          <w:color w:val="000000"/>
          <w:sz w:val="21"/>
          <w:szCs w:val="21"/>
        </w:rPr>
        <w:t>isted and large</w:t>
      </w:r>
      <w:r w:rsidRPr="00D7737E">
        <w:rPr>
          <w:rFonts w:ascii="Calibri" w:eastAsia="Times New Roman" w:hAnsi="Calibri" w:cs="Calibri"/>
          <w:color w:val="000000"/>
          <w:sz w:val="21"/>
          <w:szCs w:val="21"/>
        </w:rPr>
        <w:t>r</w:t>
      </w:r>
      <w:r w:rsidR="00850290" w:rsidRPr="00D7737E">
        <w:rPr>
          <w:rFonts w:ascii="Calibri" w:eastAsia="Times New Roman" w:hAnsi="Calibri" w:cs="Calibri"/>
          <w:color w:val="000000"/>
          <w:sz w:val="21"/>
          <w:szCs w:val="21"/>
        </w:rPr>
        <w:t xml:space="preserve"> PIEs</w:t>
      </w:r>
      <w:r w:rsidR="00850290" w:rsidRPr="00D7737E">
        <w:rPr>
          <w:rFonts w:ascii="Calibri" w:hAnsi="Calibri" w:cs="Calibri"/>
          <w:sz w:val="21"/>
          <w:szCs w:val="21"/>
        </w:rPr>
        <w:t xml:space="preserve"> </w:t>
      </w:r>
      <w:r w:rsidR="003B5DB3" w:rsidRPr="00D7737E">
        <w:rPr>
          <w:rFonts w:ascii="Calibri" w:eastAsia="Times New Roman" w:hAnsi="Calibri" w:cs="Calibri"/>
          <w:color w:val="000000"/>
          <w:sz w:val="21"/>
          <w:szCs w:val="21"/>
        </w:rPr>
        <w:t>with</w:t>
      </w:r>
      <w:r w:rsidRPr="00D7737E">
        <w:rPr>
          <w:rFonts w:ascii="Calibri" w:eastAsia="Times New Roman" w:hAnsi="Calibri" w:cs="Calibri"/>
          <w:color w:val="000000"/>
          <w:sz w:val="21"/>
          <w:szCs w:val="21"/>
        </w:rPr>
        <w:t xml:space="preserve"> established audit and</w:t>
      </w:r>
      <w:r w:rsidR="003B5DB3" w:rsidRPr="00D7737E">
        <w:rPr>
          <w:rFonts w:ascii="Calibri" w:eastAsia="Times New Roman" w:hAnsi="Calibri" w:cs="Calibri"/>
          <w:color w:val="000000"/>
          <w:sz w:val="21"/>
          <w:szCs w:val="21"/>
        </w:rPr>
        <w:t xml:space="preserve"> risk committees</w:t>
      </w:r>
      <w:r w:rsidR="005513AE" w:rsidRPr="00D7737E">
        <w:rPr>
          <w:rFonts w:ascii="Calibri" w:eastAsia="Times New Roman" w:hAnsi="Calibri" w:cs="Calibri"/>
          <w:color w:val="000000"/>
          <w:sz w:val="21"/>
          <w:szCs w:val="21"/>
        </w:rPr>
        <w:t xml:space="preserve"> </w:t>
      </w:r>
      <w:r w:rsidR="003B5DB3" w:rsidRPr="00D7737E">
        <w:rPr>
          <w:rFonts w:ascii="Calibri" w:eastAsia="Times New Roman" w:hAnsi="Calibri" w:cs="Calibri"/>
          <w:color w:val="000000"/>
          <w:sz w:val="21"/>
          <w:szCs w:val="21"/>
        </w:rPr>
        <w:t>provide</w:t>
      </w:r>
      <w:r w:rsidR="006D236C">
        <w:rPr>
          <w:rFonts w:ascii="Calibri" w:eastAsia="Times New Roman" w:hAnsi="Calibri" w:cs="Calibri"/>
          <w:color w:val="000000"/>
          <w:sz w:val="21"/>
          <w:szCs w:val="21"/>
        </w:rPr>
        <w:t>d</w:t>
      </w:r>
      <w:r w:rsidR="003B5DB3" w:rsidRPr="00D7737E">
        <w:rPr>
          <w:rFonts w:ascii="Calibri" w:eastAsia="Times New Roman" w:hAnsi="Calibri" w:cs="Calibri"/>
          <w:color w:val="000000"/>
          <w:sz w:val="21"/>
          <w:szCs w:val="21"/>
        </w:rPr>
        <w:t xml:space="preserve"> more</w:t>
      </w:r>
      <w:r w:rsidRPr="00D7737E">
        <w:rPr>
          <w:rFonts w:ascii="Calibri" w:eastAsia="Times New Roman" w:hAnsi="Calibri" w:cs="Calibri"/>
          <w:color w:val="000000"/>
          <w:sz w:val="21"/>
          <w:szCs w:val="21"/>
        </w:rPr>
        <w:t xml:space="preserve"> structured and comprehensive</w:t>
      </w:r>
      <w:r w:rsidR="003B5DB3" w:rsidRPr="00D7737E">
        <w:rPr>
          <w:rFonts w:ascii="Calibri" w:eastAsia="Times New Roman" w:hAnsi="Calibri" w:cs="Calibri"/>
          <w:color w:val="000000"/>
          <w:sz w:val="21"/>
          <w:szCs w:val="21"/>
        </w:rPr>
        <w:t xml:space="preserve"> </w:t>
      </w:r>
      <w:r w:rsidR="00C460B8" w:rsidRPr="00D7737E">
        <w:rPr>
          <w:rFonts w:ascii="Calibri" w:eastAsia="Times New Roman" w:hAnsi="Calibri" w:cs="Calibri"/>
          <w:color w:val="000000"/>
          <w:sz w:val="21"/>
          <w:szCs w:val="21"/>
        </w:rPr>
        <w:t>disclosures</w:t>
      </w:r>
      <w:r w:rsidR="003B5DB3" w:rsidRPr="00D7737E">
        <w:rPr>
          <w:rFonts w:ascii="Calibri" w:eastAsia="Times New Roman" w:hAnsi="Calibri" w:cs="Calibri"/>
          <w:color w:val="000000"/>
          <w:sz w:val="21"/>
          <w:szCs w:val="21"/>
        </w:rPr>
        <w:t>.</w:t>
      </w:r>
      <w:r w:rsidR="005F5BA4" w:rsidRPr="00D7737E">
        <w:rPr>
          <w:rFonts w:ascii="Calibri" w:eastAsia="Times New Roman" w:hAnsi="Calibri" w:cs="Calibri"/>
          <w:color w:val="000000"/>
          <w:sz w:val="21"/>
          <w:szCs w:val="21"/>
        </w:rPr>
        <w:t xml:space="preserve"> </w:t>
      </w:r>
      <w:bookmarkEnd w:id="1"/>
    </w:p>
    <w:p w14:paraId="4D252403" w14:textId="4561C2CB" w:rsidR="00867AC0" w:rsidRPr="00D7737E" w:rsidRDefault="004E02D2" w:rsidP="00DE38A8">
      <w:pPr>
        <w:pStyle w:val="ListParagraph"/>
        <w:numPr>
          <w:ilvl w:val="0"/>
          <w:numId w:val="7"/>
        </w:numPr>
        <w:spacing w:after="0" w:line="240" w:lineRule="auto"/>
        <w:ind w:left="360"/>
        <w:jc w:val="both"/>
        <w:rPr>
          <w:rFonts w:ascii="Calibri" w:eastAsia="Times New Roman" w:hAnsi="Calibri" w:cs="Calibri"/>
          <w:color w:val="000000"/>
          <w:sz w:val="21"/>
          <w:szCs w:val="21"/>
        </w:rPr>
      </w:pPr>
      <w:r w:rsidRPr="00D7737E">
        <w:rPr>
          <w:rFonts w:ascii="Calibri" w:eastAsia="Times New Roman" w:hAnsi="Calibri" w:cs="Calibri"/>
          <w:color w:val="000000"/>
          <w:sz w:val="21"/>
          <w:szCs w:val="21"/>
        </w:rPr>
        <w:t>S</w:t>
      </w:r>
      <w:r w:rsidR="00867AC0" w:rsidRPr="00D7737E">
        <w:rPr>
          <w:rFonts w:ascii="Calibri" w:hAnsi="Calibri" w:cs="Calibri"/>
          <w:sz w:val="21"/>
          <w:szCs w:val="21"/>
        </w:rPr>
        <w:t>mall</w:t>
      </w:r>
      <w:r w:rsidRPr="00D7737E">
        <w:rPr>
          <w:rFonts w:ascii="Calibri" w:hAnsi="Calibri" w:cs="Calibri"/>
          <w:sz w:val="21"/>
          <w:szCs w:val="21"/>
        </w:rPr>
        <w:t>er</w:t>
      </w:r>
      <w:r w:rsidR="00867AC0" w:rsidRPr="00D7737E">
        <w:rPr>
          <w:rFonts w:ascii="Calibri" w:hAnsi="Calibri" w:cs="Calibri"/>
          <w:sz w:val="21"/>
          <w:szCs w:val="21"/>
        </w:rPr>
        <w:t xml:space="preserve"> </w:t>
      </w:r>
      <w:r w:rsidR="00DE38A8" w:rsidRPr="00D7737E">
        <w:rPr>
          <w:rFonts w:ascii="Calibri" w:hAnsi="Calibri" w:cs="Calibri"/>
          <w:sz w:val="21"/>
          <w:szCs w:val="21"/>
        </w:rPr>
        <w:t>non-listed</w:t>
      </w:r>
      <w:r w:rsidR="00867AC0" w:rsidRPr="00D7737E">
        <w:rPr>
          <w:rFonts w:ascii="Calibri" w:hAnsi="Calibri" w:cs="Calibri"/>
          <w:sz w:val="21"/>
          <w:szCs w:val="21"/>
        </w:rPr>
        <w:t xml:space="preserve"> PIEs </w:t>
      </w:r>
      <w:r w:rsidRPr="00D7737E">
        <w:rPr>
          <w:rFonts w:ascii="Calibri" w:hAnsi="Calibri" w:cs="Calibri"/>
          <w:sz w:val="21"/>
          <w:szCs w:val="21"/>
        </w:rPr>
        <w:t xml:space="preserve">often </w:t>
      </w:r>
      <w:r w:rsidR="00020FD0" w:rsidRPr="00D7737E">
        <w:rPr>
          <w:rFonts w:ascii="Calibri" w:eastAsia="Times New Roman" w:hAnsi="Calibri" w:cs="Calibri"/>
          <w:color w:val="000000"/>
          <w:sz w:val="21"/>
          <w:szCs w:val="21"/>
        </w:rPr>
        <w:t>provide</w:t>
      </w:r>
      <w:r w:rsidRPr="00D7737E">
        <w:rPr>
          <w:rFonts w:ascii="Calibri" w:eastAsia="Times New Roman" w:hAnsi="Calibri" w:cs="Calibri"/>
          <w:color w:val="000000"/>
          <w:sz w:val="21"/>
          <w:szCs w:val="21"/>
        </w:rPr>
        <w:t>d</w:t>
      </w:r>
      <w:r w:rsidR="00020FD0" w:rsidRPr="00D7737E">
        <w:rPr>
          <w:rFonts w:ascii="Calibri" w:eastAsia="Times New Roman" w:hAnsi="Calibri" w:cs="Calibri"/>
          <w:color w:val="000000"/>
          <w:sz w:val="21"/>
          <w:szCs w:val="21"/>
        </w:rPr>
        <w:t xml:space="preserve"> </w:t>
      </w:r>
      <w:r w:rsidR="00850290" w:rsidRPr="00D7737E">
        <w:rPr>
          <w:rFonts w:ascii="Calibri" w:hAnsi="Calibri" w:cs="Calibri"/>
          <w:sz w:val="21"/>
          <w:szCs w:val="21"/>
        </w:rPr>
        <w:t xml:space="preserve">the minimum non-financial risk </w:t>
      </w:r>
      <w:r w:rsidRPr="00D7737E">
        <w:rPr>
          <w:rFonts w:ascii="Calibri" w:hAnsi="Calibri" w:cs="Calibri"/>
          <w:sz w:val="21"/>
          <w:szCs w:val="21"/>
        </w:rPr>
        <w:t xml:space="preserve">information, largely limited to what is </w:t>
      </w:r>
      <w:r w:rsidR="00644B97" w:rsidRPr="00D7737E">
        <w:rPr>
          <w:rFonts w:ascii="Calibri" w:hAnsi="Calibri" w:cs="Calibri"/>
          <w:sz w:val="21"/>
          <w:szCs w:val="21"/>
        </w:rPr>
        <w:t>required by</w:t>
      </w:r>
      <w:r w:rsidR="00850290" w:rsidRPr="00D7737E">
        <w:rPr>
          <w:rFonts w:ascii="Calibri" w:hAnsi="Calibri" w:cs="Calibri"/>
          <w:sz w:val="21"/>
          <w:szCs w:val="21"/>
        </w:rPr>
        <w:t xml:space="preserve"> the Code of Corporate Governanc</w:t>
      </w:r>
      <w:r w:rsidR="00850290" w:rsidRPr="00D7737E">
        <w:rPr>
          <w:rFonts w:ascii="Calibri" w:eastAsia="Times New Roman" w:hAnsi="Calibri" w:cs="Calibri"/>
          <w:color w:val="000000"/>
          <w:sz w:val="21"/>
          <w:szCs w:val="21"/>
        </w:rPr>
        <w:t>e</w:t>
      </w:r>
      <w:r w:rsidR="00020FD0" w:rsidRPr="00D7737E">
        <w:rPr>
          <w:rFonts w:ascii="Calibri" w:eastAsia="Times New Roman" w:hAnsi="Calibri" w:cs="Calibri"/>
          <w:color w:val="000000"/>
          <w:sz w:val="21"/>
          <w:szCs w:val="21"/>
        </w:rPr>
        <w:t xml:space="preserve">.  </w:t>
      </w:r>
    </w:p>
    <w:p w14:paraId="29F2DFF4" w14:textId="1C4D8744" w:rsidR="00434291" w:rsidRPr="00D7737E" w:rsidRDefault="004E02D2" w:rsidP="00B53B5E">
      <w:pPr>
        <w:pStyle w:val="ListParagraph"/>
        <w:numPr>
          <w:ilvl w:val="0"/>
          <w:numId w:val="7"/>
        </w:numPr>
        <w:spacing w:after="0" w:line="240" w:lineRule="auto"/>
        <w:ind w:left="360"/>
        <w:jc w:val="both"/>
        <w:rPr>
          <w:rFonts w:ascii="Calibri" w:eastAsia="Times New Roman" w:hAnsi="Calibri" w:cs="Calibri"/>
          <w:color w:val="000000"/>
          <w:sz w:val="21"/>
          <w:szCs w:val="21"/>
        </w:rPr>
      </w:pPr>
      <w:r w:rsidRPr="00D7737E">
        <w:rPr>
          <w:rFonts w:ascii="Calibri" w:eastAsia="Times New Roman" w:hAnsi="Calibri" w:cs="Calibri"/>
          <w:color w:val="000000"/>
          <w:sz w:val="21"/>
          <w:szCs w:val="21"/>
        </w:rPr>
        <w:t>F</w:t>
      </w:r>
      <w:r w:rsidR="00434291" w:rsidRPr="00D7737E">
        <w:rPr>
          <w:rFonts w:ascii="Calibri" w:eastAsia="Times New Roman" w:hAnsi="Calibri" w:cs="Calibri"/>
          <w:color w:val="000000"/>
          <w:sz w:val="21"/>
          <w:szCs w:val="21"/>
        </w:rPr>
        <w:t>inancial risks</w:t>
      </w:r>
      <w:r w:rsidR="00FB200C" w:rsidRPr="00D7737E">
        <w:rPr>
          <w:rFonts w:ascii="Calibri" w:eastAsia="Times New Roman" w:hAnsi="Calibri" w:cs="Calibri"/>
          <w:color w:val="000000"/>
          <w:sz w:val="21"/>
          <w:szCs w:val="21"/>
        </w:rPr>
        <w:t xml:space="preserve"> </w:t>
      </w:r>
      <w:r w:rsidRPr="00D7737E">
        <w:rPr>
          <w:rFonts w:ascii="Calibri" w:eastAsia="Times New Roman" w:hAnsi="Calibri" w:cs="Calibri"/>
          <w:color w:val="000000"/>
          <w:sz w:val="21"/>
          <w:szCs w:val="21"/>
        </w:rPr>
        <w:t xml:space="preserve">were usually </w:t>
      </w:r>
      <w:r w:rsidR="00644B97" w:rsidRPr="00D7737E">
        <w:rPr>
          <w:rFonts w:ascii="Calibri" w:eastAsia="Times New Roman" w:hAnsi="Calibri" w:cs="Calibri"/>
          <w:color w:val="000000"/>
          <w:sz w:val="21"/>
          <w:szCs w:val="21"/>
        </w:rPr>
        <w:t>disclosed in</w:t>
      </w:r>
      <w:r w:rsidR="00434291" w:rsidRPr="00D7737E">
        <w:rPr>
          <w:rFonts w:ascii="Calibri" w:eastAsia="Times New Roman" w:hAnsi="Calibri" w:cs="Calibri"/>
          <w:color w:val="000000"/>
          <w:sz w:val="21"/>
          <w:szCs w:val="21"/>
        </w:rPr>
        <w:t xml:space="preserve"> </w:t>
      </w:r>
      <w:r w:rsidR="00644B97" w:rsidRPr="00D7737E">
        <w:rPr>
          <w:rFonts w:ascii="Calibri" w:eastAsia="Times New Roman" w:hAnsi="Calibri" w:cs="Calibri"/>
          <w:color w:val="000000"/>
          <w:sz w:val="21"/>
          <w:szCs w:val="21"/>
        </w:rPr>
        <w:t>financial</w:t>
      </w:r>
      <w:r w:rsidR="00434291" w:rsidRPr="00D7737E">
        <w:rPr>
          <w:rFonts w:ascii="Calibri" w:eastAsia="Times New Roman" w:hAnsi="Calibri" w:cs="Calibri"/>
          <w:color w:val="000000"/>
          <w:sz w:val="21"/>
          <w:szCs w:val="21"/>
        </w:rPr>
        <w:t xml:space="preserve"> statements</w:t>
      </w:r>
      <w:r w:rsidR="00644B97" w:rsidRPr="00D7737E">
        <w:rPr>
          <w:rFonts w:ascii="Calibri" w:eastAsia="Times New Roman" w:hAnsi="Calibri" w:cs="Calibri"/>
          <w:color w:val="000000"/>
          <w:sz w:val="21"/>
          <w:szCs w:val="21"/>
        </w:rPr>
        <w:t>,</w:t>
      </w:r>
      <w:r w:rsidR="00434291" w:rsidRPr="00D7737E">
        <w:rPr>
          <w:rFonts w:ascii="Calibri" w:eastAsia="Times New Roman" w:hAnsi="Calibri" w:cs="Calibri"/>
          <w:color w:val="000000"/>
          <w:sz w:val="21"/>
          <w:szCs w:val="21"/>
        </w:rPr>
        <w:t xml:space="preserve"> </w:t>
      </w:r>
      <w:r w:rsidR="00FB200C" w:rsidRPr="00D7737E">
        <w:rPr>
          <w:rFonts w:ascii="Calibri" w:eastAsia="Times New Roman" w:hAnsi="Calibri" w:cs="Calibri"/>
          <w:color w:val="000000"/>
          <w:sz w:val="21"/>
          <w:szCs w:val="21"/>
        </w:rPr>
        <w:t>whilst</w:t>
      </w:r>
      <w:r w:rsidR="00CD0A49" w:rsidRPr="00D7737E">
        <w:rPr>
          <w:rFonts w:ascii="Calibri" w:eastAsia="Times New Roman" w:hAnsi="Calibri" w:cs="Calibri"/>
          <w:color w:val="000000"/>
          <w:sz w:val="21"/>
          <w:szCs w:val="21"/>
        </w:rPr>
        <w:t xml:space="preserve"> </w:t>
      </w:r>
      <w:r w:rsidR="00434291" w:rsidRPr="00D7737E">
        <w:rPr>
          <w:rFonts w:ascii="Calibri" w:eastAsia="Times New Roman" w:hAnsi="Calibri" w:cs="Calibri"/>
          <w:color w:val="000000"/>
          <w:sz w:val="21"/>
          <w:szCs w:val="21"/>
        </w:rPr>
        <w:t xml:space="preserve">non-financial risks </w:t>
      </w:r>
      <w:r w:rsidR="00644B97" w:rsidRPr="00D7737E">
        <w:rPr>
          <w:rFonts w:ascii="Calibri" w:eastAsia="Times New Roman" w:hAnsi="Calibri" w:cs="Calibri"/>
          <w:color w:val="000000"/>
          <w:sz w:val="21"/>
          <w:szCs w:val="21"/>
        </w:rPr>
        <w:t xml:space="preserve">disclosures appear </w:t>
      </w:r>
      <w:r w:rsidR="00434291" w:rsidRPr="00D7737E">
        <w:rPr>
          <w:rFonts w:ascii="Calibri" w:eastAsia="Times New Roman" w:hAnsi="Calibri" w:cs="Calibri"/>
          <w:color w:val="000000"/>
          <w:sz w:val="21"/>
          <w:szCs w:val="21"/>
        </w:rPr>
        <w:t xml:space="preserve">in </w:t>
      </w:r>
      <w:r w:rsidR="00FB200C" w:rsidRPr="00D7737E">
        <w:rPr>
          <w:rFonts w:ascii="Calibri" w:eastAsia="Times New Roman" w:hAnsi="Calibri" w:cs="Calibri"/>
          <w:color w:val="000000"/>
          <w:sz w:val="21"/>
          <w:szCs w:val="21"/>
        </w:rPr>
        <w:t>the</w:t>
      </w:r>
      <w:r w:rsidR="00434291" w:rsidRPr="00D7737E">
        <w:rPr>
          <w:rFonts w:ascii="Calibri" w:eastAsia="Times New Roman" w:hAnsi="Calibri" w:cs="Calibri"/>
          <w:color w:val="000000"/>
          <w:sz w:val="21"/>
          <w:szCs w:val="21"/>
        </w:rPr>
        <w:t xml:space="preserve"> corporate governance reports</w:t>
      </w:r>
      <w:r w:rsidR="00FB200C" w:rsidRPr="00D7737E">
        <w:rPr>
          <w:rFonts w:ascii="Calibri" w:eastAsia="Times New Roman" w:hAnsi="Calibri" w:cs="Calibri"/>
          <w:color w:val="000000"/>
          <w:sz w:val="21"/>
          <w:szCs w:val="21"/>
        </w:rPr>
        <w:t xml:space="preserve"> </w:t>
      </w:r>
      <w:r w:rsidR="00644B97" w:rsidRPr="00D7737E">
        <w:rPr>
          <w:rFonts w:ascii="Calibri" w:eastAsia="Times New Roman" w:hAnsi="Calibri" w:cs="Calibri"/>
          <w:color w:val="000000"/>
          <w:sz w:val="21"/>
          <w:szCs w:val="21"/>
        </w:rPr>
        <w:t xml:space="preserve">or </w:t>
      </w:r>
      <w:r w:rsidR="00FB200C" w:rsidRPr="00D7737E">
        <w:rPr>
          <w:rFonts w:ascii="Calibri" w:eastAsia="Times New Roman" w:hAnsi="Calibri" w:cs="Calibri"/>
          <w:color w:val="000000"/>
          <w:sz w:val="21"/>
          <w:szCs w:val="21"/>
        </w:rPr>
        <w:t xml:space="preserve">other </w:t>
      </w:r>
      <w:r w:rsidR="00B72E99" w:rsidRPr="00D7737E">
        <w:rPr>
          <w:rFonts w:ascii="Calibri" w:eastAsia="Times New Roman" w:hAnsi="Calibri" w:cs="Calibri"/>
          <w:color w:val="000000"/>
          <w:sz w:val="21"/>
          <w:szCs w:val="21"/>
        </w:rPr>
        <w:t xml:space="preserve">statutory </w:t>
      </w:r>
      <w:r w:rsidR="00FB200C" w:rsidRPr="00D7737E">
        <w:rPr>
          <w:rFonts w:ascii="Calibri" w:eastAsia="Times New Roman" w:hAnsi="Calibri" w:cs="Calibri"/>
          <w:color w:val="000000"/>
          <w:sz w:val="21"/>
          <w:szCs w:val="21"/>
        </w:rPr>
        <w:t>reports</w:t>
      </w:r>
      <w:r w:rsidR="00434291" w:rsidRPr="00D7737E">
        <w:rPr>
          <w:rFonts w:ascii="Calibri" w:eastAsia="Times New Roman" w:hAnsi="Calibri" w:cs="Calibri"/>
          <w:color w:val="000000"/>
          <w:sz w:val="21"/>
          <w:szCs w:val="21"/>
        </w:rPr>
        <w:t xml:space="preserve">. </w:t>
      </w:r>
      <w:r w:rsidR="00644B97" w:rsidRPr="00D7737E">
        <w:rPr>
          <w:rFonts w:ascii="Calibri" w:eastAsia="Times New Roman" w:hAnsi="Calibri" w:cs="Calibri"/>
          <w:color w:val="000000"/>
          <w:sz w:val="21"/>
          <w:szCs w:val="21"/>
        </w:rPr>
        <w:t>However, a</w:t>
      </w:r>
      <w:r w:rsidR="00434291" w:rsidRPr="00D7737E">
        <w:rPr>
          <w:rFonts w:ascii="Calibri" w:eastAsia="Times New Roman" w:hAnsi="Calibri" w:cs="Calibri"/>
          <w:color w:val="000000"/>
          <w:sz w:val="21"/>
          <w:szCs w:val="21"/>
        </w:rPr>
        <w:t xml:space="preserve"> clear linkage between financial risks and non-financial risks</w:t>
      </w:r>
      <w:r w:rsidR="00D1177A" w:rsidRPr="00D7737E">
        <w:rPr>
          <w:rFonts w:ascii="Calibri" w:eastAsia="Times New Roman" w:hAnsi="Calibri" w:cs="Calibri"/>
          <w:color w:val="000000"/>
          <w:sz w:val="21"/>
          <w:szCs w:val="21"/>
        </w:rPr>
        <w:t xml:space="preserve"> </w:t>
      </w:r>
      <w:r w:rsidR="00644B97" w:rsidRPr="00D7737E">
        <w:rPr>
          <w:rFonts w:ascii="Calibri" w:eastAsia="Times New Roman" w:hAnsi="Calibri" w:cs="Calibri"/>
          <w:color w:val="000000"/>
          <w:sz w:val="21"/>
          <w:szCs w:val="21"/>
        </w:rPr>
        <w:t>was often lacking.</w:t>
      </w:r>
      <w:r w:rsidR="00434291" w:rsidRPr="00D7737E">
        <w:rPr>
          <w:rFonts w:ascii="Calibri" w:eastAsia="Times New Roman" w:hAnsi="Calibri" w:cs="Calibri"/>
          <w:color w:val="000000"/>
          <w:sz w:val="21"/>
          <w:szCs w:val="21"/>
        </w:rPr>
        <w:t xml:space="preserve"> </w:t>
      </w:r>
    </w:p>
    <w:p w14:paraId="771B39D0" w14:textId="77777777" w:rsidR="00074AE6" w:rsidRPr="00D7737E" w:rsidRDefault="00074AE6" w:rsidP="00074AE6">
      <w:pPr>
        <w:spacing w:after="0" w:line="240" w:lineRule="auto"/>
        <w:jc w:val="both"/>
        <w:rPr>
          <w:rFonts w:ascii="Calibri" w:hAnsi="Calibri" w:cs="Calibri"/>
          <w:sz w:val="21"/>
          <w:szCs w:val="21"/>
        </w:rPr>
      </w:pPr>
    </w:p>
    <w:p w14:paraId="2BDF6D0D" w14:textId="77777777" w:rsidR="00A20EA7" w:rsidRDefault="00A20EA7" w:rsidP="00074AE6">
      <w:pPr>
        <w:spacing w:after="0" w:line="240" w:lineRule="auto"/>
        <w:jc w:val="both"/>
        <w:rPr>
          <w:rFonts w:ascii="Calibri" w:eastAsia="Times New Roman" w:hAnsi="Calibri" w:cs="Calibri"/>
          <w:color w:val="000000"/>
          <w:sz w:val="21"/>
          <w:szCs w:val="21"/>
          <w:u w:val="single"/>
        </w:rPr>
      </w:pPr>
    </w:p>
    <w:p w14:paraId="5A935847" w14:textId="77777777" w:rsidR="00A20EA7" w:rsidRDefault="00A20EA7" w:rsidP="00074AE6">
      <w:pPr>
        <w:spacing w:after="0" w:line="240" w:lineRule="auto"/>
        <w:jc w:val="both"/>
        <w:rPr>
          <w:rFonts w:ascii="Calibri" w:eastAsia="Times New Roman" w:hAnsi="Calibri" w:cs="Calibri"/>
          <w:color w:val="000000"/>
          <w:sz w:val="21"/>
          <w:szCs w:val="21"/>
          <w:u w:val="single"/>
        </w:rPr>
      </w:pPr>
    </w:p>
    <w:p w14:paraId="7D3F9562" w14:textId="77777777" w:rsidR="00A20EA7" w:rsidRDefault="00A20EA7" w:rsidP="00074AE6">
      <w:pPr>
        <w:spacing w:after="0" w:line="240" w:lineRule="auto"/>
        <w:jc w:val="both"/>
        <w:rPr>
          <w:rFonts w:ascii="Calibri" w:eastAsia="Times New Roman" w:hAnsi="Calibri" w:cs="Calibri"/>
          <w:color w:val="000000"/>
          <w:sz w:val="21"/>
          <w:szCs w:val="21"/>
          <w:u w:val="single"/>
        </w:rPr>
      </w:pPr>
    </w:p>
    <w:p w14:paraId="11FAEE91" w14:textId="61AE7807" w:rsidR="00B53B5E" w:rsidRPr="00D7737E" w:rsidRDefault="003B6B04" w:rsidP="00074AE6">
      <w:pPr>
        <w:spacing w:after="0" w:line="240" w:lineRule="auto"/>
        <w:jc w:val="both"/>
        <w:rPr>
          <w:rFonts w:ascii="Calibri" w:eastAsia="Times New Roman" w:hAnsi="Calibri" w:cs="Calibri"/>
          <w:color w:val="000000"/>
          <w:sz w:val="21"/>
          <w:szCs w:val="21"/>
        </w:rPr>
      </w:pPr>
      <w:r w:rsidRPr="00D7737E">
        <w:rPr>
          <w:rFonts w:ascii="Calibri" w:eastAsia="Times New Roman" w:hAnsi="Calibri" w:cs="Calibri"/>
          <w:color w:val="000000"/>
          <w:sz w:val="21"/>
          <w:szCs w:val="21"/>
          <w:u w:val="single"/>
        </w:rPr>
        <w:lastRenderedPageBreak/>
        <w:t xml:space="preserve">Cross-sectoral </w:t>
      </w:r>
      <w:r w:rsidR="00644B97" w:rsidRPr="00D7737E">
        <w:rPr>
          <w:rFonts w:ascii="Calibri" w:eastAsia="Times New Roman" w:hAnsi="Calibri" w:cs="Calibri"/>
          <w:color w:val="000000"/>
          <w:sz w:val="21"/>
          <w:szCs w:val="21"/>
          <w:u w:val="single"/>
        </w:rPr>
        <w:t>comparison</w:t>
      </w:r>
      <w:r w:rsidR="006C0901" w:rsidRPr="00D7737E">
        <w:rPr>
          <w:rFonts w:ascii="Calibri" w:eastAsia="Times New Roman" w:hAnsi="Calibri" w:cs="Calibri"/>
          <w:color w:val="000000"/>
          <w:sz w:val="21"/>
          <w:szCs w:val="21"/>
          <w:u w:val="single"/>
        </w:rPr>
        <w:t>:</w:t>
      </w:r>
      <w:r w:rsidR="005D4764" w:rsidRPr="00D7737E">
        <w:rPr>
          <w:rFonts w:ascii="Calibri" w:eastAsia="Times New Roman" w:hAnsi="Calibri" w:cs="Calibri"/>
          <w:color w:val="000000"/>
          <w:sz w:val="21"/>
          <w:szCs w:val="21"/>
          <w:u w:val="single"/>
        </w:rPr>
        <w:t xml:space="preserve"> BIF and Non-BIF</w:t>
      </w:r>
      <w:r w:rsidR="006C0901" w:rsidRPr="00D7737E">
        <w:rPr>
          <w:rFonts w:ascii="Calibri" w:eastAsia="Times New Roman" w:hAnsi="Calibri" w:cs="Calibri"/>
          <w:color w:val="000000"/>
          <w:sz w:val="21"/>
          <w:szCs w:val="21"/>
          <w:u w:val="single"/>
        </w:rPr>
        <w:t xml:space="preserve"> sectors</w:t>
      </w:r>
    </w:p>
    <w:p w14:paraId="1E23D67F" w14:textId="77777777" w:rsidR="006F0B38" w:rsidRPr="00D7737E" w:rsidRDefault="006F0B38" w:rsidP="006F0B38">
      <w:pPr>
        <w:spacing w:after="0" w:line="240" w:lineRule="auto"/>
        <w:jc w:val="both"/>
        <w:rPr>
          <w:rFonts w:ascii="Calibri" w:eastAsia="Times New Roman" w:hAnsi="Calibri" w:cs="Calibri"/>
          <w:color w:val="000000"/>
          <w:sz w:val="21"/>
          <w:szCs w:val="21"/>
          <w:u w:val="single"/>
        </w:rPr>
      </w:pPr>
    </w:p>
    <w:p w14:paraId="75E50F88" w14:textId="77777777" w:rsidR="00644B97" w:rsidRPr="00D7737E" w:rsidRDefault="00644B97" w:rsidP="00644B97">
      <w:pPr>
        <w:pStyle w:val="ListParagraph"/>
        <w:numPr>
          <w:ilvl w:val="0"/>
          <w:numId w:val="12"/>
        </w:numPr>
        <w:spacing w:after="0" w:line="240" w:lineRule="auto"/>
        <w:jc w:val="both"/>
        <w:rPr>
          <w:rFonts w:ascii="Calibri" w:eastAsia="Times New Roman" w:hAnsi="Calibri" w:cs="Calibri"/>
          <w:color w:val="000000"/>
          <w:sz w:val="21"/>
          <w:szCs w:val="21"/>
        </w:rPr>
      </w:pPr>
      <w:r w:rsidRPr="00D7737E">
        <w:rPr>
          <w:rFonts w:ascii="Calibri" w:hAnsi="Calibri" w:cs="Calibri"/>
          <w:sz w:val="21"/>
          <w:szCs w:val="21"/>
        </w:rPr>
        <w:t xml:space="preserve">Entities within the BIF sector demonstrated more comprehensive disclosures for both financial and non-financial risks owing to regulatory oversight by institutions such as the Bank of Mauritius and the Financial Services Commission. </w:t>
      </w:r>
    </w:p>
    <w:p w14:paraId="41D4D896" w14:textId="101F617D" w:rsidR="00F5522D" w:rsidRPr="00D7737E" w:rsidRDefault="00644B97" w:rsidP="00644B97">
      <w:pPr>
        <w:pStyle w:val="ListParagraph"/>
        <w:numPr>
          <w:ilvl w:val="0"/>
          <w:numId w:val="12"/>
        </w:numPr>
        <w:spacing w:after="0" w:line="240" w:lineRule="auto"/>
        <w:jc w:val="both"/>
        <w:rPr>
          <w:rFonts w:ascii="Calibri" w:eastAsia="Times New Roman" w:hAnsi="Calibri" w:cs="Calibri"/>
          <w:color w:val="000000"/>
          <w:sz w:val="21"/>
          <w:szCs w:val="21"/>
        </w:rPr>
      </w:pPr>
      <w:r w:rsidRPr="00D7737E">
        <w:rPr>
          <w:rFonts w:ascii="Calibri" w:hAnsi="Calibri" w:cs="Calibri"/>
          <w:sz w:val="21"/>
          <w:szCs w:val="21"/>
        </w:rPr>
        <w:t>PIEs outside the BIF</w:t>
      </w:r>
      <w:r w:rsidR="00B72E99" w:rsidRPr="00D7737E">
        <w:rPr>
          <w:rFonts w:ascii="Calibri" w:hAnsi="Calibri" w:cs="Calibri"/>
          <w:sz w:val="21"/>
          <w:szCs w:val="21"/>
        </w:rPr>
        <w:t xml:space="preserve"> sector </w:t>
      </w:r>
      <w:r w:rsidRPr="00D7737E">
        <w:rPr>
          <w:rFonts w:ascii="Calibri" w:hAnsi="Calibri" w:cs="Calibri"/>
          <w:sz w:val="21"/>
          <w:szCs w:val="21"/>
        </w:rPr>
        <w:t>generally exhibited less detailed risk reporting.</w:t>
      </w:r>
    </w:p>
    <w:p w14:paraId="7F1FA89A" w14:textId="77777777" w:rsidR="00074AE6" w:rsidRPr="00D7737E" w:rsidRDefault="00074AE6" w:rsidP="00074AE6">
      <w:pPr>
        <w:spacing w:after="0" w:line="240" w:lineRule="auto"/>
        <w:jc w:val="both"/>
        <w:rPr>
          <w:rFonts w:ascii="Calibri" w:hAnsi="Calibri" w:cs="Calibri"/>
          <w:sz w:val="21"/>
          <w:szCs w:val="21"/>
        </w:rPr>
      </w:pPr>
    </w:p>
    <w:p w14:paraId="5014E566" w14:textId="5F71662B" w:rsidR="005D4764" w:rsidRPr="00D7737E" w:rsidRDefault="005D4764" w:rsidP="00CE7B37">
      <w:pPr>
        <w:spacing w:after="0" w:line="240" w:lineRule="auto"/>
        <w:jc w:val="both"/>
        <w:rPr>
          <w:rFonts w:ascii="Calibri" w:hAnsi="Calibri" w:cs="Calibri"/>
          <w:sz w:val="21"/>
          <w:szCs w:val="21"/>
          <w:u w:val="single"/>
        </w:rPr>
      </w:pPr>
      <w:r w:rsidRPr="00D7737E">
        <w:rPr>
          <w:rFonts w:ascii="Calibri" w:hAnsi="Calibri" w:cs="Calibri"/>
          <w:sz w:val="21"/>
          <w:szCs w:val="21"/>
          <w:u w:val="single"/>
        </w:rPr>
        <w:t>Key findings on the financial</w:t>
      </w:r>
      <w:r w:rsidR="003004FC" w:rsidRPr="00D7737E">
        <w:rPr>
          <w:rFonts w:ascii="Calibri" w:hAnsi="Calibri" w:cs="Calibri"/>
          <w:sz w:val="21"/>
          <w:szCs w:val="21"/>
          <w:u w:val="single"/>
        </w:rPr>
        <w:t xml:space="preserve"> and non-financial</w:t>
      </w:r>
      <w:r w:rsidRPr="00D7737E">
        <w:rPr>
          <w:rFonts w:ascii="Calibri" w:hAnsi="Calibri" w:cs="Calibri"/>
          <w:sz w:val="21"/>
          <w:szCs w:val="21"/>
          <w:u w:val="single"/>
        </w:rPr>
        <w:t xml:space="preserve"> risk disclosures</w:t>
      </w:r>
    </w:p>
    <w:p w14:paraId="5AC50B27" w14:textId="77777777" w:rsidR="003004FC" w:rsidRPr="00D7737E" w:rsidRDefault="003004FC" w:rsidP="00CE7B37">
      <w:pPr>
        <w:spacing w:after="0" w:line="240" w:lineRule="auto"/>
        <w:jc w:val="both"/>
        <w:rPr>
          <w:rFonts w:ascii="Calibri" w:hAnsi="Calibri" w:cs="Calibri"/>
          <w:sz w:val="21"/>
          <w:szCs w:val="21"/>
          <w:u w:val="single"/>
        </w:rPr>
      </w:pPr>
    </w:p>
    <w:p w14:paraId="3B7CE54C" w14:textId="50668811" w:rsidR="00263EB8" w:rsidRPr="00D7737E" w:rsidRDefault="00644B97" w:rsidP="00956064">
      <w:pPr>
        <w:spacing w:after="0" w:line="240" w:lineRule="auto"/>
        <w:jc w:val="both"/>
        <w:rPr>
          <w:rFonts w:ascii="Calibri" w:hAnsi="Calibri" w:cs="Calibri"/>
          <w:sz w:val="21"/>
          <w:szCs w:val="21"/>
        </w:rPr>
      </w:pPr>
      <w:r w:rsidRPr="00D7737E">
        <w:rPr>
          <w:rFonts w:ascii="Calibri" w:hAnsi="Calibri" w:cs="Calibri"/>
          <w:sz w:val="21"/>
          <w:szCs w:val="21"/>
        </w:rPr>
        <w:t xml:space="preserve">Whilst many </w:t>
      </w:r>
      <w:r w:rsidR="003004FC" w:rsidRPr="00D7737E">
        <w:rPr>
          <w:rFonts w:ascii="Calibri" w:hAnsi="Calibri" w:cs="Calibri"/>
          <w:sz w:val="21"/>
          <w:szCs w:val="21"/>
        </w:rPr>
        <w:t>PIEs</w:t>
      </w:r>
      <w:r w:rsidRPr="00D7737E">
        <w:rPr>
          <w:rFonts w:ascii="Calibri" w:hAnsi="Calibri" w:cs="Calibri"/>
          <w:sz w:val="21"/>
          <w:szCs w:val="21"/>
        </w:rPr>
        <w:t xml:space="preserve"> demonstrated </w:t>
      </w:r>
      <w:r w:rsidR="006C0901" w:rsidRPr="00D7737E">
        <w:rPr>
          <w:rFonts w:ascii="Calibri" w:hAnsi="Calibri" w:cs="Calibri"/>
          <w:sz w:val="21"/>
          <w:szCs w:val="21"/>
        </w:rPr>
        <w:t>good compliance</w:t>
      </w:r>
      <w:r w:rsidRPr="00D7737E">
        <w:rPr>
          <w:rFonts w:ascii="Calibri" w:hAnsi="Calibri" w:cs="Calibri"/>
          <w:sz w:val="21"/>
          <w:szCs w:val="21"/>
        </w:rPr>
        <w:t xml:space="preserve"> with</w:t>
      </w:r>
      <w:r w:rsidR="00956064" w:rsidRPr="00D7737E">
        <w:rPr>
          <w:rFonts w:ascii="Calibri" w:hAnsi="Calibri" w:cs="Calibri"/>
          <w:sz w:val="21"/>
          <w:szCs w:val="21"/>
        </w:rPr>
        <w:t xml:space="preserve"> </w:t>
      </w:r>
      <w:r w:rsidR="00E334A7">
        <w:rPr>
          <w:rFonts w:ascii="Calibri" w:hAnsi="Calibri" w:cs="Calibri"/>
          <w:sz w:val="21"/>
          <w:szCs w:val="21"/>
        </w:rPr>
        <w:t>IFRS</w:t>
      </w:r>
      <w:r w:rsidR="00956064" w:rsidRPr="00D7737E">
        <w:rPr>
          <w:rFonts w:ascii="Calibri" w:hAnsi="Calibri" w:cs="Calibri"/>
          <w:sz w:val="21"/>
          <w:szCs w:val="21"/>
        </w:rPr>
        <w:t xml:space="preserve"> and the Code of Corporate Governance</w:t>
      </w:r>
      <w:r w:rsidR="006C0901" w:rsidRPr="00D7737E">
        <w:rPr>
          <w:rFonts w:ascii="Calibri" w:hAnsi="Calibri" w:cs="Calibri"/>
          <w:sz w:val="21"/>
          <w:szCs w:val="21"/>
        </w:rPr>
        <w:t xml:space="preserve"> </w:t>
      </w:r>
      <w:r w:rsidR="00CB49A1">
        <w:rPr>
          <w:rFonts w:ascii="Calibri" w:hAnsi="Calibri" w:cs="Calibri"/>
          <w:sz w:val="21"/>
          <w:szCs w:val="21"/>
        </w:rPr>
        <w:t>P</w:t>
      </w:r>
      <w:r w:rsidR="006C0901" w:rsidRPr="00D7737E">
        <w:rPr>
          <w:rFonts w:ascii="Calibri" w:hAnsi="Calibri" w:cs="Calibri"/>
          <w:sz w:val="21"/>
          <w:szCs w:val="21"/>
        </w:rPr>
        <w:t>rinciples</w:t>
      </w:r>
      <w:r w:rsidR="006D236C">
        <w:rPr>
          <w:rFonts w:ascii="Calibri" w:hAnsi="Calibri" w:cs="Calibri"/>
          <w:sz w:val="21"/>
          <w:szCs w:val="21"/>
        </w:rPr>
        <w:t>, s</w:t>
      </w:r>
      <w:r w:rsidR="006C0901" w:rsidRPr="00D7737E">
        <w:rPr>
          <w:rFonts w:ascii="Calibri" w:hAnsi="Calibri" w:cs="Calibri"/>
          <w:sz w:val="21"/>
          <w:szCs w:val="21"/>
        </w:rPr>
        <w:t>everal gaps were identified</w:t>
      </w:r>
      <w:r w:rsidR="00263EB8" w:rsidRPr="00D7737E">
        <w:rPr>
          <w:rFonts w:ascii="Calibri" w:hAnsi="Calibri" w:cs="Calibri"/>
          <w:sz w:val="21"/>
          <w:szCs w:val="21"/>
        </w:rPr>
        <w:t>:</w:t>
      </w:r>
    </w:p>
    <w:p w14:paraId="417578F0" w14:textId="20B31B3C" w:rsidR="00263EB8" w:rsidRPr="00D7737E" w:rsidRDefault="006C0901" w:rsidP="00A132B8">
      <w:pPr>
        <w:pStyle w:val="ListParagraph"/>
        <w:numPr>
          <w:ilvl w:val="0"/>
          <w:numId w:val="4"/>
        </w:numPr>
        <w:spacing w:after="0" w:line="240" w:lineRule="auto"/>
        <w:ind w:left="360"/>
        <w:jc w:val="both"/>
        <w:rPr>
          <w:rFonts w:ascii="Calibri" w:hAnsi="Calibri" w:cs="Calibri"/>
          <w:sz w:val="21"/>
          <w:szCs w:val="21"/>
        </w:rPr>
      </w:pPr>
      <w:r w:rsidRPr="00D7737E">
        <w:rPr>
          <w:rFonts w:ascii="Calibri" w:hAnsi="Calibri" w:cs="Calibri"/>
          <w:sz w:val="21"/>
          <w:szCs w:val="21"/>
        </w:rPr>
        <w:t xml:space="preserve">Incomplete information on </w:t>
      </w:r>
      <w:r w:rsidR="00263EB8" w:rsidRPr="00D7737E">
        <w:rPr>
          <w:rFonts w:ascii="Calibri" w:hAnsi="Calibri" w:cs="Calibri"/>
          <w:sz w:val="21"/>
          <w:szCs w:val="21"/>
        </w:rPr>
        <w:t xml:space="preserve">liquidity risk </w:t>
      </w:r>
      <w:r w:rsidRPr="00D7737E">
        <w:rPr>
          <w:rFonts w:ascii="Calibri" w:hAnsi="Calibri" w:cs="Calibri"/>
          <w:sz w:val="21"/>
          <w:szCs w:val="21"/>
        </w:rPr>
        <w:t>including</w:t>
      </w:r>
      <w:r w:rsidR="00263EB8" w:rsidRPr="00D7737E">
        <w:rPr>
          <w:rFonts w:ascii="Calibri" w:hAnsi="Calibri" w:cs="Calibri"/>
          <w:sz w:val="21"/>
          <w:szCs w:val="21"/>
        </w:rPr>
        <w:t xml:space="preserve"> cash outflow and maturity analysis of financial assets</w:t>
      </w:r>
      <w:r w:rsidR="00CA7146" w:rsidRPr="00D7737E">
        <w:rPr>
          <w:rFonts w:ascii="Calibri" w:hAnsi="Calibri" w:cs="Calibri"/>
          <w:sz w:val="21"/>
          <w:szCs w:val="21"/>
        </w:rPr>
        <w:t xml:space="preserve"> (IFRS 7)</w:t>
      </w:r>
      <w:r w:rsidR="00263EB8" w:rsidRPr="00D7737E">
        <w:rPr>
          <w:rFonts w:ascii="Calibri" w:hAnsi="Calibri" w:cs="Calibri"/>
          <w:sz w:val="21"/>
          <w:szCs w:val="21"/>
        </w:rPr>
        <w:t>.</w:t>
      </w:r>
    </w:p>
    <w:p w14:paraId="42748B3E" w14:textId="6B9A6534" w:rsidR="00F67063" w:rsidRPr="00D7737E" w:rsidRDefault="006C0901" w:rsidP="005D4764">
      <w:pPr>
        <w:pStyle w:val="ListParagraph"/>
        <w:numPr>
          <w:ilvl w:val="0"/>
          <w:numId w:val="4"/>
        </w:numPr>
        <w:spacing w:after="0" w:line="240" w:lineRule="auto"/>
        <w:ind w:left="360"/>
        <w:jc w:val="both"/>
        <w:rPr>
          <w:rFonts w:ascii="Calibri" w:hAnsi="Calibri" w:cs="Calibri"/>
          <w:sz w:val="21"/>
          <w:szCs w:val="21"/>
        </w:rPr>
      </w:pPr>
      <w:r w:rsidRPr="00D7737E">
        <w:rPr>
          <w:rFonts w:ascii="Calibri" w:hAnsi="Calibri" w:cs="Calibri"/>
          <w:sz w:val="21"/>
          <w:szCs w:val="21"/>
        </w:rPr>
        <w:t>Limited explanation of r</w:t>
      </w:r>
      <w:r w:rsidR="00A132B8" w:rsidRPr="00D7737E">
        <w:rPr>
          <w:rFonts w:ascii="Calibri" w:hAnsi="Calibri" w:cs="Calibri"/>
          <w:sz w:val="21"/>
          <w:szCs w:val="21"/>
        </w:rPr>
        <w:t xml:space="preserve">isk management procedures </w:t>
      </w:r>
      <w:r w:rsidRPr="00D7737E">
        <w:rPr>
          <w:rFonts w:ascii="Calibri" w:hAnsi="Calibri" w:cs="Calibri"/>
          <w:sz w:val="21"/>
          <w:szCs w:val="21"/>
        </w:rPr>
        <w:t>as</w:t>
      </w:r>
      <w:r w:rsidR="006D236C">
        <w:rPr>
          <w:rFonts w:ascii="Calibri" w:hAnsi="Calibri" w:cs="Calibri"/>
          <w:sz w:val="21"/>
          <w:szCs w:val="21"/>
        </w:rPr>
        <w:t xml:space="preserve"> required</w:t>
      </w:r>
      <w:r w:rsidRPr="00D7737E">
        <w:rPr>
          <w:rFonts w:ascii="Calibri" w:hAnsi="Calibri" w:cs="Calibri"/>
          <w:sz w:val="21"/>
          <w:szCs w:val="21"/>
        </w:rPr>
        <w:t xml:space="preserve"> by the </w:t>
      </w:r>
      <w:r w:rsidR="00A132B8" w:rsidRPr="00D7737E">
        <w:rPr>
          <w:rFonts w:ascii="Calibri" w:hAnsi="Calibri" w:cs="Calibri"/>
          <w:sz w:val="21"/>
          <w:szCs w:val="21"/>
        </w:rPr>
        <w:t>Code of Corporate Governance</w:t>
      </w:r>
      <w:r w:rsidR="00956064" w:rsidRPr="00D7737E">
        <w:rPr>
          <w:rFonts w:ascii="Calibri" w:hAnsi="Calibri" w:cs="Calibri"/>
          <w:sz w:val="21"/>
          <w:szCs w:val="21"/>
        </w:rPr>
        <w:t>.</w:t>
      </w:r>
    </w:p>
    <w:p w14:paraId="588F67EE" w14:textId="77777777" w:rsidR="00956064" w:rsidRPr="00D7737E" w:rsidRDefault="00956064" w:rsidP="00956064">
      <w:pPr>
        <w:pStyle w:val="ListParagraph"/>
        <w:spacing w:after="0" w:line="240" w:lineRule="auto"/>
        <w:ind w:left="360"/>
        <w:jc w:val="both"/>
        <w:rPr>
          <w:rFonts w:ascii="Calibri" w:hAnsi="Calibri" w:cs="Calibri"/>
          <w:sz w:val="21"/>
          <w:szCs w:val="21"/>
        </w:rPr>
      </w:pPr>
    </w:p>
    <w:p w14:paraId="1D73945B" w14:textId="367B1A3D" w:rsidR="00831A5F" w:rsidRPr="00D7737E" w:rsidRDefault="005D4764" w:rsidP="005D4764">
      <w:pPr>
        <w:spacing w:after="0" w:line="240" w:lineRule="auto"/>
        <w:jc w:val="both"/>
        <w:rPr>
          <w:rFonts w:ascii="Calibri" w:hAnsi="Calibri" w:cs="Calibri"/>
          <w:sz w:val="21"/>
          <w:szCs w:val="21"/>
          <w:u w:val="single"/>
        </w:rPr>
      </w:pPr>
      <w:r w:rsidRPr="00D7737E">
        <w:rPr>
          <w:rFonts w:ascii="Calibri" w:hAnsi="Calibri" w:cs="Calibri"/>
          <w:sz w:val="21"/>
          <w:szCs w:val="21"/>
          <w:u w:val="single"/>
        </w:rPr>
        <w:t xml:space="preserve">Areas for improvement in relation to </w:t>
      </w:r>
      <w:r w:rsidR="003004FC" w:rsidRPr="00D7737E">
        <w:rPr>
          <w:rFonts w:ascii="Calibri" w:hAnsi="Calibri" w:cs="Calibri"/>
          <w:sz w:val="21"/>
          <w:szCs w:val="21"/>
          <w:u w:val="single"/>
        </w:rPr>
        <w:t xml:space="preserve">financial and </w:t>
      </w:r>
      <w:r w:rsidRPr="00D7737E">
        <w:rPr>
          <w:rFonts w:ascii="Calibri" w:hAnsi="Calibri" w:cs="Calibri"/>
          <w:sz w:val="21"/>
          <w:szCs w:val="21"/>
          <w:u w:val="single"/>
        </w:rPr>
        <w:t>non-financial risks</w:t>
      </w:r>
    </w:p>
    <w:p w14:paraId="4D1FBE1B" w14:textId="77777777" w:rsidR="006C0901" w:rsidRPr="00D7737E" w:rsidRDefault="006C0901" w:rsidP="005D4764">
      <w:pPr>
        <w:spacing w:after="0" w:line="240" w:lineRule="auto"/>
        <w:jc w:val="both"/>
        <w:rPr>
          <w:rFonts w:ascii="Calibri" w:hAnsi="Calibri" w:cs="Calibri"/>
          <w:sz w:val="21"/>
          <w:szCs w:val="21"/>
          <w:u w:val="single"/>
        </w:rPr>
      </w:pPr>
    </w:p>
    <w:p w14:paraId="11464060" w14:textId="779404F6" w:rsidR="00263EB8" w:rsidRPr="00D7737E" w:rsidRDefault="006C0901" w:rsidP="005D4764">
      <w:pPr>
        <w:spacing w:after="0" w:line="240" w:lineRule="auto"/>
        <w:jc w:val="both"/>
        <w:rPr>
          <w:rFonts w:ascii="Calibri" w:hAnsi="Calibri" w:cs="Calibri"/>
          <w:sz w:val="21"/>
          <w:szCs w:val="21"/>
        </w:rPr>
      </w:pPr>
      <w:r w:rsidRPr="00D7737E">
        <w:rPr>
          <w:rFonts w:ascii="Calibri" w:hAnsi="Calibri" w:cs="Calibri"/>
          <w:sz w:val="21"/>
          <w:szCs w:val="21"/>
        </w:rPr>
        <w:t>The FRC</w:t>
      </w:r>
      <w:r w:rsidR="00063E6B" w:rsidRPr="00D7737E">
        <w:rPr>
          <w:rFonts w:ascii="Calibri" w:hAnsi="Calibri" w:cs="Calibri"/>
          <w:sz w:val="21"/>
          <w:szCs w:val="21"/>
        </w:rPr>
        <w:t xml:space="preserve"> </w:t>
      </w:r>
      <w:r w:rsidR="005D4764" w:rsidRPr="00D7737E">
        <w:rPr>
          <w:rFonts w:ascii="Calibri" w:hAnsi="Calibri" w:cs="Calibri"/>
          <w:sz w:val="21"/>
          <w:szCs w:val="21"/>
        </w:rPr>
        <w:t>encourage</w:t>
      </w:r>
      <w:r w:rsidRPr="00D7737E">
        <w:rPr>
          <w:rFonts w:ascii="Calibri" w:hAnsi="Calibri" w:cs="Calibri"/>
          <w:sz w:val="21"/>
          <w:szCs w:val="21"/>
        </w:rPr>
        <w:t xml:space="preserve">s PIEs to strengthen their </w:t>
      </w:r>
      <w:r w:rsidR="00CB49A1" w:rsidRPr="00CB49A1">
        <w:rPr>
          <w:rFonts w:ascii="Calibri" w:hAnsi="Calibri" w:cs="Calibri"/>
          <w:sz w:val="21"/>
          <w:szCs w:val="21"/>
        </w:rPr>
        <w:t>financial and non-financial risk</w:t>
      </w:r>
      <w:r w:rsidR="00CB49A1">
        <w:rPr>
          <w:rFonts w:ascii="Calibri" w:hAnsi="Calibri" w:cs="Calibri"/>
          <w:sz w:val="21"/>
          <w:szCs w:val="21"/>
        </w:rPr>
        <w:t xml:space="preserve"> </w:t>
      </w:r>
      <w:r w:rsidRPr="00D7737E">
        <w:rPr>
          <w:rFonts w:ascii="Calibri" w:hAnsi="Calibri" w:cs="Calibri"/>
          <w:sz w:val="21"/>
          <w:szCs w:val="21"/>
        </w:rPr>
        <w:t xml:space="preserve">reporting practices by incorporating the following: </w:t>
      </w:r>
    </w:p>
    <w:p w14:paraId="16EF6AB8" w14:textId="77777777" w:rsidR="00A132B8" w:rsidRPr="00D7737E" w:rsidRDefault="00A132B8" w:rsidP="005D4764">
      <w:pPr>
        <w:spacing w:after="0" w:line="240" w:lineRule="auto"/>
        <w:jc w:val="both"/>
        <w:rPr>
          <w:rFonts w:ascii="Calibri" w:hAnsi="Calibri" w:cs="Calibri"/>
          <w:sz w:val="21"/>
          <w:szCs w:val="21"/>
        </w:rPr>
      </w:pPr>
    </w:p>
    <w:p w14:paraId="4B6C2E32" w14:textId="339C46E3" w:rsidR="00A132B8" w:rsidRPr="00A20EA7" w:rsidRDefault="00073A7C" w:rsidP="005D4764">
      <w:pPr>
        <w:spacing w:after="0" w:line="240" w:lineRule="auto"/>
        <w:jc w:val="both"/>
        <w:rPr>
          <w:rFonts w:ascii="Calibri" w:hAnsi="Calibri" w:cs="Calibri"/>
          <w:i/>
          <w:iCs/>
          <w:sz w:val="21"/>
          <w:szCs w:val="21"/>
        </w:rPr>
      </w:pPr>
      <w:r>
        <w:rPr>
          <w:rFonts w:ascii="Calibri" w:hAnsi="Calibri" w:cs="Calibri"/>
          <w:i/>
          <w:iCs/>
          <w:sz w:val="21"/>
          <w:szCs w:val="21"/>
        </w:rPr>
        <w:t xml:space="preserve">A. </w:t>
      </w:r>
      <w:r w:rsidR="00A132B8" w:rsidRPr="00A20EA7">
        <w:rPr>
          <w:rFonts w:ascii="Calibri" w:hAnsi="Calibri" w:cs="Calibri"/>
          <w:i/>
          <w:iCs/>
          <w:sz w:val="21"/>
          <w:szCs w:val="21"/>
        </w:rPr>
        <w:t>Financial risks</w:t>
      </w:r>
      <w:r w:rsidR="006C0901" w:rsidRPr="00A20EA7">
        <w:rPr>
          <w:rFonts w:ascii="Calibri" w:hAnsi="Calibri" w:cs="Calibri"/>
          <w:i/>
          <w:iCs/>
          <w:sz w:val="21"/>
          <w:szCs w:val="21"/>
        </w:rPr>
        <w:t xml:space="preserve"> disclosures</w:t>
      </w:r>
    </w:p>
    <w:p w14:paraId="109A6B16" w14:textId="434BB6A1" w:rsidR="00A132B8" w:rsidRPr="00D7737E" w:rsidRDefault="006C0901" w:rsidP="00A132B8">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Clear details on t</w:t>
      </w:r>
      <w:r w:rsidR="00A132B8" w:rsidRPr="00D7737E">
        <w:rPr>
          <w:rFonts w:ascii="Calibri" w:hAnsi="Calibri" w:cs="Calibri"/>
          <w:sz w:val="21"/>
          <w:szCs w:val="21"/>
        </w:rPr>
        <w:t xml:space="preserve">he level of drawn and undrawn finance facilities in place (IAS 7).   </w:t>
      </w:r>
    </w:p>
    <w:p w14:paraId="0F0AD7E1" w14:textId="483CBB27" w:rsidR="00A132B8" w:rsidRPr="00D7737E" w:rsidRDefault="00A132B8" w:rsidP="00A132B8">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 xml:space="preserve">Cash flows </w:t>
      </w:r>
      <w:r w:rsidR="006C0901" w:rsidRPr="00D7737E">
        <w:rPr>
          <w:rFonts w:ascii="Calibri" w:hAnsi="Calibri" w:cs="Calibri"/>
          <w:sz w:val="21"/>
          <w:szCs w:val="21"/>
        </w:rPr>
        <w:t xml:space="preserve">disclosures </w:t>
      </w:r>
      <w:r w:rsidRPr="00D7737E">
        <w:rPr>
          <w:rFonts w:ascii="Calibri" w:hAnsi="Calibri" w:cs="Calibri"/>
          <w:sz w:val="21"/>
          <w:szCs w:val="21"/>
        </w:rPr>
        <w:t xml:space="preserve">representing </w:t>
      </w:r>
      <w:r w:rsidR="006C0901" w:rsidRPr="00D7737E">
        <w:rPr>
          <w:rFonts w:ascii="Calibri" w:hAnsi="Calibri" w:cs="Calibri"/>
          <w:sz w:val="21"/>
          <w:szCs w:val="21"/>
        </w:rPr>
        <w:t>change</w:t>
      </w:r>
      <w:r w:rsidRPr="00D7737E">
        <w:rPr>
          <w:rFonts w:ascii="Calibri" w:hAnsi="Calibri" w:cs="Calibri"/>
          <w:sz w:val="21"/>
          <w:szCs w:val="21"/>
        </w:rPr>
        <w:t>s in operati</w:t>
      </w:r>
      <w:r w:rsidR="006C0901" w:rsidRPr="00D7737E">
        <w:rPr>
          <w:rFonts w:ascii="Calibri" w:hAnsi="Calibri" w:cs="Calibri"/>
          <w:sz w:val="21"/>
          <w:szCs w:val="21"/>
        </w:rPr>
        <w:t>onal</w:t>
      </w:r>
      <w:r w:rsidRPr="00D7737E">
        <w:rPr>
          <w:rFonts w:ascii="Calibri" w:hAnsi="Calibri" w:cs="Calibri"/>
          <w:sz w:val="21"/>
          <w:szCs w:val="21"/>
        </w:rPr>
        <w:t xml:space="preserve"> capacity and</w:t>
      </w:r>
      <w:r w:rsidR="006D236C">
        <w:rPr>
          <w:rFonts w:ascii="Calibri" w:hAnsi="Calibri" w:cs="Calibri"/>
          <w:sz w:val="21"/>
          <w:szCs w:val="21"/>
        </w:rPr>
        <w:t xml:space="preserve"> information </w:t>
      </w:r>
      <w:r w:rsidR="006C0901" w:rsidRPr="00D7737E">
        <w:rPr>
          <w:rFonts w:ascii="Calibri" w:hAnsi="Calibri" w:cs="Calibri"/>
          <w:sz w:val="21"/>
          <w:szCs w:val="21"/>
        </w:rPr>
        <w:t>by reporting</w:t>
      </w:r>
      <w:r w:rsidRPr="00D7737E">
        <w:rPr>
          <w:rFonts w:ascii="Calibri" w:hAnsi="Calibri" w:cs="Calibri"/>
          <w:sz w:val="21"/>
          <w:szCs w:val="21"/>
        </w:rPr>
        <w:t xml:space="preserve"> segment (IAS 7).</w:t>
      </w:r>
    </w:p>
    <w:p w14:paraId="1D3F6617" w14:textId="77777777" w:rsidR="00A132B8" w:rsidRPr="00D7737E" w:rsidRDefault="00A132B8" w:rsidP="005D4764">
      <w:pPr>
        <w:spacing w:after="0" w:line="240" w:lineRule="auto"/>
        <w:jc w:val="both"/>
        <w:rPr>
          <w:rFonts w:ascii="Calibri" w:hAnsi="Calibri" w:cs="Calibri"/>
          <w:sz w:val="21"/>
          <w:szCs w:val="21"/>
        </w:rPr>
      </w:pPr>
    </w:p>
    <w:p w14:paraId="39884B68" w14:textId="09BC8DFB" w:rsidR="00A132B8" w:rsidRPr="00A20EA7" w:rsidRDefault="00073A7C" w:rsidP="005D4764">
      <w:pPr>
        <w:spacing w:after="0" w:line="240" w:lineRule="auto"/>
        <w:jc w:val="both"/>
        <w:rPr>
          <w:rFonts w:ascii="Calibri" w:hAnsi="Calibri" w:cs="Calibri"/>
          <w:i/>
          <w:iCs/>
          <w:sz w:val="21"/>
          <w:szCs w:val="21"/>
        </w:rPr>
      </w:pPr>
      <w:r>
        <w:rPr>
          <w:rFonts w:ascii="Calibri" w:hAnsi="Calibri" w:cs="Calibri"/>
          <w:i/>
          <w:iCs/>
          <w:sz w:val="21"/>
          <w:szCs w:val="21"/>
        </w:rPr>
        <w:t xml:space="preserve">B. </w:t>
      </w:r>
      <w:proofErr w:type="gramStart"/>
      <w:r w:rsidR="00A132B8" w:rsidRPr="00A20EA7">
        <w:rPr>
          <w:rFonts w:ascii="Calibri" w:hAnsi="Calibri" w:cs="Calibri"/>
          <w:i/>
          <w:iCs/>
          <w:sz w:val="21"/>
          <w:szCs w:val="21"/>
        </w:rPr>
        <w:t>Non-financial</w:t>
      </w:r>
      <w:proofErr w:type="gramEnd"/>
      <w:r w:rsidR="00A132B8" w:rsidRPr="00A20EA7">
        <w:rPr>
          <w:rFonts w:ascii="Calibri" w:hAnsi="Calibri" w:cs="Calibri"/>
          <w:i/>
          <w:iCs/>
          <w:sz w:val="21"/>
          <w:szCs w:val="21"/>
        </w:rPr>
        <w:t xml:space="preserve"> risks</w:t>
      </w:r>
      <w:r w:rsidR="006C0901" w:rsidRPr="00A20EA7">
        <w:rPr>
          <w:rFonts w:ascii="Calibri" w:hAnsi="Calibri" w:cs="Calibri"/>
          <w:i/>
          <w:iCs/>
          <w:sz w:val="21"/>
          <w:szCs w:val="21"/>
        </w:rPr>
        <w:t xml:space="preserve"> disclosures</w:t>
      </w:r>
    </w:p>
    <w:p w14:paraId="4F205719" w14:textId="022E3FA7" w:rsidR="00263EB8" w:rsidRPr="00D7737E" w:rsidRDefault="006C0901" w:rsidP="005D4764">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 xml:space="preserve">Identification and classification </w:t>
      </w:r>
      <w:r w:rsidR="00263EB8" w:rsidRPr="00D7737E">
        <w:rPr>
          <w:rFonts w:ascii="Calibri" w:hAnsi="Calibri" w:cs="Calibri"/>
          <w:sz w:val="21"/>
          <w:szCs w:val="21"/>
        </w:rPr>
        <w:t xml:space="preserve">of non-financial risks into internal and external </w:t>
      </w:r>
      <w:r w:rsidRPr="00D7737E">
        <w:rPr>
          <w:rFonts w:ascii="Calibri" w:hAnsi="Calibri" w:cs="Calibri"/>
          <w:sz w:val="21"/>
          <w:szCs w:val="21"/>
        </w:rPr>
        <w:t>source</w:t>
      </w:r>
      <w:r w:rsidR="00263EB8" w:rsidRPr="00D7737E">
        <w:rPr>
          <w:rFonts w:ascii="Calibri" w:hAnsi="Calibri" w:cs="Calibri"/>
          <w:sz w:val="21"/>
          <w:szCs w:val="21"/>
        </w:rPr>
        <w:t>s</w:t>
      </w:r>
      <w:r w:rsidR="00B54C6E" w:rsidRPr="00D7737E">
        <w:rPr>
          <w:rFonts w:ascii="Calibri" w:hAnsi="Calibri" w:cs="Calibri"/>
          <w:sz w:val="21"/>
          <w:szCs w:val="21"/>
        </w:rPr>
        <w:t>.</w:t>
      </w:r>
    </w:p>
    <w:p w14:paraId="53DEEE72" w14:textId="71DDF1BB" w:rsidR="00263EB8" w:rsidRPr="00D7737E" w:rsidRDefault="006C0901" w:rsidP="005D4764">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Disclosure of r</w:t>
      </w:r>
      <w:r w:rsidR="00263EB8" w:rsidRPr="00D7737E">
        <w:rPr>
          <w:rFonts w:ascii="Calibri" w:hAnsi="Calibri" w:cs="Calibri"/>
          <w:sz w:val="21"/>
          <w:szCs w:val="21"/>
        </w:rPr>
        <w:t xml:space="preserve">isk appetites and </w:t>
      </w:r>
      <w:r w:rsidRPr="00D7737E">
        <w:rPr>
          <w:rFonts w:ascii="Calibri" w:hAnsi="Calibri" w:cs="Calibri"/>
          <w:sz w:val="21"/>
          <w:szCs w:val="21"/>
        </w:rPr>
        <w:t xml:space="preserve">associated </w:t>
      </w:r>
      <w:r w:rsidR="00263EB8" w:rsidRPr="00D7737E">
        <w:rPr>
          <w:rFonts w:ascii="Calibri" w:hAnsi="Calibri" w:cs="Calibri"/>
          <w:sz w:val="21"/>
          <w:szCs w:val="21"/>
        </w:rPr>
        <w:t>metrics</w:t>
      </w:r>
      <w:r w:rsidR="00B54C6E" w:rsidRPr="00D7737E">
        <w:rPr>
          <w:rFonts w:ascii="Calibri" w:hAnsi="Calibri" w:cs="Calibri"/>
          <w:sz w:val="21"/>
          <w:szCs w:val="21"/>
        </w:rPr>
        <w:t>.</w:t>
      </w:r>
    </w:p>
    <w:p w14:paraId="2A6E5D63" w14:textId="6DFF7994" w:rsidR="00263EB8" w:rsidRPr="00D7737E" w:rsidRDefault="006C0901" w:rsidP="005D4764">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Use of s</w:t>
      </w:r>
      <w:r w:rsidR="00263EB8" w:rsidRPr="00D7737E">
        <w:rPr>
          <w:rFonts w:ascii="Calibri" w:hAnsi="Calibri" w:cs="Calibri"/>
          <w:sz w:val="21"/>
          <w:szCs w:val="21"/>
        </w:rPr>
        <w:t xml:space="preserve">tress tests to assess </w:t>
      </w:r>
      <w:proofErr w:type="gramStart"/>
      <w:r w:rsidR="00263EB8" w:rsidRPr="00D7737E">
        <w:rPr>
          <w:rFonts w:ascii="Calibri" w:hAnsi="Calibri" w:cs="Calibri"/>
          <w:sz w:val="21"/>
          <w:szCs w:val="21"/>
        </w:rPr>
        <w:t>the</w:t>
      </w:r>
      <w:r w:rsidRPr="00D7737E">
        <w:rPr>
          <w:rFonts w:ascii="Calibri" w:hAnsi="Calibri" w:cs="Calibri"/>
          <w:sz w:val="21"/>
          <w:szCs w:val="21"/>
        </w:rPr>
        <w:t xml:space="preserve"> financial</w:t>
      </w:r>
      <w:proofErr w:type="gramEnd"/>
      <w:r w:rsidR="00263EB8" w:rsidRPr="00D7737E">
        <w:rPr>
          <w:rFonts w:ascii="Calibri" w:hAnsi="Calibri" w:cs="Calibri"/>
          <w:sz w:val="21"/>
          <w:szCs w:val="21"/>
        </w:rPr>
        <w:t xml:space="preserve"> resilience and </w:t>
      </w:r>
      <w:proofErr w:type="gramStart"/>
      <w:r w:rsidR="00263EB8" w:rsidRPr="00D7737E">
        <w:rPr>
          <w:rFonts w:ascii="Calibri" w:hAnsi="Calibri" w:cs="Calibri"/>
          <w:sz w:val="21"/>
          <w:szCs w:val="21"/>
        </w:rPr>
        <w:t>the capital</w:t>
      </w:r>
      <w:proofErr w:type="gramEnd"/>
      <w:r w:rsidR="00263EB8" w:rsidRPr="00D7737E">
        <w:rPr>
          <w:rFonts w:ascii="Calibri" w:hAnsi="Calibri" w:cs="Calibri"/>
          <w:sz w:val="21"/>
          <w:szCs w:val="21"/>
        </w:rPr>
        <w:t xml:space="preserve"> adequacy.</w:t>
      </w:r>
    </w:p>
    <w:p w14:paraId="67016DDD" w14:textId="3AC45EDD" w:rsidR="00263EB8" w:rsidRPr="00D7737E" w:rsidRDefault="006C0901" w:rsidP="005D4764">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Highlight of t</w:t>
      </w:r>
      <w:r w:rsidR="00263EB8" w:rsidRPr="00D7737E">
        <w:rPr>
          <w:rFonts w:ascii="Calibri" w:hAnsi="Calibri" w:cs="Calibri"/>
          <w:sz w:val="21"/>
          <w:szCs w:val="21"/>
        </w:rPr>
        <w:t>op and emerging risks of the entity</w:t>
      </w:r>
      <w:r w:rsidR="00510EB8" w:rsidRPr="00D7737E">
        <w:rPr>
          <w:rFonts w:ascii="Calibri" w:hAnsi="Calibri" w:cs="Calibri"/>
          <w:sz w:val="21"/>
          <w:szCs w:val="21"/>
        </w:rPr>
        <w:t>,</w:t>
      </w:r>
      <w:r w:rsidR="00263EB8" w:rsidRPr="00D7737E">
        <w:rPr>
          <w:rFonts w:ascii="Calibri" w:hAnsi="Calibri" w:cs="Calibri"/>
          <w:sz w:val="21"/>
          <w:szCs w:val="21"/>
        </w:rPr>
        <w:t xml:space="preserve"> review</w:t>
      </w:r>
      <w:r w:rsidR="00510EB8" w:rsidRPr="00D7737E">
        <w:rPr>
          <w:rFonts w:ascii="Calibri" w:hAnsi="Calibri" w:cs="Calibri"/>
          <w:sz w:val="21"/>
          <w:szCs w:val="21"/>
        </w:rPr>
        <w:t>ed regularly</w:t>
      </w:r>
      <w:r w:rsidR="00263EB8" w:rsidRPr="00D7737E">
        <w:rPr>
          <w:rFonts w:ascii="Calibri" w:hAnsi="Calibri" w:cs="Calibri"/>
          <w:sz w:val="21"/>
          <w:szCs w:val="21"/>
        </w:rPr>
        <w:t xml:space="preserve"> by senior management/committee</w:t>
      </w:r>
      <w:r w:rsidR="00B54C6E" w:rsidRPr="00D7737E">
        <w:rPr>
          <w:rFonts w:ascii="Calibri" w:hAnsi="Calibri" w:cs="Calibri"/>
          <w:sz w:val="21"/>
          <w:szCs w:val="21"/>
        </w:rPr>
        <w:t>.</w:t>
      </w:r>
    </w:p>
    <w:p w14:paraId="3CE09B64" w14:textId="496CEC17" w:rsidR="00263EB8" w:rsidRPr="00D7737E" w:rsidRDefault="00D1177A" w:rsidP="005D4764">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T</w:t>
      </w:r>
      <w:r w:rsidR="00263EB8" w:rsidRPr="00D7737E">
        <w:rPr>
          <w:rFonts w:ascii="Calibri" w:hAnsi="Calibri" w:cs="Calibri"/>
          <w:sz w:val="21"/>
          <w:szCs w:val="21"/>
        </w:rPr>
        <w:t xml:space="preserve">rend </w:t>
      </w:r>
      <w:r w:rsidR="00510EB8" w:rsidRPr="00D7737E">
        <w:rPr>
          <w:rFonts w:ascii="Calibri" w:hAnsi="Calibri" w:cs="Calibri"/>
          <w:sz w:val="21"/>
          <w:szCs w:val="21"/>
        </w:rPr>
        <w:t>analysis</w:t>
      </w:r>
      <w:r w:rsidR="00263EB8" w:rsidRPr="00D7737E">
        <w:rPr>
          <w:rFonts w:ascii="Calibri" w:hAnsi="Calibri" w:cs="Calibri"/>
          <w:sz w:val="21"/>
          <w:szCs w:val="21"/>
        </w:rPr>
        <w:t xml:space="preserve"> of key risks </w:t>
      </w:r>
      <w:r w:rsidR="00510EB8" w:rsidRPr="00D7737E">
        <w:rPr>
          <w:rFonts w:ascii="Calibri" w:hAnsi="Calibri" w:cs="Calibri"/>
          <w:sz w:val="21"/>
          <w:szCs w:val="21"/>
        </w:rPr>
        <w:t>indicators over time</w:t>
      </w:r>
      <w:r w:rsidR="00263EB8" w:rsidRPr="00D7737E">
        <w:rPr>
          <w:rFonts w:ascii="Calibri" w:hAnsi="Calibri" w:cs="Calibri"/>
          <w:sz w:val="21"/>
          <w:szCs w:val="21"/>
        </w:rPr>
        <w:t>.</w:t>
      </w:r>
    </w:p>
    <w:p w14:paraId="0FB61895" w14:textId="7E4C9308" w:rsidR="00263EB8" w:rsidRPr="00D7737E" w:rsidRDefault="00510EB8" w:rsidP="005D4764">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Use of k</w:t>
      </w:r>
      <w:r w:rsidR="00263EB8" w:rsidRPr="00D7737E">
        <w:rPr>
          <w:rFonts w:ascii="Calibri" w:hAnsi="Calibri" w:cs="Calibri"/>
          <w:sz w:val="21"/>
          <w:szCs w:val="21"/>
        </w:rPr>
        <w:t xml:space="preserve">ey risk indicators </w:t>
      </w:r>
      <w:r w:rsidRPr="00D7737E">
        <w:rPr>
          <w:rFonts w:ascii="Calibri" w:hAnsi="Calibri" w:cs="Calibri"/>
          <w:sz w:val="21"/>
          <w:szCs w:val="21"/>
        </w:rPr>
        <w:t xml:space="preserve">to quantify exposure to major </w:t>
      </w:r>
      <w:r w:rsidR="00263EB8" w:rsidRPr="00D7737E">
        <w:rPr>
          <w:rFonts w:ascii="Calibri" w:hAnsi="Calibri" w:cs="Calibri"/>
          <w:sz w:val="21"/>
          <w:szCs w:val="21"/>
        </w:rPr>
        <w:t>negative events.</w:t>
      </w:r>
    </w:p>
    <w:p w14:paraId="57D9CA05" w14:textId="53BAC49E" w:rsidR="00263EB8" w:rsidRPr="00D7737E" w:rsidRDefault="00D1177A" w:rsidP="005D4764">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C</w:t>
      </w:r>
      <w:r w:rsidR="00263EB8" w:rsidRPr="00D7737E">
        <w:rPr>
          <w:rFonts w:ascii="Calibri" w:hAnsi="Calibri" w:cs="Calibri"/>
          <w:sz w:val="21"/>
          <w:szCs w:val="21"/>
        </w:rPr>
        <w:t>lassification of risks based on their probability and the potential</w:t>
      </w:r>
      <w:r w:rsidR="007543B0" w:rsidRPr="00D7737E">
        <w:rPr>
          <w:rFonts w:ascii="Calibri" w:hAnsi="Calibri" w:cs="Calibri"/>
          <w:sz w:val="21"/>
          <w:szCs w:val="21"/>
        </w:rPr>
        <w:t xml:space="preserve"> </w:t>
      </w:r>
      <w:r w:rsidR="00263EB8" w:rsidRPr="00D7737E">
        <w:rPr>
          <w:rFonts w:ascii="Calibri" w:hAnsi="Calibri" w:cs="Calibri"/>
          <w:sz w:val="21"/>
          <w:szCs w:val="21"/>
        </w:rPr>
        <w:t xml:space="preserve">impact. </w:t>
      </w:r>
    </w:p>
    <w:p w14:paraId="5927FD01" w14:textId="7D9EEDD3" w:rsidR="00263EB8" w:rsidRPr="00D7737E" w:rsidRDefault="007543B0" w:rsidP="005D4764">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 xml:space="preserve">Interaction of </w:t>
      </w:r>
      <w:r w:rsidR="00263EB8" w:rsidRPr="00D7737E">
        <w:rPr>
          <w:rFonts w:ascii="Calibri" w:hAnsi="Calibri" w:cs="Calibri"/>
          <w:sz w:val="21"/>
          <w:szCs w:val="21"/>
        </w:rPr>
        <w:t xml:space="preserve">risks </w:t>
      </w:r>
      <w:r w:rsidRPr="00D7737E">
        <w:rPr>
          <w:rFonts w:ascii="Calibri" w:hAnsi="Calibri" w:cs="Calibri"/>
          <w:sz w:val="21"/>
          <w:szCs w:val="21"/>
        </w:rPr>
        <w:t>disclosures with the entity’s</w:t>
      </w:r>
      <w:r w:rsidR="00263EB8" w:rsidRPr="00D7737E">
        <w:rPr>
          <w:rFonts w:ascii="Calibri" w:hAnsi="Calibri" w:cs="Calibri"/>
          <w:sz w:val="21"/>
          <w:szCs w:val="21"/>
        </w:rPr>
        <w:t xml:space="preserve"> strategy, business model and key performance indicators.</w:t>
      </w:r>
    </w:p>
    <w:p w14:paraId="6E21EB5F" w14:textId="19518F95" w:rsidR="00263EB8" w:rsidRPr="00D7737E" w:rsidRDefault="00263EB8" w:rsidP="005D4764">
      <w:pPr>
        <w:pStyle w:val="ListParagraph"/>
        <w:numPr>
          <w:ilvl w:val="0"/>
          <w:numId w:val="4"/>
        </w:numPr>
        <w:spacing w:after="0" w:line="240" w:lineRule="auto"/>
        <w:ind w:left="450" w:hanging="450"/>
        <w:jc w:val="both"/>
        <w:rPr>
          <w:rFonts w:ascii="Calibri" w:hAnsi="Calibri" w:cs="Calibri"/>
          <w:sz w:val="21"/>
          <w:szCs w:val="21"/>
        </w:rPr>
      </w:pPr>
      <w:proofErr w:type="gramStart"/>
      <w:r w:rsidRPr="00D7737E">
        <w:rPr>
          <w:rFonts w:ascii="Calibri" w:hAnsi="Calibri" w:cs="Calibri"/>
          <w:sz w:val="21"/>
          <w:szCs w:val="21"/>
        </w:rPr>
        <w:t>Future outlook</w:t>
      </w:r>
      <w:proofErr w:type="gramEnd"/>
      <w:r w:rsidRPr="00D7737E">
        <w:rPr>
          <w:rFonts w:ascii="Calibri" w:hAnsi="Calibri" w:cs="Calibri"/>
          <w:sz w:val="21"/>
          <w:szCs w:val="21"/>
        </w:rPr>
        <w:t xml:space="preserve"> and opportunities </w:t>
      </w:r>
      <w:r w:rsidR="007543B0" w:rsidRPr="00D7737E">
        <w:rPr>
          <w:rFonts w:ascii="Calibri" w:hAnsi="Calibri" w:cs="Calibri"/>
          <w:sz w:val="21"/>
          <w:szCs w:val="21"/>
        </w:rPr>
        <w:t>relating to identified</w:t>
      </w:r>
      <w:r w:rsidRPr="00D7737E">
        <w:rPr>
          <w:rFonts w:ascii="Calibri" w:hAnsi="Calibri" w:cs="Calibri"/>
          <w:sz w:val="21"/>
          <w:szCs w:val="21"/>
        </w:rPr>
        <w:t xml:space="preserve"> risks. </w:t>
      </w:r>
    </w:p>
    <w:p w14:paraId="264F9DD0" w14:textId="268CEDB5" w:rsidR="00263EB8" w:rsidRPr="00D7737E" w:rsidRDefault="007543B0" w:rsidP="005D4764">
      <w:pPr>
        <w:pStyle w:val="ListParagraph"/>
        <w:numPr>
          <w:ilvl w:val="0"/>
          <w:numId w:val="4"/>
        </w:numPr>
        <w:spacing w:after="0" w:line="240" w:lineRule="auto"/>
        <w:ind w:left="450" w:hanging="450"/>
        <w:jc w:val="both"/>
        <w:rPr>
          <w:rFonts w:ascii="Calibri" w:hAnsi="Calibri" w:cs="Calibri"/>
          <w:sz w:val="21"/>
          <w:szCs w:val="21"/>
        </w:rPr>
      </w:pPr>
      <w:r w:rsidRPr="00D7737E">
        <w:rPr>
          <w:rFonts w:ascii="Calibri" w:hAnsi="Calibri" w:cs="Calibri"/>
          <w:sz w:val="21"/>
          <w:szCs w:val="21"/>
        </w:rPr>
        <w:t xml:space="preserve">Consistent reporting of </w:t>
      </w:r>
      <w:r w:rsidR="00263EB8" w:rsidRPr="00D7737E">
        <w:rPr>
          <w:rFonts w:ascii="Calibri" w:hAnsi="Calibri" w:cs="Calibri"/>
          <w:sz w:val="21"/>
          <w:szCs w:val="21"/>
        </w:rPr>
        <w:t xml:space="preserve">the principal risks and uncertainties </w:t>
      </w:r>
      <w:r w:rsidRPr="00D7737E">
        <w:rPr>
          <w:rFonts w:ascii="Calibri" w:hAnsi="Calibri" w:cs="Calibri"/>
          <w:sz w:val="21"/>
          <w:szCs w:val="21"/>
        </w:rPr>
        <w:t>across all sections of the annual report</w:t>
      </w:r>
      <w:r w:rsidR="00263EB8" w:rsidRPr="00D7737E">
        <w:rPr>
          <w:rFonts w:ascii="Calibri" w:hAnsi="Calibri" w:cs="Calibri"/>
          <w:sz w:val="21"/>
          <w:szCs w:val="21"/>
        </w:rPr>
        <w:t>.</w:t>
      </w:r>
    </w:p>
    <w:p w14:paraId="1BD89287" w14:textId="77777777" w:rsidR="00CD0A49" w:rsidRPr="00D7737E" w:rsidRDefault="00CD0A49" w:rsidP="00074AE6">
      <w:pPr>
        <w:spacing w:after="0" w:line="240" w:lineRule="auto"/>
        <w:jc w:val="both"/>
        <w:rPr>
          <w:rFonts w:ascii="Calibri" w:hAnsi="Calibri" w:cs="Calibri"/>
          <w:sz w:val="21"/>
          <w:szCs w:val="21"/>
        </w:rPr>
      </w:pPr>
    </w:p>
    <w:p w14:paraId="6733F3DE" w14:textId="77777777" w:rsidR="007543B0" w:rsidRPr="00D7737E" w:rsidRDefault="007543B0" w:rsidP="00BD28FF">
      <w:pPr>
        <w:spacing w:after="0" w:line="240" w:lineRule="auto"/>
        <w:jc w:val="both"/>
        <w:rPr>
          <w:rFonts w:ascii="Calibri" w:hAnsi="Calibri" w:cs="Calibri"/>
          <w:sz w:val="21"/>
          <w:szCs w:val="21"/>
          <w:u w:val="single"/>
        </w:rPr>
      </w:pPr>
      <w:r w:rsidRPr="00D7737E">
        <w:rPr>
          <w:rFonts w:ascii="Calibri" w:hAnsi="Calibri" w:cs="Calibri"/>
          <w:sz w:val="21"/>
          <w:szCs w:val="21"/>
          <w:u w:val="single"/>
        </w:rPr>
        <w:t>Conclusion</w:t>
      </w:r>
    </w:p>
    <w:p w14:paraId="037F52D6" w14:textId="77777777" w:rsidR="007543B0" w:rsidRPr="00D7737E" w:rsidRDefault="007543B0" w:rsidP="00BD28FF">
      <w:pPr>
        <w:spacing w:after="0" w:line="240" w:lineRule="auto"/>
        <w:jc w:val="both"/>
        <w:rPr>
          <w:rFonts w:ascii="Calibri" w:hAnsi="Calibri" w:cs="Calibri"/>
          <w:sz w:val="21"/>
          <w:szCs w:val="21"/>
        </w:rPr>
      </w:pPr>
    </w:p>
    <w:p w14:paraId="47ADB804" w14:textId="7E4BABE1" w:rsidR="00BD28FF" w:rsidRPr="00D7737E" w:rsidRDefault="00CA507E" w:rsidP="00BD28FF">
      <w:pPr>
        <w:spacing w:after="0" w:line="240" w:lineRule="auto"/>
        <w:jc w:val="both"/>
        <w:rPr>
          <w:rFonts w:ascii="Calibri" w:hAnsi="Calibri" w:cs="Calibri"/>
          <w:sz w:val="21"/>
          <w:szCs w:val="21"/>
        </w:rPr>
      </w:pPr>
      <w:r w:rsidRPr="00D7737E">
        <w:rPr>
          <w:rFonts w:ascii="Calibri" w:hAnsi="Calibri" w:cs="Calibri"/>
          <w:sz w:val="21"/>
          <w:szCs w:val="21"/>
        </w:rPr>
        <w:t>The</w:t>
      </w:r>
      <w:r w:rsidR="007543B0" w:rsidRPr="00D7737E">
        <w:rPr>
          <w:rFonts w:ascii="Calibri" w:hAnsi="Calibri" w:cs="Calibri"/>
          <w:sz w:val="21"/>
          <w:szCs w:val="21"/>
        </w:rPr>
        <w:t xml:space="preserve"> FRC urges </w:t>
      </w:r>
      <w:r w:rsidRPr="00D7737E">
        <w:rPr>
          <w:rFonts w:ascii="Calibri" w:hAnsi="Calibri" w:cs="Calibri"/>
          <w:sz w:val="21"/>
          <w:szCs w:val="21"/>
        </w:rPr>
        <w:t xml:space="preserve">PIEs </w:t>
      </w:r>
      <w:r w:rsidR="007543B0" w:rsidRPr="00D7737E">
        <w:rPr>
          <w:rFonts w:ascii="Calibri" w:hAnsi="Calibri" w:cs="Calibri"/>
          <w:sz w:val="21"/>
          <w:szCs w:val="21"/>
        </w:rPr>
        <w:t>t</w:t>
      </w:r>
      <w:r w:rsidRPr="00D7737E">
        <w:rPr>
          <w:rFonts w:ascii="Calibri" w:hAnsi="Calibri" w:cs="Calibri"/>
          <w:sz w:val="21"/>
          <w:szCs w:val="21"/>
        </w:rPr>
        <w:t xml:space="preserve">o consider the findings </w:t>
      </w:r>
      <w:r w:rsidR="00E15E2D" w:rsidRPr="00D7737E">
        <w:rPr>
          <w:rFonts w:ascii="Calibri" w:hAnsi="Calibri" w:cs="Calibri"/>
          <w:sz w:val="21"/>
          <w:szCs w:val="21"/>
        </w:rPr>
        <w:t xml:space="preserve">of this </w:t>
      </w:r>
      <w:r w:rsidR="007543B0" w:rsidRPr="00D7737E">
        <w:rPr>
          <w:rFonts w:ascii="Calibri" w:hAnsi="Calibri" w:cs="Calibri"/>
          <w:sz w:val="21"/>
          <w:szCs w:val="21"/>
        </w:rPr>
        <w:t xml:space="preserve">thematic review as they prepare </w:t>
      </w:r>
      <w:r w:rsidR="00BD28FF" w:rsidRPr="00D7737E">
        <w:rPr>
          <w:rFonts w:ascii="Calibri" w:hAnsi="Calibri" w:cs="Calibri"/>
          <w:sz w:val="21"/>
          <w:szCs w:val="21"/>
        </w:rPr>
        <w:t>their</w:t>
      </w:r>
      <w:r w:rsidRPr="00D7737E">
        <w:rPr>
          <w:rFonts w:ascii="Calibri" w:hAnsi="Calibri" w:cs="Calibri"/>
          <w:sz w:val="21"/>
          <w:szCs w:val="21"/>
        </w:rPr>
        <w:t xml:space="preserve"> </w:t>
      </w:r>
      <w:r w:rsidR="007543B0" w:rsidRPr="00D7737E">
        <w:rPr>
          <w:rFonts w:ascii="Calibri" w:hAnsi="Calibri" w:cs="Calibri"/>
          <w:sz w:val="21"/>
          <w:szCs w:val="21"/>
        </w:rPr>
        <w:t>future</w:t>
      </w:r>
      <w:r w:rsidRPr="00D7737E">
        <w:rPr>
          <w:rFonts w:ascii="Calibri" w:hAnsi="Calibri" w:cs="Calibri"/>
          <w:sz w:val="21"/>
          <w:szCs w:val="21"/>
        </w:rPr>
        <w:t xml:space="preserve"> annual reports.</w:t>
      </w:r>
      <w:r w:rsidR="007543B0" w:rsidRPr="00D7737E">
        <w:rPr>
          <w:rFonts w:ascii="Calibri" w:hAnsi="Calibri" w:cs="Calibri"/>
          <w:sz w:val="21"/>
          <w:szCs w:val="21"/>
        </w:rPr>
        <w:t xml:space="preserve"> Enhanced risk disclosures not only provide transparency but also </w:t>
      </w:r>
      <w:r w:rsidR="00CB49A1" w:rsidRPr="00D7737E">
        <w:rPr>
          <w:rFonts w:ascii="Calibri" w:hAnsi="Calibri" w:cs="Calibri"/>
          <w:sz w:val="21"/>
          <w:szCs w:val="21"/>
        </w:rPr>
        <w:t>help</w:t>
      </w:r>
      <w:r w:rsidR="007543B0" w:rsidRPr="00D7737E">
        <w:rPr>
          <w:rFonts w:ascii="Calibri" w:hAnsi="Calibri" w:cs="Calibri"/>
          <w:sz w:val="21"/>
          <w:szCs w:val="21"/>
        </w:rPr>
        <w:t xml:space="preserve"> stakeholders make better informed decisions.</w:t>
      </w:r>
    </w:p>
    <w:p w14:paraId="403E776A" w14:textId="77777777" w:rsidR="00BD28FF" w:rsidRPr="00D7737E" w:rsidRDefault="00BD28FF" w:rsidP="00BD28FF">
      <w:pPr>
        <w:spacing w:after="0" w:line="240" w:lineRule="auto"/>
        <w:jc w:val="both"/>
        <w:rPr>
          <w:rFonts w:ascii="Calibri" w:hAnsi="Calibri" w:cs="Calibri"/>
          <w:sz w:val="21"/>
          <w:szCs w:val="21"/>
        </w:rPr>
      </w:pPr>
    </w:p>
    <w:p w14:paraId="11B799CF" w14:textId="095671D9" w:rsidR="00BD28FF" w:rsidRPr="00D7737E" w:rsidRDefault="00BD28FF" w:rsidP="00BD28FF">
      <w:pPr>
        <w:spacing w:after="0" w:line="240" w:lineRule="auto"/>
        <w:jc w:val="both"/>
        <w:rPr>
          <w:rFonts w:ascii="Calibri" w:hAnsi="Calibri" w:cs="Calibri"/>
          <w:sz w:val="21"/>
          <w:szCs w:val="21"/>
        </w:rPr>
      </w:pPr>
      <w:r w:rsidRPr="00D7737E">
        <w:rPr>
          <w:rFonts w:ascii="Calibri" w:hAnsi="Calibri" w:cs="Calibri"/>
          <w:sz w:val="21"/>
          <w:szCs w:val="21"/>
        </w:rPr>
        <w:t>The full report on the Thematic Review is available on the website of FRC (</w:t>
      </w:r>
      <w:hyperlink r:id="rId8" w:history="1">
        <w:r w:rsidR="00C57E89" w:rsidRPr="00D7737E">
          <w:rPr>
            <w:rStyle w:val="Hyperlink"/>
            <w:rFonts w:ascii="Calibri" w:hAnsi="Calibri" w:cs="Calibri"/>
            <w:sz w:val="21"/>
            <w:szCs w:val="21"/>
          </w:rPr>
          <w:t>http://frc.govmu.org</w:t>
        </w:r>
      </w:hyperlink>
      <w:r w:rsidRPr="00D7737E">
        <w:rPr>
          <w:rFonts w:ascii="Calibri" w:hAnsi="Calibri" w:cs="Calibri"/>
          <w:sz w:val="21"/>
          <w:szCs w:val="21"/>
        </w:rPr>
        <w:t>)</w:t>
      </w:r>
      <w:r w:rsidR="00B54C6E" w:rsidRPr="00D7737E">
        <w:rPr>
          <w:rFonts w:ascii="Calibri" w:hAnsi="Calibri" w:cs="Calibri"/>
          <w:sz w:val="21"/>
          <w:szCs w:val="21"/>
        </w:rPr>
        <w:t>.</w:t>
      </w:r>
    </w:p>
    <w:p w14:paraId="1138D57A" w14:textId="77777777" w:rsidR="00C57E89" w:rsidRPr="00D7737E" w:rsidRDefault="00C57E89" w:rsidP="00BD28FF">
      <w:pPr>
        <w:spacing w:after="0" w:line="240" w:lineRule="auto"/>
        <w:jc w:val="both"/>
        <w:rPr>
          <w:rFonts w:ascii="Calibri" w:hAnsi="Calibri" w:cs="Calibri"/>
          <w:sz w:val="21"/>
          <w:szCs w:val="21"/>
        </w:rPr>
      </w:pPr>
    </w:p>
    <w:p w14:paraId="429BFCE6" w14:textId="77777777" w:rsidR="00BE0B76" w:rsidRPr="00D7737E" w:rsidRDefault="00BE0B76" w:rsidP="00BE0B76">
      <w:pPr>
        <w:jc w:val="both"/>
        <w:rPr>
          <w:rFonts w:ascii="Calibri" w:hAnsi="Calibri" w:cs="Calibri"/>
          <w:b/>
          <w:i/>
          <w:iCs/>
          <w:sz w:val="21"/>
          <w:szCs w:val="21"/>
        </w:rPr>
      </w:pPr>
      <w:r w:rsidRPr="00D7737E">
        <w:rPr>
          <w:rFonts w:ascii="Calibri" w:hAnsi="Calibri" w:cs="Calibri"/>
          <w:b/>
          <w:i/>
          <w:iCs/>
          <w:sz w:val="21"/>
          <w:szCs w:val="21"/>
        </w:rPr>
        <w:t xml:space="preserve">Disclaimer </w:t>
      </w:r>
    </w:p>
    <w:p w14:paraId="5EE7AAA3" w14:textId="0B52BF93" w:rsidR="00E334A7" w:rsidRPr="00D7737E" w:rsidRDefault="00E334A7" w:rsidP="00E334A7">
      <w:pPr>
        <w:spacing w:after="0" w:line="240" w:lineRule="auto"/>
        <w:jc w:val="both"/>
        <w:rPr>
          <w:rFonts w:ascii="Calibri" w:hAnsi="Calibri" w:cs="Calibri"/>
          <w:sz w:val="21"/>
          <w:szCs w:val="21"/>
        </w:rPr>
      </w:pPr>
      <w:r w:rsidRPr="00D7737E">
        <w:rPr>
          <w:rFonts w:ascii="Calibri" w:hAnsi="Calibri" w:cs="Calibri"/>
          <w:i/>
          <w:sz w:val="21"/>
          <w:szCs w:val="21"/>
        </w:rPr>
        <w:t>It must be noted that the FRC’s findings and recommendations are not exhaustive</w:t>
      </w:r>
      <w:r>
        <w:rPr>
          <w:rFonts w:ascii="Calibri" w:hAnsi="Calibri" w:cs="Calibri"/>
          <w:i/>
          <w:sz w:val="21"/>
          <w:szCs w:val="21"/>
        </w:rPr>
        <w:t xml:space="preserve"> and were based only on the thematic review undertaken</w:t>
      </w:r>
      <w:r w:rsidRPr="00D7737E">
        <w:rPr>
          <w:rFonts w:ascii="Calibri" w:hAnsi="Calibri" w:cs="Calibri"/>
          <w:i/>
          <w:sz w:val="21"/>
          <w:szCs w:val="21"/>
        </w:rPr>
        <w:t>.</w:t>
      </w:r>
    </w:p>
    <w:p w14:paraId="5B49E7ED" w14:textId="2B190C22" w:rsidR="00C63954" w:rsidRDefault="00C63954">
      <w:pPr>
        <w:rPr>
          <w:rFonts w:ascii="Calibri" w:hAnsi="Calibri" w:cs="Calibri"/>
          <w:sz w:val="22"/>
          <w:szCs w:val="22"/>
        </w:rPr>
      </w:pPr>
      <w:r>
        <w:rPr>
          <w:rFonts w:ascii="Calibri" w:hAnsi="Calibri" w:cs="Calibri"/>
          <w:sz w:val="22"/>
          <w:szCs w:val="22"/>
        </w:rPr>
        <w:br w:type="page"/>
      </w:r>
    </w:p>
    <w:p w14:paraId="607C1CF5" w14:textId="77777777" w:rsidR="00C63954" w:rsidRPr="00FB200C" w:rsidRDefault="00C63954" w:rsidP="00C63954">
      <w:pPr>
        <w:spacing w:after="0" w:line="240" w:lineRule="auto"/>
        <w:jc w:val="both"/>
        <w:rPr>
          <w:rFonts w:ascii="Calibri" w:hAnsi="Calibri" w:cs="Calibri"/>
          <w:b/>
          <w:bCs/>
        </w:rPr>
      </w:pPr>
      <w:r w:rsidRPr="00FB200C">
        <w:rPr>
          <w:rFonts w:ascii="Calibri" w:hAnsi="Calibri" w:cs="Calibri"/>
          <w:b/>
          <w:bCs/>
        </w:rPr>
        <w:lastRenderedPageBreak/>
        <w:t>Financial Reporting Council</w:t>
      </w:r>
    </w:p>
    <w:p w14:paraId="146FCF6E" w14:textId="77777777" w:rsidR="00C63954" w:rsidRDefault="00C63954" w:rsidP="00C63954">
      <w:pPr>
        <w:spacing w:after="0" w:line="240" w:lineRule="auto"/>
        <w:ind w:left="720" w:hanging="720"/>
        <w:jc w:val="both"/>
        <w:rPr>
          <w:rFonts w:ascii="Calibri" w:hAnsi="Calibri" w:cs="Calibri"/>
          <w:b/>
          <w:bCs/>
          <w:sz w:val="22"/>
        </w:rPr>
      </w:pPr>
    </w:p>
    <w:p w14:paraId="20755C12" w14:textId="77777777" w:rsidR="00C63954" w:rsidRPr="00FB200C" w:rsidRDefault="00C63954" w:rsidP="00C63954">
      <w:pPr>
        <w:spacing w:after="0" w:line="240" w:lineRule="auto"/>
        <w:ind w:left="720" w:hanging="720"/>
        <w:jc w:val="both"/>
        <w:rPr>
          <w:rFonts w:ascii="Calibri" w:hAnsi="Calibri" w:cs="Calibri"/>
          <w:b/>
          <w:bCs/>
          <w:sz w:val="22"/>
        </w:rPr>
      </w:pPr>
      <w:r>
        <w:rPr>
          <w:rFonts w:ascii="Calibri" w:hAnsi="Calibri" w:cs="Calibri"/>
          <w:b/>
          <w:bCs/>
          <w:sz w:val="22"/>
        </w:rPr>
        <w:t>Thematic</w:t>
      </w:r>
      <w:r w:rsidRPr="00FB200C">
        <w:rPr>
          <w:rFonts w:ascii="Calibri" w:hAnsi="Calibri" w:cs="Calibri"/>
          <w:b/>
          <w:bCs/>
          <w:sz w:val="22"/>
        </w:rPr>
        <w:t xml:space="preserve"> review on financial and non-financial risks disclosures</w:t>
      </w:r>
    </w:p>
    <w:p w14:paraId="5159DF5A" w14:textId="77777777" w:rsidR="00C63954" w:rsidRDefault="00C63954" w:rsidP="00C63954">
      <w:pPr>
        <w:tabs>
          <w:tab w:val="left" w:pos="709"/>
        </w:tabs>
        <w:spacing w:after="0" w:line="240" w:lineRule="auto"/>
        <w:contextualSpacing/>
        <w:jc w:val="both"/>
        <w:rPr>
          <w:rFonts w:ascii="Calibri" w:hAnsi="Calibri" w:cs="Calibri"/>
          <w:b/>
          <w:bCs/>
          <w:sz w:val="22"/>
          <w:szCs w:val="22"/>
        </w:rPr>
      </w:pPr>
    </w:p>
    <w:p w14:paraId="7FDA5E1A" w14:textId="77777777" w:rsidR="00C63954" w:rsidRPr="00A35C18" w:rsidRDefault="00C63954" w:rsidP="00C63954">
      <w:pPr>
        <w:tabs>
          <w:tab w:val="left" w:pos="709"/>
        </w:tabs>
        <w:spacing w:after="0" w:line="240" w:lineRule="auto"/>
        <w:contextualSpacing/>
        <w:jc w:val="both"/>
        <w:rPr>
          <w:rFonts w:ascii="Calibri" w:hAnsi="Calibri" w:cs="Calibri"/>
          <w:b/>
          <w:bCs/>
          <w:sz w:val="22"/>
          <w:szCs w:val="22"/>
        </w:rPr>
      </w:pPr>
      <w:r w:rsidRPr="00A35C18">
        <w:rPr>
          <w:rFonts w:ascii="Calibri" w:hAnsi="Calibri" w:cs="Calibri"/>
          <w:b/>
          <w:bCs/>
          <w:sz w:val="22"/>
          <w:szCs w:val="22"/>
        </w:rPr>
        <w:t>Key findings with regard</w:t>
      </w:r>
      <w:r>
        <w:rPr>
          <w:rFonts w:ascii="Calibri" w:hAnsi="Calibri" w:cs="Calibri"/>
          <w:b/>
          <w:bCs/>
          <w:sz w:val="22"/>
          <w:szCs w:val="22"/>
        </w:rPr>
        <w:t>s to</w:t>
      </w:r>
      <w:r w:rsidRPr="00A35C18">
        <w:rPr>
          <w:rFonts w:ascii="Calibri" w:hAnsi="Calibri" w:cs="Calibri"/>
          <w:b/>
          <w:bCs/>
          <w:sz w:val="22"/>
          <w:szCs w:val="22"/>
        </w:rPr>
        <w:t xml:space="preserve"> financial and non-financial risks disclosures</w:t>
      </w:r>
    </w:p>
    <w:p w14:paraId="7759068D" w14:textId="77777777" w:rsidR="00C63954" w:rsidRPr="00A35C18" w:rsidRDefault="00C63954" w:rsidP="00C63954">
      <w:pPr>
        <w:spacing w:after="0" w:line="240" w:lineRule="auto"/>
        <w:contextualSpacing/>
        <w:jc w:val="both"/>
        <w:rPr>
          <w:rFonts w:ascii="Calibri" w:hAnsi="Calibri" w:cs="Calibri"/>
          <w:sz w:val="22"/>
          <w:szCs w:val="22"/>
        </w:rPr>
      </w:pPr>
    </w:p>
    <w:p w14:paraId="2D5D39D9" w14:textId="77777777" w:rsidR="00C63954" w:rsidRPr="00A35C18" w:rsidRDefault="00C63954" w:rsidP="00C63954">
      <w:pPr>
        <w:spacing w:after="0" w:line="240" w:lineRule="auto"/>
        <w:contextualSpacing/>
        <w:jc w:val="both"/>
        <w:rPr>
          <w:rFonts w:ascii="Calibri" w:hAnsi="Calibri" w:cs="Calibri"/>
          <w:sz w:val="22"/>
          <w:szCs w:val="22"/>
        </w:rPr>
      </w:pPr>
      <w:r w:rsidRPr="00A35C18">
        <w:rPr>
          <w:rFonts w:ascii="Calibri" w:hAnsi="Calibri" w:cs="Calibri"/>
          <w:sz w:val="22"/>
          <w:szCs w:val="22"/>
        </w:rPr>
        <w:t xml:space="preserve">FRC carried out the </w:t>
      </w:r>
      <w:r>
        <w:rPr>
          <w:rFonts w:ascii="Calibri" w:hAnsi="Calibri" w:cs="Calibri"/>
          <w:sz w:val="22"/>
          <w:szCs w:val="22"/>
        </w:rPr>
        <w:t>thematic</w:t>
      </w:r>
      <w:r w:rsidRPr="00A35C18">
        <w:rPr>
          <w:rFonts w:ascii="Calibri" w:hAnsi="Calibri" w:cs="Calibri"/>
          <w:sz w:val="22"/>
          <w:szCs w:val="22"/>
        </w:rPr>
        <w:t xml:space="preserve"> review of 40 PIEs under the topic ‘financial and non-financial risks </w:t>
      </w:r>
      <w:proofErr w:type="gramStart"/>
      <w:r w:rsidRPr="00A35C18">
        <w:rPr>
          <w:rFonts w:ascii="Calibri" w:hAnsi="Calibri" w:cs="Calibri"/>
          <w:sz w:val="22"/>
          <w:szCs w:val="22"/>
        </w:rPr>
        <w:t>disclosures’</w:t>
      </w:r>
      <w:proofErr w:type="gramEnd"/>
      <w:r w:rsidRPr="00A35C18">
        <w:rPr>
          <w:rFonts w:ascii="Calibri" w:hAnsi="Calibri" w:cs="Calibri"/>
          <w:sz w:val="22"/>
          <w:szCs w:val="22"/>
        </w:rPr>
        <w:t>.  From the annual reports of the 40 PIEs, the main observations with respect to financial and non-financial disclosures are set out below:</w:t>
      </w:r>
    </w:p>
    <w:p w14:paraId="6C80FF96" w14:textId="77777777" w:rsidR="00C63954" w:rsidRPr="00A35C18" w:rsidRDefault="00C63954" w:rsidP="00C63954">
      <w:pPr>
        <w:tabs>
          <w:tab w:val="left" w:pos="567"/>
        </w:tabs>
        <w:spacing w:after="0" w:line="240" w:lineRule="auto"/>
        <w:contextualSpacing/>
        <w:jc w:val="both"/>
        <w:rPr>
          <w:rFonts w:ascii="Calibri" w:hAnsi="Calibri" w:cs="Calibri"/>
          <w:b/>
          <w:bCs/>
          <w:sz w:val="22"/>
          <w:szCs w:val="22"/>
        </w:rPr>
      </w:pPr>
    </w:p>
    <w:tbl>
      <w:tblPr>
        <w:tblStyle w:val="TableGrid"/>
        <w:tblW w:w="9562" w:type="dxa"/>
        <w:tblInd w:w="-5" w:type="dxa"/>
        <w:tblLook w:val="04A0" w:firstRow="1" w:lastRow="0" w:firstColumn="1" w:lastColumn="0" w:noHBand="0" w:noVBand="1"/>
      </w:tblPr>
      <w:tblGrid>
        <w:gridCol w:w="2290"/>
        <w:gridCol w:w="5180"/>
        <w:gridCol w:w="2092"/>
      </w:tblGrid>
      <w:tr w:rsidR="00C63954" w:rsidRPr="00A35C18" w14:paraId="7C4AEF02" w14:textId="77777777" w:rsidTr="00AF376B">
        <w:tc>
          <w:tcPr>
            <w:tcW w:w="2290" w:type="dxa"/>
            <w:shd w:val="clear" w:color="auto" w:fill="E8E8E8" w:themeFill="background2"/>
          </w:tcPr>
          <w:p w14:paraId="2BDA21D1" w14:textId="77777777" w:rsidR="00C63954" w:rsidRPr="00A35C18" w:rsidRDefault="00C63954" w:rsidP="00AF376B">
            <w:pPr>
              <w:tabs>
                <w:tab w:val="left" w:pos="567"/>
                <w:tab w:val="left" w:pos="1350"/>
                <w:tab w:val="left" w:pos="1440"/>
              </w:tabs>
              <w:ind w:right="115"/>
              <w:contextualSpacing/>
              <w:jc w:val="both"/>
              <w:rPr>
                <w:rFonts w:ascii="Calibri" w:hAnsi="Calibri" w:cs="Calibri"/>
                <w:b/>
                <w:bCs/>
                <w:sz w:val="22"/>
                <w:szCs w:val="22"/>
              </w:rPr>
            </w:pPr>
            <w:r w:rsidRPr="00A35C18">
              <w:rPr>
                <w:rFonts w:ascii="Calibri" w:hAnsi="Calibri" w:cs="Calibri"/>
                <w:b/>
                <w:bCs/>
                <w:sz w:val="22"/>
                <w:szCs w:val="22"/>
              </w:rPr>
              <w:t>Area</w:t>
            </w:r>
            <w:r>
              <w:rPr>
                <w:rFonts w:ascii="Calibri" w:hAnsi="Calibri" w:cs="Calibri"/>
                <w:b/>
                <w:bCs/>
                <w:sz w:val="22"/>
                <w:szCs w:val="22"/>
              </w:rPr>
              <w:t>s</w:t>
            </w:r>
            <w:r w:rsidRPr="00A35C18">
              <w:rPr>
                <w:rFonts w:ascii="Calibri" w:hAnsi="Calibri" w:cs="Calibri"/>
                <w:b/>
                <w:bCs/>
                <w:sz w:val="22"/>
                <w:szCs w:val="22"/>
              </w:rPr>
              <w:t xml:space="preserve"> of observation</w:t>
            </w:r>
            <w:r>
              <w:rPr>
                <w:rFonts w:ascii="Calibri" w:hAnsi="Calibri" w:cs="Calibri"/>
                <w:b/>
                <w:bCs/>
                <w:sz w:val="22"/>
                <w:szCs w:val="22"/>
              </w:rPr>
              <w:t>s</w:t>
            </w:r>
          </w:p>
        </w:tc>
        <w:tc>
          <w:tcPr>
            <w:tcW w:w="5180" w:type="dxa"/>
            <w:shd w:val="clear" w:color="auto" w:fill="E8E8E8" w:themeFill="background2"/>
          </w:tcPr>
          <w:p w14:paraId="6A50205F" w14:textId="77777777" w:rsidR="00C63954" w:rsidRPr="00A35C18" w:rsidRDefault="00C63954" w:rsidP="00AF376B">
            <w:pPr>
              <w:tabs>
                <w:tab w:val="left" w:pos="567"/>
                <w:tab w:val="left" w:pos="1350"/>
                <w:tab w:val="left" w:pos="1440"/>
              </w:tabs>
              <w:ind w:right="-291"/>
              <w:contextualSpacing/>
              <w:jc w:val="both"/>
              <w:rPr>
                <w:rFonts w:ascii="Calibri" w:hAnsi="Calibri" w:cs="Calibri"/>
                <w:b/>
                <w:bCs/>
                <w:sz w:val="22"/>
                <w:szCs w:val="22"/>
              </w:rPr>
            </w:pPr>
            <w:r w:rsidRPr="00A35C18">
              <w:rPr>
                <w:rFonts w:ascii="Calibri" w:hAnsi="Calibri" w:cs="Calibri"/>
                <w:b/>
                <w:bCs/>
                <w:sz w:val="22"/>
                <w:szCs w:val="22"/>
              </w:rPr>
              <w:t>Details of observations</w:t>
            </w:r>
          </w:p>
        </w:tc>
        <w:tc>
          <w:tcPr>
            <w:tcW w:w="2092" w:type="dxa"/>
            <w:shd w:val="clear" w:color="auto" w:fill="E8E8E8" w:themeFill="background2"/>
          </w:tcPr>
          <w:p w14:paraId="1EF6C75D" w14:textId="77777777" w:rsidR="00C63954" w:rsidRPr="00A35C18" w:rsidRDefault="00C63954" w:rsidP="00AF376B">
            <w:pPr>
              <w:tabs>
                <w:tab w:val="left" w:pos="567"/>
                <w:tab w:val="left" w:pos="1350"/>
                <w:tab w:val="left" w:pos="1440"/>
              </w:tabs>
              <w:ind w:right="-54"/>
              <w:contextualSpacing/>
              <w:jc w:val="both"/>
              <w:rPr>
                <w:rFonts w:ascii="Calibri" w:hAnsi="Calibri" w:cs="Calibri"/>
                <w:b/>
                <w:bCs/>
                <w:sz w:val="22"/>
                <w:szCs w:val="22"/>
              </w:rPr>
            </w:pPr>
            <w:r w:rsidRPr="00A35C18">
              <w:rPr>
                <w:rFonts w:ascii="Calibri" w:hAnsi="Calibri" w:cs="Calibri"/>
                <w:b/>
                <w:bCs/>
                <w:sz w:val="22"/>
                <w:szCs w:val="22"/>
              </w:rPr>
              <w:t>Conclusion</w:t>
            </w:r>
          </w:p>
        </w:tc>
      </w:tr>
      <w:tr w:rsidR="00C63954" w:rsidRPr="00A35C18" w14:paraId="204E3963" w14:textId="77777777" w:rsidTr="00AF376B">
        <w:trPr>
          <w:trHeight w:val="455"/>
        </w:trPr>
        <w:tc>
          <w:tcPr>
            <w:tcW w:w="9562" w:type="dxa"/>
            <w:gridSpan w:val="3"/>
          </w:tcPr>
          <w:p w14:paraId="61C010B7" w14:textId="77777777" w:rsidR="00C63954" w:rsidRPr="00A35C18" w:rsidRDefault="00C63954" w:rsidP="00AF376B">
            <w:pPr>
              <w:contextualSpacing/>
              <w:jc w:val="both"/>
              <w:rPr>
                <w:rFonts w:ascii="Calibri" w:hAnsi="Calibri" w:cs="Calibri"/>
                <w:b/>
                <w:bCs/>
                <w:sz w:val="22"/>
                <w:szCs w:val="22"/>
              </w:rPr>
            </w:pPr>
            <w:r w:rsidRPr="00A35C18">
              <w:rPr>
                <w:rFonts w:ascii="Calibri" w:hAnsi="Calibri" w:cs="Calibri"/>
                <w:b/>
                <w:bCs/>
                <w:sz w:val="22"/>
                <w:szCs w:val="22"/>
              </w:rPr>
              <w:t>Financial risks</w:t>
            </w:r>
          </w:p>
        </w:tc>
      </w:tr>
      <w:tr w:rsidR="00C63954" w:rsidRPr="00A35C18" w14:paraId="24B85A49" w14:textId="77777777" w:rsidTr="00AF376B">
        <w:tc>
          <w:tcPr>
            <w:tcW w:w="2290" w:type="dxa"/>
          </w:tcPr>
          <w:p w14:paraId="73FC5CEF"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Liquidity risk</w:t>
            </w:r>
            <w:r>
              <w:rPr>
                <w:rFonts w:ascii="Calibri" w:hAnsi="Calibri" w:cs="Calibri"/>
                <w:sz w:val="22"/>
                <w:szCs w:val="22"/>
              </w:rPr>
              <w:t xml:space="preserve"> </w:t>
            </w:r>
            <w:r w:rsidRPr="00140C71">
              <w:rPr>
                <w:rFonts w:ascii="Calibri" w:hAnsi="Calibri" w:cs="Calibri"/>
                <w:sz w:val="22"/>
                <w:szCs w:val="22"/>
              </w:rPr>
              <w:t>(mandatory disclosures as per IFRS 7)</w:t>
            </w:r>
          </w:p>
        </w:tc>
        <w:tc>
          <w:tcPr>
            <w:tcW w:w="5180" w:type="dxa"/>
          </w:tcPr>
          <w:p w14:paraId="33863217" w14:textId="77777777" w:rsidR="00C63954" w:rsidRPr="008F47E3" w:rsidRDefault="00C63954" w:rsidP="00AF376B">
            <w:pPr>
              <w:tabs>
                <w:tab w:val="left" w:pos="567"/>
                <w:tab w:val="left" w:pos="1350"/>
                <w:tab w:val="left" w:pos="1440"/>
              </w:tabs>
              <w:ind w:right="25"/>
              <w:contextualSpacing/>
              <w:jc w:val="both"/>
              <w:rPr>
                <w:rFonts w:ascii="Calibri" w:hAnsi="Calibri" w:cs="Calibri"/>
                <w:sz w:val="22"/>
                <w:szCs w:val="22"/>
              </w:rPr>
            </w:pPr>
            <w:r w:rsidRPr="008F47E3">
              <w:rPr>
                <w:rFonts w:ascii="Calibri" w:hAnsi="Calibri" w:cs="Calibri"/>
                <w:sz w:val="22"/>
                <w:szCs w:val="22"/>
              </w:rPr>
              <w:t>All 40 PIEs had provided disclosures regarding maturity analyses for non-derivatives financial liabilities and derivative financial liabilities, description of how it manages the liquidity risk and summary quantitative data about its exposure to liquidity risk.</w:t>
            </w:r>
          </w:p>
          <w:p w14:paraId="3E3C5A2C" w14:textId="77777777" w:rsidR="00C63954" w:rsidRPr="008F47E3" w:rsidRDefault="00C63954" w:rsidP="00AF376B">
            <w:pPr>
              <w:tabs>
                <w:tab w:val="left" w:pos="567"/>
                <w:tab w:val="left" w:pos="1350"/>
                <w:tab w:val="left" w:pos="1440"/>
              </w:tabs>
              <w:ind w:right="25"/>
              <w:contextualSpacing/>
              <w:jc w:val="both"/>
              <w:rPr>
                <w:rFonts w:ascii="Calibri" w:hAnsi="Calibri" w:cs="Calibri"/>
                <w:sz w:val="22"/>
                <w:szCs w:val="22"/>
              </w:rPr>
            </w:pPr>
          </w:p>
          <w:p w14:paraId="2C5C1E35" w14:textId="77777777" w:rsidR="00C63954" w:rsidRPr="008F47E3" w:rsidRDefault="00C63954" w:rsidP="00AF376B">
            <w:pPr>
              <w:tabs>
                <w:tab w:val="left" w:pos="567"/>
                <w:tab w:val="left" w:pos="1350"/>
                <w:tab w:val="left" w:pos="1440"/>
              </w:tabs>
              <w:ind w:right="25"/>
              <w:contextualSpacing/>
              <w:jc w:val="both"/>
              <w:rPr>
                <w:rFonts w:ascii="Calibri" w:hAnsi="Calibri" w:cs="Calibri"/>
                <w:sz w:val="22"/>
                <w:szCs w:val="22"/>
              </w:rPr>
            </w:pPr>
            <w:r>
              <w:rPr>
                <w:rFonts w:ascii="Calibri" w:hAnsi="Calibri" w:cs="Calibri"/>
                <w:sz w:val="22"/>
                <w:szCs w:val="22"/>
              </w:rPr>
              <w:t>98% of the</w:t>
            </w:r>
            <w:r w:rsidRPr="008F47E3">
              <w:rPr>
                <w:rFonts w:ascii="Calibri" w:hAnsi="Calibri" w:cs="Calibri"/>
                <w:sz w:val="22"/>
                <w:szCs w:val="22"/>
              </w:rPr>
              <w:t xml:space="preserve"> PIEs had not made disclosure on the management of liquidity risk if the outflow of cash could occur significantly earlier than indicated in the data and if the cash outflow could be for a significantly different amount than that indicated in the maturity table. The reasons for the non-disclosure were unknown.</w:t>
            </w:r>
          </w:p>
          <w:p w14:paraId="64FF9106" w14:textId="77777777" w:rsidR="00C63954" w:rsidRPr="008F47E3" w:rsidRDefault="00C63954" w:rsidP="00AF376B">
            <w:pPr>
              <w:tabs>
                <w:tab w:val="left" w:pos="567"/>
                <w:tab w:val="left" w:pos="1350"/>
                <w:tab w:val="left" w:pos="1440"/>
              </w:tabs>
              <w:ind w:right="25"/>
              <w:contextualSpacing/>
              <w:jc w:val="both"/>
              <w:rPr>
                <w:rFonts w:ascii="Calibri" w:hAnsi="Calibri" w:cs="Calibri"/>
                <w:sz w:val="22"/>
                <w:szCs w:val="22"/>
              </w:rPr>
            </w:pPr>
          </w:p>
          <w:p w14:paraId="3B6B6EBE"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Pr>
                <w:rFonts w:ascii="Calibri" w:hAnsi="Calibri" w:cs="Calibri"/>
                <w:sz w:val="22"/>
                <w:szCs w:val="22"/>
              </w:rPr>
              <w:t>85%</w:t>
            </w:r>
            <w:r w:rsidRPr="008F47E3">
              <w:rPr>
                <w:rFonts w:ascii="Calibri" w:hAnsi="Calibri" w:cs="Calibri"/>
                <w:sz w:val="22"/>
                <w:szCs w:val="22"/>
              </w:rPr>
              <w:t xml:space="preserve"> PIEs had not provided disclosures with respect to maturity analyses of financial assets they hold for managing liquidity risk. The reasons for the non-disclosure under this requirement were not known.</w:t>
            </w:r>
          </w:p>
        </w:tc>
        <w:tc>
          <w:tcPr>
            <w:tcW w:w="2092" w:type="dxa"/>
          </w:tcPr>
          <w:p w14:paraId="23844784"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r w:rsidRPr="00A35C18">
              <w:rPr>
                <w:rFonts w:ascii="Calibri" w:hAnsi="Calibri" w:cs="Calibri"/>
                <w:sz w:val="22"/>
                <w:szCs w:val="22"/>
                <w:lang w:val="en-US"/>
              </w:rPr>
              <w:t>There is scope for improvement in risk disclosure in this area.</w:t>
            </w:r>
          </w:p>
        </w:tc>
      </w:tr>
      <w:tr w:rsidR="00C63954" w:rsidRPr="00A35C18" w14:paraId="6D3D6C76" w14:textId="77777777" w:rsidTr="00AF376B">
        <w:tc>
          <w:tcPr>
            <w:tcW w:w="2290" w:type="dxa"/>
          </w:tcPr>
          <w:p w14:paraId="4F6C795C"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Financial risks under IAS 7</w:t>
            </w:r>
            <w:r>
              <w:rPr>
                <w:rFonts w:ascii="Calibri" w:hAnsi="Calibri" w:cs="Calibri"/>
                <w:sz w:val="22"/>
                <w:szCs w:val="22"/>
              </w:rPr>
              <w:t xml:space="preserve"> </w:t>
            </w:r>
            <w:r w:rsidRPr="00140C71">
              <w:rPr>
                <w:rFonts w:ascii="Calibri" w:hAnsi="Calibri" w:cs="Calibri"/>
                <w:sz w:val="22"/>
                <w:szCs w:val="22"/>
              </w:rPr>
              <w:t>(voluntary disclosures)</w:t>
            </w:r>
          </w:p>
        </w:tc>
        <w:tc>
          <w:tcPr>
            <w:tcW w:w="5180" w:type="dxa"/>
          </w:tcPr>
          <w:p w14:paraId="0F78AC45" w14:textId="77777777" w:rsidR="00C63954" w:rsidRDefault="00C63954" w:rsidP="00AF376B">
            <w:pPr>
              <w:tabs>
                <w:tab w:val="left" w:pos="567"/>
                <w:tab w:val="left" w:pos="1350"/>
                <w:tab w:val="left" w:pos="1440"/>
              </w:tabs>
              <w:ind w:right="25"/>
              <w:contextualSpacing/>
              <w:jc w:val="both"/>
              <w:rPr>
                <w:rFonts w:ascii="Calibri" w:hAnsi="Calibri" w:cs="Calibri"/>
                <w:sz w:val="22"/>
                <w:szCs w:val="22"/>
              </w:rPr>
            </w:pPr>
            <w:r>
              <w:rPr>
                <w:rFonts w:ascii="Calibri" w:hAnsi="Calibri" w:cs="Calibri"/>
                <w:sz w:val="22"/>
                <w:szCs w:val="22"/>
              </w:rPr>
              <w:t>The</w:t>
            </w:r>
            <w:r w:rsidRPr="00A35C18">
              <w:rPr>
                <w:rFonts w:ascii="Calibri" w:hAnsi="Calibri" w:cs="Calibri"/>
                <w:sz w:val="22"/>
                <w:szCs w:val="22"/>
              </w:rPr>
              <w:t xml:space="preserve"> PIEs</w:t>
            </w:r>
            <w:r>
              <w:rPr>
                <w:rFonts w:ascii="Calibri" w:hAnsi="Calibri" w:cs="Calibri"/>
                <w:sz w:val="22"/>
                <w:szCs w:val="22"/>
              </w:rPr>
              <w:t xml:space="preserve"> had not made the following voluntary disclosures as per IAS 7:</w:t>
            </w:r>
          </w:p>
          <w:p w14:paraId="2375917C" w14:textId="77777777" w:rsidR="00C63954" w:rsidRPr="0063080A" w:rsidRDefault="00C63954" w:rsidP="00C63954">
            <w:pPr>
              <w:pStyle w:val="ListParagraph"/>
              <w:numPr>
                <w:ilvl w:val="0"/>
                <w:numId w:val="11"/>
              </w:numPr>
              <w:tabs>
                <w:tab w:val="left" w:pos="567"/>
                <w:tab w:val="left" w:pos="1350"/>
                <w:tab w:val="left" w:pos="1440"/>
              </w:tabs>
              <w:ind w:left="360" w:right="25"/>
              <w:jc w:val="both"/>
              <w:rPr>
                <w:rFonts w:ascii="Calibri" w:hAnsi="Calibri" w:cs="Calibri"/>
                <w:sz w:val="22"/>
                <w:szCs w:val="22"/>
              </w:rPr>
            </w:pPr>
            <w:r w:rsidRPr="0063080A">
              <w:rPr>
                <w:rFonts w:ascii="Calibri" w:hAnsi="Calibri" w:cs="Calibri"/>
                <w:sz w:val="22"/>
                <w:szCs w:val="22"/>
              </w:rPr>
              <w:t xml:space="preserve">The level of drawn and undrawn finance facilities in place </w:t>
            </w:r>
            <w:r>
              <w:rPr>
                <w:rFonts w:ascii="Calibri" w:hAnsi="Calibri" w:cs="Calibri"/>
                <w:sz w:val="22"/>
                <w:szCs w:val="22"/>
              </w:rPr>
              <w:t>(55%</w:t>
            </w:r>
            <w:proofErr w:type="gramStart"/>
            <w:r>
              <w:rPr>
                <w:rFonts w:ascii="Calibri" w:hAnsi="Calibri" w:cs="Calibri"/>
                <w:sz w:val="22"/>
                <w:szCs w:val="22"/>
              </w:rPr>
              <w:t>);</w:t>
            </w:r>
            <w:proofErr w:type="gramEnd"/>
          </w:p>
          <w:p w14:paraId="705B0149"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p>
          <w:p w14:paraId="6E4D330B" w14:textId="77777777" w:rsidR="00C63954" w:rsidRPr="0063080A" w:rsidRDefault="00C63954" w:rsidP="00C63954">
            <w:pPr>
              <w:pStyle w:val="ListParagraph"/>
              <w:numPr>
                <w:ilvl w:val="0"/>
                <w:numId w:val="11"/>
              </w:numPr>
              <w:tabs>
                <w:tab w:val="left" w:pos="567"/>
                <w:tab w:val="left" w:pos="1350"/>
                <w:tab w:val="left" w:pos="1440"/>
              </w:tabs>
              <w:ind w:left="360" w:right="25"/>
              <w:jc w:val="both"/>
              <w:rPr>
                <w:rFonts w:ascii="Calibri" w:hAnsi="Calibri" w:cs="Calibri"/>
                <w:sz w:val="22"/>
                <w:szCs w:val="22"/>
              </w:rPr>
            </w:pPr>
            <w:r w:rsidRPr="0063080A">
              <w:rPr>
                <w:rFonts w:ascii="Calibri" w:hAnsi="Calibri" w:cs="Calibri"/>
                <w:sz w:val="22"/>
                <w:szCs w:val="22"/>
              </w:rPr>
              <w:t>The cash flows representing increases in operating capacity</w:t>
            </w:r>
            <w:r>
              <w:rPr>
                <w:rFonts w:ascii="Calibri" w:hAnsi="Calibri" w:cs="Calibri"/>
                <w:sz w:val="22"/>
                <w:szCs w:val="22"/>
              </w:rPr>
              <w:t xml:space="preserve"> (93%)</w:t>
            </w:r>
            <w:r w:rsidRPr="0063080A">
              <w:rPr>
                <w:rFonts w:ascii="Calibri" w:hAnsi="Calibri" w:cs="Calibri"/>
                <w:sz w:val="22"/>
                <w:szCs w:val="22"/>
              </w:rPr>
              <w:t>; and</w:t>
            </w:r>
          </w:p>
          <w:p w14:paraId="22AC31FF" w14:textId="77777777" w:rsidR="00C63954" w:rsidRDefault="00C63954" w:rsidP="00AF376B">
            <w:pPr>
              <w:tabs>
                <w:tab w:val="left" w:pos="567"/>
                <w:tab w:val="left" w:pos="1350"/>
                <w:tab w:val="left" w:pos="1440"/>
              </w:tabs>
              <w:ind w:right="25"/>
              <w:contextualSpacing/>
              <w:jc w:val="both"/>
              <w:rPr>
                <w:rFonts w:ascii="Calibri" w:hAnsi="Calibri" w:cs="Calibri"/>
                <w:sz w:val="22"/>
                <w:szCs w:val="22"/>
              </w:rPr>
            </w:pPr>
          </w:p>
          <w:p w14:paraId="4306C6FF" w14:textId="77777777" w:rsidR="00C63954" w:rsidRPr="0063080A" w:rsidRDefault="00C63954" w:rsidP="00C63954">
            <w:pPr>
              <w:pStyle w:val="ListParagraph"/>
              <w:numPr>
                <w:ilvl w:val="0"/>
                <w:numId w:val="11"/>
              </w:numPr>
              <w:tabs>
                <w:tab w:val="left" w:pos="567"/>
                <w:tab w:val="left" w:pos="1350"/>
                <w:tab w:val="left" w:pos="1440"/>
              </w:tabs>
              <w:ind w:left="360" w:right="25"/>
              <w:jc w:val="both"/>
              <w:rPr>
                <w:rFonts w:ascii="Calibri" w:hAnsi="Calibri" w:cs="Calibri"/>
                <w:sz w:val="22"/>
                <w:szCs w:val="22"/>
              </w:rPr>
            </w:pPr>
            <w:r w:rsidRPr="0063080A">
              <w:rPr>
                <w:rFonts w:ascii="Calibri" w:hAnsi="Calibri" w:cs="Calibri"/>
                <w:sz w:val="22"/>
                <w:szCs w:val="22"/>
              </w:rPr>
              <w:t>The amount of the cash flows of each reportable segment</w:t>
            </w:r>
            <w:r>
              <w:rPr>
                <w:rFonts w:ascii="Calibri" w:hAnsi="Calibri" w:cs="Calibri"/>
                <w:sz w:val="22"/>
                <w:szCs w:val="22"/>
              </w:rPr>
              <w:t xml:space="preserve"> (45%)</w:t>
            </w:r>
            <w:r w:rsidRPr="0063080A">
              <w:rPr>
                <w:rFonts w:ascii="Calibri" w:hAnsi="Calibri" w:cs="Calibri"/>
                <w:sz w:val="22"/>
                <w:szCs w:val="22"/>
              </w:rPr>
              <w:t>.</w:t>
            </w:r>
          </w:p>
        </w:tc>
        <w:tc>
          <w:tcPr>
            <w:tcW w:w="2092" w:type="dxa"/>
          </w:tcPr>
          <w:p w14:paraId="760D09C9"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r>
              <w:rPr>
                <w:rFonts w:ascii="Calibri" w:hAnsi="Calibri" w:cs="Calibri"/>
                <w:sz w:val="22"/>
                <w:szCs w:val="22"/>
                <w:lang w:val="en-US"/>
              </w:rPr>
              <w:t xml:space="preserve">PIEs are encouraged to disclose </w:t>
            </w:r>
            <w:r w:rsidRPr="00F401F8">
              <w:rPr>
                <w:rFonts w:ascii="Calibri" w:hAnsi="Calibri" w:cs="Calibri"/>
                <w:sz w:val="22"/>
                <w:szCs w:val="22"/>
                <w:lang w:val="en-US"/>
              </w:rPr>
              <w:t xml:space="preserve">more information in relation to the liquidity risk in their </w:t>
            </w:r>
            <w:r>
              <w:rPr>
                <w:rFonts w:ascii="Calibri" w:hAnsi="Calibri" w:cs="Calibri"/>
                <w:sz w:val="22"/>
                <w:szCs w:val="22"/>
                <w:lang w:val="en-US"/>
              </w:rPr>
              <w:t>next annual reports.</w:t>
            </w:r>
          </w:p>
        </w:tc>
      </w:tr>
      <w:tr w:rsidR="00C63954" w:rsidRPr="00A35C18" w14:paraId="33D1B28C" w14:textId="77777777" w:rsidTr="00AF376B">
        <w:trPr>
          <w:trHeight w:val="444"/>
        </w:trPr>
        <w:tc>
          <w:tcPr>
            <w:tcW w:w="9562" w:type="dxa"/>
            <w:gridSpan w:val="3"/>
          </w:tcPr>
          <w:p w14:paraId="6876E23A"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r w:rsidRPr="00A35C18">
              <w:rPr>
                <w:rFonts w:ascii="Calibri" w:hAnsi="Calibri" w:cs="Calibri"/>
                <w:b/>
                <w:bCs/>
                <w:sz w:val="22"/>
                <w:szCs w:val="22"/>
                <w:lang w:val="en-US"/>
              </w:rPr>
              <w:t>Non-financial risks</w:t>
            </w:r>
          </w:p>
        </w:tc>
      </w:tr>
      <w:tr w:rsidR="00C63954" w:rsidRPr="00A35C18" w14:paraId="67CECD13" w14:textId="77777777" w:rsidTr="00AF376B">
        <w:trPr>
          <w:trHeight w:val="444"/>
        </w:trPr>
        <w:tc>
          <w:tcPr>
            <w:tcW w:w="2290" w:type="dxa"/>
          </w:tcPr>
          <w:p w14:paraId="0EBB78C8" w14:textId="77777777" w:rsidR="00C63954" w:rsidRPr="00A35C18" w:rsidRDefault="00C63954" w:rsidP="00AF376B">
            <w:pPr>
              <w:contextualSpacing/>
              <w:jc w:val="both"/>
              <w:rPr>
                <w:rFonts w:ascii="Calibri" w:hAnsi="Calibri" w:cs="Calibri"/>
                <w:b/>
                <w:bCs/>
                <w:sz w:val="22"/>
                <w:szCs w:val="22"/>
                <w:lang w:val="en-US"/>
              </w:rPr>
            </w:pPr>
            <w:r w:rsidRPr="00A35C18">
              <w:rPr>
                <w:rFonts w:ascii="Calibri" w:hAnsi="Calibri" w:cs="Calibri"/>
                <w:sz w:val="22"/>
                <w:szCs w:val="22"/>
                <w:lang w:val="en-US"/>
              </w:rPr>
              <w:t>Risk management procedures</w:t>
            </w:r>
            <w:r>
              <w:rPr>
                <w:rFonts w:ascii="Calibri" w:hAnsi="Calibri" w:cs="Calibri"/>
                <w:sz w:val="22"/>
                <w:szCs w:val="22"/>
                <w:lang w:val="en-US"/>
              </w:rPr>
              <w:t xml:space="preserve"> </w:t>
            </w:r>
            <w:r w:rsidRPr="00140C71">
              <w:rPr>
                <w:rFonts w:ascii="Calibri" w:hAnsi="Calibri" w:cs="Calibri"/>
                <w:sz w:val="22"/>
                <w:szCs w:val="22"/>
                <w:lang w:val="en-US"/>
              </w:rPr>
              <w:t>(mandatory disclosures as per the Code of Corporate Governance)</w:t>
            </w:r>
          </w:p>
        </w:tc>
        <w:tc>
          <w:tcPr>
            <w:tcW w:w="5180" w:type="dxa"/>
          </w:tcPr>
          <w:p w14:paraId="491554EA"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lang w:val="en-US"/>
              </w:rPr>
              <w:t xml:space="preserve">60% of the PIEs had made relevant risk management policies disclosures although 40% </w:t>
            </w:r>
            <w:proofErr w:type="gramStart"/>
            <w:r w:rsidRPr="00A35C18">
              <w:rPr>
                <w:rFonts w:ascii="Calibri" w:hAnsi="Calibri" w:cs="Calibri"/>
                <w:sz w:val="22"/>
                <w:szCs w:val="22"/>
                <w:lang w:val="en-US"/>
              </w:rPr>
              <w:t>entities</w:t>
            </w:r>
            <w:proofErr w:type="gramEnd"/>
            <w:r w:rsidRPr="00A35C18">
              <w:rPr>
                <w:rFonts w:ascii="Calibri" w:hAnsi="Calibri" w:cs="Calibri"/>
                <w:sz w:val="22"/>
                <w:szCs w:val="22"/>
                <w:lang w:val="en-US"/>
              </w:rPr>
              <w:t xml:space="preserve"> had not provided same.</w:t>
            </w:r>
          </w:p>
        </w:tc>
        <w:tc>
          <w:tcPr>
            <w:tcW w:w="2092" w:type="dxa"/>
          </w:tcPr>
          <w:p w14:paraId="5267810E"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r w:rsidRPr="00A35C18">
              <w:rPr>
                <w:rFonts w:ascii="Calibri" w:hAnsi="Calibri" w:cs="Calibri"/>
                <w:sz w:val="22"/>
                <w:szCs w:val="22"/>
                <w:lang w:val="en-US"/>
              </w:rPr>
              <w:t>There is scope for improvement in risk disclosures in these areas.</w:t>
            </w:r>
          </w:p>
        </w:tc>
      </w:tr>
      <w:tr w:rsidR="00C63954" w:rsidRPr="00A35C18" w14:paraId="46147250" w14:textId="77777777" w:rsidTr="00AF376B">
        <w:trPr>
          <w:trHeight w:val="444"/>
        </w:trPr>
        <w:tc>
          <w:tcPr>
            <w:tcW w:w="2290" w:type="dxa"/>
          </w:tcPr>
          <w:p w14:paraId="039E4DB0"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lastRenderedPageBreak/>
              <w:t xml:space="preserve">Sources of non-financial risks </w:t>
            </w:r>
            <w:r w:rsidRPr="00140C71">
              <w:rPr>
                <w:rFonts w:ascii="Calibri" w:hAnsi="Calibri" w:cs="Calibri"/>
                <w:sz w:val="22"/>
                <w:szCs w:val="22"/>
              </w:rPr>
              <w:t>(voluntary disclosures)</w:t>
            </w:r>
          </w:p>
        </w:tc>
        <w:tc>
          <w:tcPr>
            <w:tcW w:w="5180" w:type="dxa"/>
          </w:tcPr>
          <w:p w14:paraId="6B170F1C"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rPr>
              <w:t xml:space="preserve">98% of the entities had not </w:t>
            </w:r>
            <w:r>
              <w:rPr>
                <w:rFonts w:ascii="Calibri" w:hAnsi="Calibri" w:cs="Calibri"/>
                <w:sz w:val="22"/>
                <w:szCs w:val="22"/>
              </w:rPr>
              <w:t>categorised</w:t>
            </w:r>
            <w:r w:rsidRPr="00A35C18">
              <w:rPr>
                <w:rFonts w:ascii="Calibri" w:hAnsi="Calibri" w:cs="Calibri"/>
                <w:sz w:val="22"/>
                <w:szCs w:val="22"/>
              </w:rPr>
              <w:t xml:space="preserve"> non-financial risks into internal and external factors.</w:t>
            </w:r>
          </w:p>
        </w:tc>
        <w:tc>
          <w:tcPr>
            <w:tcW w:w="2092" w:type="dxa"/>
            <w:vMerge w:val="restart"/>
          </w:tcPr>
          <w:p w14:paraId="6EAB8B85"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rPr>
            </w:pPr>
            <w:r>
              <w:rPr>
                <w:rFonts w:ascii="Calibri" w:hAnsi="Calibri" w:cs="Calibri"/>
                <w:sz w:val="22"/>
                <w:szCs w:val="22"/>
                <w:lang w:val="en-US"/>
              </w:rPr>
              <w:t xml:space="preserve">PIEs </w:t>
            </w:r>
            <w:r w:rsidRPr="00F401F8">
              <w:rPr>
                <w:rFonts w:ascii="Calibri" w:hAnsi="Calibri" w:cs="Calibri"/>
                <w:sz w:val="22"/>
                <w:szCs w:val="22"/>
                <w:lang w:val="en-US"/>
              </w:rPr>
              <w:t>are encouraged to provide more voluntary disclosures to their users of accounts in their next annual reports.</w:t>
            </w:r>
          </w:p>
        </w:tc>
      </w:tr>
      <w:tr w:rsidR="00C63954" w:rsidRPr="00A35C18" w14:paraId="25B4631A" w14:textId="77777777" w:rsidTr="00AF376B">
        <w:trPr>
          <w:trHeight w:val="444"/>
        </w:trPr>
        <w:tc>
          <w:tcPr>
            <w:tcW w:w="2290" w:type="dxa"/>
            <w:vAlign w:val="bottom"/>
          </w:tcPr>
          <w:p w14:paraId="197250CA" w14:textId="77777777" w:rsidR="00C63954" w:rsidRPr="00A35C18" w:rsidRDefault="00C63954" w:rsidP="00AF376B">
            <w:pPr>
              <w:contextualSpacing/>
              <w:jc w:val="both"/>
              <w:rPr>
                <w:rFonts w:ascii="Calibri" w:hAnsi="Calibri" w:cs="Calibri"/>
                <w:sz w:val="22"/>
                <w:szCs w:val="22"/>
                <w:lang w:val="en-US"/>
              </w:rPr>
            </w:pPr>
            <w:r w:rsidRPr="00A35C18">
              <w:rPr>
                <w:rFonts w:ascii="Calibri" w:hAnsi="Calibri" w:cs="Calibri"/>
                <w:sz w:val="22"/>
                <w:szCs w:val="22"/>
                <w:lang w:val="en-US"/>
              </w:rPr>
              <w:t>Risk appetites</w:t>
            </w:r>
            <w:r>
              <w:rPr>
                <w:rFonts w:ascii="Calibri" w:hAnsi="Calibri" w:cs="Calibri"/>
                <w:sz w:val="22"/>
                <w:szCs w:val="22"/>
                <w:lang w:val="en-US"/>
              </w:rPr>
              <w:t xml:space="preserve"> </w:t>
            </w:r>
            <w:r w:rsidRPr="00140C71">
              <w:rPr>
                <w:rFonts w:ascii="Calibri" w:hAnsi="Calibri" w:cs="Calibri"/>
                <w:sz w:val="22"/>
                <w:szCs w:val="22"/>
                <w:lang w:val="en-US"/>
              </w:rPr>
              <w:t>(voluntary disclosures)</w:t>
            </w:r>
          </w:p>
        </w:tc>
        <w:tc>
          <w:tcPr>
            <w:tcW w:w="5180" w:type="dxa"/>
            <w:vAlign w:val="bottom"/>
          </w:tcPr>
          <w:p w14:paraId="5192142C"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lang w:val="en-US"/>
              </w:rPr>
              <w:t xml:space="preserve">75% of the PIEs had not made disclosures about risk appetites and their metrics. </w:t>
            </w:r>
          </w:p>
        </w:tc>
        <w:tc>
          <w:tcPr>
            <w:tcW w:w="2092" w:type="dxa"/>
            <w:vMerge/>
            <w:vAlign w:val="bottom"/>
          </w:tcPr>
          <w:p w14:paraId="6C1CBE10"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4DD1FD0D" w14:textId="77777777" w:rsidTr="00AF376B">
        <w:tc>
          <w:tcPr>
            <w:tcW w:w="2290" w:type="dxa"/>
          </w:tcPr>
          <w:p w14:paraId="144A9685" w14:textId="77777777" w:rsidR="00C63954" w:rsidRPr="00A35C18" w:rsidRDefault="00C63954" w:rsidP="00AF376B">
            <w:pPr>
              <w:contextualSpacing/>
              <w:jc w:val="both"/>
              <w:rPr>
                <w:rFonts w:ascii="Calibri" w:hAnsi="Calibri" w:cs="Calibri"/>
                <w:sz w:val="22"/>
                <w:szCs w:val="22"/>
                <w:lang w:val="en-US"/>
              </w:rPr>
            </w:pPr>
            <w:r w:rsidRPr="00A35C18">
              <w:rPr>
                <w:rFonts w:ascii="Calibri" w:hAnsi="Calibri" w:cs="Calibri"/>
                <w:sz w:val="22"/>
                <w:szCs w:val="22"/>
                <w:lang w:val="en-US"/>
              </w:rPr>
              <w:t>Stress tests</w:t>
            </w:r>
            <w:r>
              <w:rPr>
                <w:rFonts w:ascii="Calibri" w:hAnsi="Calibri" w:cs="Calibri"/>
                <w:sz w:val="22"/>
                <w:szCs w:val="22"/>
                <w:lang w:val="en-US"/>
              </w:rPr>
              <w:t xml:space="preserve"> </w:t>
            </w:r>
            <w:r w:rsidRPr="00140C71">
              <w:rPr>
                <w:rFonts w:ascii="Calibri" w:hAnsi="Calibri" w:cs="Calibri"/>
                <w:sz w:val="22"/>
                <w:szCs w:val="22"/>
                <w:lang w:val="en-US"/>
              </w:rPr>
              <w:t>(voluntary disclosures)</w:t>
            </w:r>
          </w:p>
        </w:tc>
        <w:tc>
          <w:tcPr>
            <w:tcW w:w="5180" w:type="dxa"/>
          </w:tcPr>
          <w:p w14:paraId="0C7D1707" w14:textId="77777777" w:rsidR="00C63954" w:rsidRPr="00A35C18" w:rsidRDefault="00C63954" w:rsidP="00AF376B">
            <w:pPr>
              <w:contextualSpacing/>
              <w:jc w:val="both"/>
              <w:rPr>
                <w:rFonts w:ascii="Calibri" w:hAnsi="Calibri" w:cs="Calibri"/>
                <w:sz w:val="22"/>
                <w:szCs w:val="22"/>
                <w:lang w:val="en-US"/>
              </w:rPr>
            </w:pPr>
            <w:r w:rsidRPr="00A35C18">
              <w:rPr>
                <w:rFonts w:ascii="Calibri" w:hAnsi="Calibri" w:cs="Calibri"/>
                <w:sz w:val="22"/>
                <w:szCs w:val="22"/>
                <w:lang w:val="en-US"/>
              </w:rPr>
              <w:t xml:space="preserve">80% of the entities had not conducted stress tests to assess the resilience of their balance sheet and </w:t>
            </w:r>
            <w:proofErr w:type="gramStart"/>
            <w:r w:rsidRPr="00A35C18">
              <w:rPr>
                <w:rFonts w:ascii="Calibri" w:hAnsi="Calibri" w:cs="Calibri"/>
                <w:sz w:val="22"/>
                <w:szCs w:val="22"/>
                <w:lang w:val="en-US"/>
              </w:rPr>
              <w:t>the capital</w:t>
            </w:r>
            <w:proofErr w:type="gramEnd"/>
            <w:r w:rsidRPr="00A35C18">
              <w:rPr>
                <w:rFonts w:ascii="Calibri" w:hAnsi="Calibri" w:cs="Calibri"/>
                <w:sz w:val="22"/>
                <w:szCs w:val="22"/>
                <w:lang w:val="en-US"/>
              </w:rPr>
              <w:t xml:space="preserve"> adequacy.</w:t>
            </w:r>
          </w:p>
        </w:tc>
        <w:tc>
          <w:tcPr>
            <w:tcW w:w="2092" w:type="dxa"/>
            <w:vMerge/>
          </w:tcPr>
          <w:p w14:paraId="35E92F8D"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15DB4100" w14:textId="77777777" w:rsidTr="00AF376B">
        <w:tc>
          <w:tcPr>
            <w:tcW w:w="2290" w:type="dxa"/>
          </w:tcPr>
          <w:p w14:paraId="0BE5CAD8"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Emerging risks</w:t>
            </w:r>
            <w:r>
              <w:rPr>
                <w:rFonts w:ascii="Calibri" w:hAnsi="Calibri" w:cs="Calibri"/>
                <w:sz w:val="22"/>
                <w:szCs w:val="22"/>
              </w:rPr>
              <w:t xml:space="preserve"> </w:t>
            </w:r>
            <w:r w:rsidRPr="00140C71">
              <w:rPr>
                <w:rFonts w:ascii="Calibri" w:hAnsi="Calibri" w:cs="Calibri"/>
                <w:sz w:val="22"/>
                <w:szCs w:val="22"/>
              </w:rPr>
              <w:t>(voluntary disclosures)</w:t>
            </w:r>
          </w:p>
        </w:tc>
        <w:tc>
          <w:tcPr>
            <w:tcW w:w="5180" w:type="dxa"/>
          </w:tcPr>
          <w:p w14:paraId="09A38242"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rPr>
              <w:t>60% of the PIEs had disclosed the top and emerging risks of the entity which are subject to regular review by senior management/committee.</w:t>
            </w:r>
          </w:p>
        </w:tc>
        <w:tc>
          <w:tcPr>
            <w:tcW w:w="2092" w:type="dxa"/>
            <w:vMerge/>
          </w:tcPr>
          <w:p w14:paraId="60C8E3E2"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54335861" w14:textId="77777777" w:rsidTr="00AF376B">
        <w:tc>
          <w:tcPr>
            <w:tcW w:w="2290" w:type="dxa"/>
          </w:tcPr>
          <w:p w14:paraId="1759660F"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Trend or movement of key risks</w:t>
            </w:r>
            <w:r>
              <w:rPr>
                <w:rFonts w:ascii="Calibri" w:hAnsi="Calibri" w:cs="Calibri"/>
                <w:sz w:val="22"/>
                <w:szCs w:val="22"/>
              </w:rPr>
              <w:t xml:space="preserve"> </w:t>
            </w:r>
            <w:r w:rsidRPr="00140C71">
              <w:rPr>
                <w:rFonts w:ascii="Calibri" w:hAnsi="Calibri" w:cs="Calibri"/>
                <w:sz w:val="22"/>
                <w:szCs w:val="22"/>
              </w:rPr>
              <w:t>(voluntary disclosures)</w:t>
            </w:r>
          </w:p>
        </w:tc>
        <w:tc>
          <w:tcPr>
            <w:tcW w:w="5180" w:type="dxa"/>
          </w:tcPr>
          <w:p w14:paraId="5BAD04BF"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rPr>
              <w:t>The annual reports of 75% of the PIEs did not contain a trend or movement of the key risks affecting the entities.</w:t>
            </w:r>
          </w:p>
        </w:tc>
        <w:tc>
          <w:tcPr>
            <w:tcW w:w="2092" w:type="dxa"/>
            <w:vMerge/>
          </w:tcPr>
          <w:p w14:paraId="179BEF2D"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0CBBF745" w14:textId="77777777" w:rsidTr="00AF376B">
        <w:tc>
          <w:tcPr>
            <w:tcW w:w="2290" w:type="dxa"/>
          </w:tcPr>
          <w:p w14:paraId="50D26292"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Measurement of the risk of major negative events</w:t>
            </w:r>
            <w:r>
              <w:rPr>
                <w:rFonts w:ascii="Calibri" w:hAnsi="Calibri" w:cs="Calibri"/>
                <w:sz w:val="22"/>
                <w:szCs w:val="22"/>
              </w:rPr>
              <w:t xml:space="preserve"> </w:t>
            </w:r>
            <w:r w:rsidRPr="00140C71">
              <w:rPr>
                <w:rFonts w:ascii="Calibri" w:hAnsi="Calibri" w:cs="Calibri"/>
                <w:sz w:val="22"/>
                <w:szCs w:val="22"/>
              </w:rPr>
              <w:t>(voluntary disclosures)</w:t>
            </w:r>
          </w:p>
        </w:tc>
        <w:tc>
          <w:tcPr>
            <w:tcW w:w="5180" w:type="dxa"/>
          </w:tcPr>
          <w:p w14:paraId="321C5302"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rPr>
              <w:t>53% of the PIEs had disclosed the key risk indicators which are designed to measure the risk of major negative events disclosed in the annual report.</w:t>
            </w:r>
          </w:p>
        </w:tc>
        <w:tc>
          <w:tcPr>
            <w:tcW w:w="2092" w:type="dxa"/>
            <w:vMerge/>
          </w:tcPr>
          <w:p w14:paraId="03A930A6"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756C5E6E" w14:textId="77777777" w:rsidTr="00AF376B">
        <w:tc>
          <w:tcPr>
            <w:tcW w:w="2290" w:type="dxa"/>
          </w:tcPr>
          <w:p w14:paraId="2209D6ED"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Classification of risks</w:t>
            </w:r>
            <w:r>
              <w:rPr>
                <w:rFonts w:ascii="Calibri" w:hAnsi="Calibri" w:cs="Calibri"/>
                <w:sz w:val="22"/>
                <w:szCs w:val="22"/>
              </w:rPr>
              <w:t xml:space="preserve"> </w:t>
            </w:r>
            <w:r w:rsidRPr="00140C71">
              <w:rPr>
                <w:rFonts w:ascii="Calibri" w:hAnsi="Calibri" w:cs="Calibri"/>
                <w:sz w:val="22"/>
                <w:szCs w:val="22"/>
              </w:rPr>
              <w:t>(voluntary disclosures)</w:t>
            </w:r>
          </w:p>
        </w:tc>
        <w:tc>
          <w:tcPr>
            <w:tcW w:w="5180" w:type="dxa"/>
          </w:tcPr>
          <w:p w14:paraId="6E871929"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rPr>
              <w:t xml:space="preserve">78% of the PIEs had not made classification of risks based on their probability and the potential financial and non-financial impact of their occurrence. </w:t>
            </w:r>
          </w:p>
        </w:tc>
        <w:tc>
          <w:tcPr>
            <w:tcW w:w="2092" w:type="dxa"/>
            <w:vMerge/>
          </w:tcPr>
          <w:p w14:paraId="4FDD3CA5"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3E08D456" w14:textId="77777777" w:rsidTr="00AF376B">
        <w:tc>
          <w:tcPr>
            <w:tcW w:w="2290" w:type="dxa"/>
          </w:tcPr>
          <w:p w14:paraId="596F8FA8"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Linkage of risks</w:t>
            </w:r>
            <w:r>
              <w:rPr>
                <w:rFonts w:ascii="Calibri" w:hAnsi="Calibri" w:cs="Calibri"/>
                <w:sz w:val="22"/>
                <w:szCs w:val="22"/>
              </w:rPr>
              <w:t xml:space="preserve"> </w:t>
            </w:r>
            <w:r w:rsidRPr="00140C71">
              <w:rPr>
                <w:rFonts w:ascii="Calibri" w:hAnsi="Calibri" w:cs="Calibri"/>
                <w:sz w:val="22"/>
                <w:szCs w:val="22"/>
              </w:rPr>
              <w:t>(voluntary disclosures)</w:t>
            </w:r>
          </w:p>
        </w:tc>
        <w:tc>
          <w:tcPr>
            <w:tcW w:w="5180" w:type="dxa"/>
          </w:tcPr>
          <w:p w14:paraId="27E6F6E0"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rPr>
              <w:t>The annual reports of 90% of the PIEs had not included disclosures with respect to the risks which were linked to strategy, business model and key performance indicators.</w:t>
            </w:r>
          </w:p>
        </w:tc>
        <w:tc>
          <w:tcPr>
            <w:tcW w:w="2092" w:type="dxa"/>
            <w:vMerge/>
          </w:tcPr>
          <w:p w14:paraId="6299B6DB"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4151E2AA" w14:textId="77777777" w:rsidTr="00AF376B">
        <w:tc>
          <w:tcPr>
            <w:tcW w:w="2290" w:type="dxa"/>
          </w:tcPr>
          <w:p w14:paraId="73C6CCD8"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rPr>
              <w:t>Outlook and opportunities of risks</w:t>
            </w:r>
          </w:p>
          <w:p w14:paraId="2CAD6000" w14:textId="77777777" w:rsidR="00C63954" w:rsidRPr="00A35C18" w:rsidRDefault="00C63954" w:rsidP="00AF376B">
            <w:pPr>
              <w:contextualSpacing/>
              <w:jc w:val="both"/>
              <w:rPr>
                <w:rFonts w:ascii="Calibri" w:hAnsi="Calibri" w:cs="Calibri"/>
                <w:sz w:val="22"/>
                <w:szCs w:val="22"/>
              </w:rPr>
            </w:pPr>
            <w:r w:rsidRPr="00140C71">
              <w:rPr>
                <w:rFonts w:ascii="Calibri" w:hAnsi="Calibri" w:cs="Calibri"/>
                <w:sz w:val="22"/>
                <w:szCs w:val="22"/>
              </w:rPr>
              <w:t>(voluntary disclosures)</w:t>
            </w:r>
          </w:p>
        </w:tc>
        <w:tc>
          <w:tcPr>
            <w:tcW w:w="5180" w:type="dxa"/>
          </w:tcPr>
          <w:p w14:paraId="12489846"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rPr>
              <w:t xml:space="preserve">70% of the PIEs had not discussed the </w:t>
            </w:r>
            <w:proofErr w:type="gramStart"/>
            <w:r w:rsidRPr="00A35C18">
              <w:rPr>
                <w:rFonts w:ascii="Calibri" w:hAnsi="Calibri" w:cs="Calibri"/>
                <w:sz w:val="22"/>
                <w:szCs w:val="22"/>
              </w:rPr>
              <w:t>future outlook</w:t>
            </w:r>
            <w:proofErr w:type="gramEnd"/>
            <w:r w:rsidRPr="00A35C18">
              <w:rPr>
                <w:rFonts w:ascii="Calibri" w:hAnsi="Calibri" w:cs="Calibri"/>
                <w:sz w:val="22"/>
                <w:szCs w:val="22"/>
              </w:rPr>
              <w:t xml:space="preserve"> and opportunities of the risks in their annual reports. </w:t>
            </w:r>
          </w:p>
        </w:tc>
        <w:tc>
          <w:tcPr>
            <w:tcW w:w="2092" w:type="dxa"/>
            <w:vMerge/>
          </w:tcPr>
          <w:p w14:paraId="060678B8"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085178EB" w14:textId="77777777" w:rsidTr="00AF376B">
        <w:tc>
          <w:tcPr>
            <w:tcW w:w="2290" w:type="dxa"/>
          </w:tcPr>
          <w:p w14:paraId="7D7179F5"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Consistency of risks throughout the annual reports</w:t>
            </w:r>
            <w:r>
              <w:rPr>
                <w:rFonts w:ascii="Calibri" w:hAnsi="Calibri" w:cs="Calibri"/>
                <w:sz w:val="22"/>
                <w:szCs w:val="22"/>
              </w:rPr>
              <w:t xml:space="preserve"> </w:t>
            </w:r>
            <w:r w:rsidRPr="00140C71">
              <w:rPr>
                <w:rFonts w:ascii="Calibri" w:hAnsi="Calibri" w:cs="Calibri"/>
                <w:sz w:val="22"/>
                <w:szCs w:val="22"/>
              </w:rPr>
              <w:t>(voluntary disclosures)</w:t>
            </w:r>
          </w:p>
        </w:tc>
        <w:tc>
          <w:tcPr>
            <w:tcW w:w="5180" w:type="dxa"/>
          </w:tcPr>
          <w:p w14:paraId="0560A2EB"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rPr>
              <w:t xml:space="preserve">50% of the entities had provided disclosures on the principal risks and uncertainties which are consistent with the rest of the report and accounts. </w:t>
            </w:r>
          </w:p>
        </w:tc>
        <w:tc>
          <w:tcPr>
            <w:tcW w:w="2092" w:type="dxa"/>
            <w:vMerge/>
          </w:tcPr>
          <w:p w14:paraId="6756CF09"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bl>
    <w:p w14:paraId="38989162" w14:textId="77777777" w:rsidR="00C63954" w:rsidRPr="00A35C18" w:rsidRDefault="00C63954" w:rsidP="00C63954">
      <w:pPr>
        <w:tabs>
          <w:tab w:val="left" w:pos="567"/>
        </w:tabs>
        <w:spacing w:after="0" w:line="240" w:lineRule="auto"/>
        <w:contextualSpacing/>
        <w:jc w:val="both"/>
        <w:rPr>
          <w:rFonts w:ascii="Calibri" w:hAnsi="Calibri" w:cs="Calibri"/>
          <w:b/>
          <w:bCs/>
          <w:sz w:val="22"/>
          <w:szCs w:val="22"/>
        </w:rPr>
      </w:pPr>
    </w:p>
    <w:p w14:paraId="500E376A" w14:textId="7AD1B216" w:rsidR="00C63954" w:rsidRDefault="00C63954">
      <w:r>
        <w:br w:type="page"/>
      </w:r>
    </w:p>
    <w:p w14:paraId="59A9F837" w14:textId="77777777" w:rsidR="00C63954" w:rsidRDefault="00C63954" w:rsidP="00C63954"/>
    <w:p w14:paraId="43DB27CD" w14:textId="77777777" w:rsidR="00C63954" w:rsidRPr="00FB200C" w:rsidRDefault="00C63954" w:rsidP="00C63954">
      <w:pPr>
        <w:spacing w:after="0" w:line="240" w:lineRule="auto"/>
        <w:jc w:val="both"/>
        <w:rPr>
          <w:rFonts w:ascii="Calibri" w:hAnsi="Calibri" w:cs="Calibri"/>
          <w:b/>
          <w:bCs/>
        </w:rPr>
      </w:pPr>
      <w:r w:rsidRPr="00FB200C">
        <w:rPr>
          <w:rFonts w:ascii="Calibri" w:hAnsi="Calibri" w:cs="Calibri"/>
          <w:b/>
          <w:bCs/>
        </w:rPr>
        <w:t>Financial Reporting Council</w:t>
      </w:r>
    </w:p>
    <w:p w14:paraId="4992ABC7" w14:textId="77777777" w:rsidR="00C63954" w:rsidRDefault="00C63954" w:rsidP="00C63954">
      <w:pPr>
        <w:tabs>
          <w:tab w:val="left" w:pos="567"/>
        </w:tabs>
        <w:spacing w:after="0" w:line="240" w:lineRule="auto"/>
        <w:contextualSpacing/>
        <w:jc w:val="both"/>
        <w:rPr>
          <w:rFonts w:ascii="Calibri" w:hAnsi="Calibri" w:cs="Calibri"/>
          <w:b/>
          <w:bCs/>
          <w:sz w:val="22"/>
          <w:szCs w:val="22"/>
        </w:rPr>
      </w:pPr>
    </w:p>
    <w:p w14:paraId="1AD4D600" w14:textId="77777777" w:rsidR="00C63954" w:rsidRPr="00FB200C" w:rsidRDefault="00C63954" w:rsidP="00C63954">
      <w:pPr>
        <w:spacing w:after="0" w:line="240" w:lineRule="auto"/>
        <w:ind w:left="720" w:hanging="720"/>
        <w:jc w:val="both"/>
        <w:rPr>
          <w:rFonts w:ascii="Calibri" w:hAnsi="Calibri" w:cs="Calibri"/>
          <w:b/>
          <w:bCs/>
          <w:sz w:val="22"/>
        </w:rPr>
      </w:pPr>
      <w:r>
        <w:rPr>
          <w:rFonts w:ascii="Calibri" w:hAnsi="Calibri" w:cs="Calibri"/>
          <w:b/>
          <w:bCs/>
          <w:sz w:val="22"/>
        </w:rPr>
        <w:t>Thematic</w:t>
      </w:r>
      <w:r w:rsidRPr="00FB200C">
        <w:rPr>
          <w:rFonts w:ascii="Calibri" w:hAnsi="Calibri" w:cs="Calibri"/>
          <w:b/>
          <w:bCs/>
          <w:sz w:val="22"/>
        </w:rPr>
        <w:t xml:space="preserve"> review on financial and non-financial risks disclosures</w:t>
      </w:r>
    </w:p>
    <w:p w14:paraId="72227645" w14:textId="77777777" w:rsidR="00C63954" w:rsidRDefault="00C63954" w:rsidP="00C63954">
      <w:pPr>
        <w:tabs>
          <w:tab w:val="left" w:pos="567"/>
        </w:tabs>
        <w:spacing w:after="0" w:line="240" w:lineRule="auto"/>
        <w:contextualSpacing/>
        <w:jc w:val="both"/>
        <w:rPr>
          <w:rFonts w:ascii="Calibri" w:hAnsi="Calibri" w:cs="Calibri"/>
          <w:b/>
          <w:bCs/>
          <w:sz w:val="22"/>
          <w:szCs w:val="22"/>
        </w:rPr>
      </w:pPr>
    </w:p>
    <w:p w14:paraId="2F201EB7" w14:textId="77777777" w:rsidR="00C63954" w:rsidRPr="00A35C18" w:rsidRDefault="00C63954" w:rsidP="00C63954">
      <w:pPr>
        <w:tabs>
          <w:tab w:val="left" w:pos="567"/>
        </w:tabs>
        <w:spacing w:after="0" w:line="240" w:lineRule="auto"/>
        <w:contextualSpacing/>
        <w:jc w:val="both"/>
        <w:rPr>
          <w:rFonts w:ascii="Calibri" w:hAnsi="Calibri" w:cs="Calibri"/>
          <w:b/>
          <w:bCs/>
          <w:sz w:val="22"/>
          <w:szCs w:val="22"/>
        </w:rPr>
      </w:pPr>
      <w:r w:rsidRPr="00A35C18">
        <w:rPr>
          <w:rFonts w:ascii="Calibri" w:hAnsi="Calibri" w:cs="Calibri"/>
          <w:b/>
          <w:bCs/>
          <w:sz w:val="22"/>
          <w:szCs w:val="22"/>
        </w:rPr>
        <w:t xml:space="preserve">Key findings with respect to risk disclosures by sectors </w:t>
      </w:r>
    </w:p>
    <w:p w14:paraId="7E4730D0" w14:textId="77777777" w:rsidR="00C63954" w:rsidRPr="00A35C18" w:rsidRDefault="00C63954" w:rsidP="00C63954">
      <w:pPr>
        <w:tabs>
          <w:tab w:val="left" w:pos="567"/>
        </w:tabs>
        <w:spacing w:after="0" w:line="240" w:lineRule="auto"/>
        <w:contextualSpacing/>
        <w:jc w:val="both"/>
        <w:rPr>
          <w:rFonts w:ascii="Calibri" w:hAnsi="Calibri" w:cs="Calibri"/>
          <w:b/>
          <w:bCs/>
          <w:sz w:val="22"/>
          <w:szCs w:val="22"/>
        </w:rPr>
      </w:pPr>
    </w:p>
    <w:p w14:paraId="0C288FB4" w14:textId="77777777" w:rsidR="00C63954" w:rsidRPr="00A35C18" w:rsidRDefault="00C63954" w:rsidP="00C63954">
      <w:pPr>
        <w:tabs>
          <w:tab w:val="left" w:pos="567"/>
        </w:tabs>
        <w:spacing w:after="0" w:line="240" w:lineRule="auto"/>
        <w:contextualSpacing/>
        <w:jc w:val="both"/>
        <w:rPr>
          <w:rFonts w:ascii="Calibri" w:hAnsi="Calibri" w:cs="Calibri"/>
          <w:b/>
          <w:bCs/>
          <w:sz w:val="22"/>
          <w:szCs w:val="22"/>
        </w:rPr>
      </w:pPr>
      <w:r w:rsidRPr="00A35C18">
        <w:rPr>
          <w:rFonts w:ascii="Calibri" w:hAnsi="Calibri" w:cs="Calibri"/>
          <w:sz w:val="22"/>
          <w:szCs w:val="22"/>
        </w:rPr>
        <w:t xml:space="preserve">Financial and non-financial risks affect all sectors, but the level of risk disclosures differs depending on the sector and industry. </w:t>
      </w:r>
      <w:r w:rsidRPr="003C7C12">
        <w:rPr>
          <w:rFonts w:ascii="Calibri" w:hAnsi="Calibri" w:cs="Calibri"/>
          <w:sz w:val="22"/>
          <w:szCs w:val="22"/>
        </w:rPr>
        <w:t>Entities in the banking and financial services sector are regulated by the Bank of Mauritius and Financial Services Commission and are required to provide more risk disclosures. For other non-financial entities, they are subject to the requirements of IFRS and the Code of Corporate Governance to offer information regarding risk or non-financial risk in their annual report.</w:t>
      </w:r>
    </w:p>
    <w:p w14:paraId="0B1DB4DA" w14:textId="77777777" w:rsidR="00C63954" w:rsidRPr="00A35C18" w:rsidRDefault="00C63954" w:rsidP="00C63954">
      <w:pPr>
        <w:tabs>
          <w:tab w:val="left" w:pos="567"/>
        </w:tabs>
        <w:spacing w:after="0" w:line="240" w:lineRule="auto"/>
        <w:contextualSpacing/>
        <w:jc w:val="both"/>
        <w:rPr>
          <w:rFonts w:ascii="Calibri" w:hAnsi="Calibri" w:cs="Calibri"/>
          <w:b/>
          <w:bCs/>
          <w:sz w:val="22"/>
          <w:szCs w:val="22"/>
        </w:rPr>
      </w:pPr>
    </w:p>
    <w:p w14:paraId="0DAFB51D" w14:textId="77777777" w:rsidR="00C63954" w:rsidRPr="00A35C18" w:rsidRDefault="00C63954" w:rsidP="00C63954">
      <w:pPr>
        <w:tabs>
          <w:tab w:val="left" w:pos="567"/>
        </w:tabs>
        <w:spacing w:after="0" w:line="240" w:lineRule="auto"/>
        <w:contextualSpacing/>
        <w:jc w:val="both"/>
        <w:rPr>
          <w:rFonts w:ascii="Calibri" w:hAnsi="Calibri" w:cs="Calibri"/>
          <w:b/>
          <w:bCs/>
          <w:sz w:val="22"/>
          <w:szCs w:val="22"/>
        </w:rPr>
      </w:pPr>
      <w:r w:rsidRPr="00A35C18">
        <w:rPr>
          <w:rFonts w:ascii="Calibri" w:hAnsi="Calibri" w:cs="Calibri"/>
          <w:sz w:val="22"/>
          <w:szCs w:val="22"/>
        </w:rPr>
        <w:t xml:space="preserve">From the selection carried out, there are 40 </w:t>
      </w:r>
      <w:r>
        <w:rPr>
          <w:rFonts w:ascii="Calibri" w:hAnsi="Calibri" w:cs="Calibri"/>
          <w:sz w:val="22"/>
          <w:szCs w:val="22"/>
        </w:rPr>
        <w:t>entities</w:t>
      </w:r>
      <w:r w:rsidRPr="00A35C18">
        <w:rPr>
          <w:rFonts w:ascii="Calibri" w:hAnsi="Calibri" w:cs="Calibri"/>
          <w:sz w:val="22"/>
          <w:szCs w:val="22"/>
        </w:rPr>
        <w:t xml:space="preserve"> in the sample, 12 of which are in the financial </w:t>
      </w:r>
      <w:proofErr w:type="gramStart"/>
      <w:r w:rsidRPr="00A35C18">
        <w:rPr>
          <w:rFonts w:ascii="Calibri" w:hAnsi="Calibri" w:cs="Calibri"/>
          <w:sz w:val="22"/>
          <w:szCs w:val="22"/>
        </w:rPr>
        <w:t>sector (‘</w:t>
      </w:r>
      <w:proofErr w:type="gramEnd"/>
      <w:r w:rsidRPr="00A35C18">
        <w:rPr>
          <w:rFonts w:ascii="Calibri" w:hAnsi="Calibri" w:cs="Calibri"/>
          <w:sz w:val="22"/>
          <w:szCs w:val="22"/>
        </w:rPr>
        <w:t xml:space="preserve">BIF’) and the remaining 28 entities come from non-financial </w:t>
      </w:r>
      <w:proofErr w:type="gramStart"/>
      <w:r w:rsidRPr="00A35C18">
        <w:rPr>
          <w:rFonts w:ascii="Calibri" w:hAnsi="Calibri" w:cs="Calibri"/>
          <w:sz w:val="22"/>
          <w:szCs w:val="22"/>
        </w:rPr>
        <w:t>sectors (‘Non-BIF</w:t>
      </w:r>
      <w:proofErr w:type="gramEnd"/>
      <w:r w:rsidRPr="00A35C18">
        <w:rPr>
          <w:rFonts w:ascii="Calibri" w:hAnsi="Calibri" w:cs="Calibri"/>
          <w:sz w:val="22"/>
          <w:szCs w:val="22"/>
        </w:rPr>
        <w:t>’) such as leisure &amp; hotels, property development, commerce, conglomerate, industry and sugar.</w:t>
      </w:r>
    </w:p>
    <w:p w14:paraId="28C3C991" w14:textId="77777777" w:rsidR="00C63954" w:rsidRPr="00A35C18" w:rsidRDefault="00C63954" w:rsidP="00C63954">
      <w:pPr>
        <w:tabs>
          <w:tab w:val="left" w:pos="567"/>
        </w:tabs>
        <w:spacing w:after="0" w:line="240" w:lineRule="auto"/>
        <w:contextualSpacing/>
        <w:jc w:val="both"/>
        <w:rPr>
          <w:rFonts w:ascii="Calibri" w:hAnsi="Calibri" w:cs="Calibri"/>
          <w:b/>
          <w:bCs/>
          <w:sz w:val="22"/>
          <w:szCs w:val="22"/>
        </w:rPr>
      </w:pPr>
    </w:p>
    <w:p w14:paraId="7A1883B5" w14:textId="77777777" w:rsidR="00C63954" w:rsidRPr="00A35C18" w:rsidRDefault="00C63954" w:rsidP="00C63954">
      <w:pPr>
        <w:tabs>
          <w:tab w:val="left" w:pos="567"/>
        </w:tabs>
        <w:spacing w:after="0" w:line="240" w:lineRule="auto"/>
        <w:contextualSpacing/>
        <w:jc w:val="both"/>
        <w:rPr>
          <w:rFonts w:ascii="Calibri" w:hAnsi="Calibri" w:cs="Calibri"/>
          <w:sz w:val="22"/>
          <w:szCs w:val="22"/>
        </w:rPr>
      </w:pPr>
      <w:r>
        <w:rPr>
          <w:rFonts w:ascii="Calibri" w:hAnsi="Calibri" w:cs="Calibri"/>
          <w:sz w:val="22"/>
          <w:szCs w:val="22"/>
        </w:rPr>
        <w:t>From the thematic review</w:t>
      </w:r>
      <w:r w:rsidRPr="00C17A89">
        <w:rPr>
          <w:rFonts w:ascii="Calibri" w:hAnsi="Calibri" w:cs="Calibri"/>
          <w:sz w:val="22"/>
          <w:szCs w:val="22"/>
        </w:rPr>
        <w:t xml:space="preserve">, </w:t>
      </w:r>
      <w:r>
        <w:rPr>
          <w:rFonts w:ascii="Calibri" w:hAnsi="Calibri" w:cs="Calibri"/>
          <w:sz w:val="22"/>
          <w:szCs w:val="22"/>
        </w:rPr>
        <w:t xml:space="preserve">it is observed that </w:t>
      </w:r>
      <w:r w:rsidRPr="00717656">
        <w:rPr>
          <w:rFonts w:ascii="Calibri" w:hAnsi="Calibri" w:cs="Calibri"/>
          <w:sz w:val="22"/>
          <w:szCs w:val="22"/>
        </w:rPr>
        <w:t xml:space="preserve">there were some sector differences </w:t>
      </w:r>
      <w:r>
        <w:rPr>
          <w:rFonts w:ascii="Calibri" w:hAnsi="Calibri" w:cs="Calibri"/>
          <w:sz w:val="22"/>
          <w:szCs w:val="22"/>
        </w:rPr>
        <w:t xml:space="preserve">in respect of </w:t>
      </w:r>
      <w:r w:rsidRPr="00717656">
        <w:rPr>
          <w:rFonts w:ascii="Calibri" w:hAnsi="Calibri" w:cs="Calibri"/>
          <w:sz w:val="22"/>
          <w:szCs w:val="22"/>
        </w:rPr>
        <w:t>financial</w:t>
      </w:r>
      <w:r>
        <w:rPr>
          <w:rFonts w:ascii="Calibri" w:hAnsi="Calibri" w:cs="Calibri"/>
          <w:sz w:val="22"/>
          <w:szCs w:val="22"/>
        </w:rPr>
        <w:t xml:space="preserve"> and non-financial risks. T</w:t>
      </w:r>
      <w:r w:rsidRPr="00C17A89">
        <w:rPr>
          <w:rFonts w:ascii="Calibri" w:hAnsi="Calibri" w:cs="Calibri"/>
          <w:sz w:val="22"/>
          <w:szCs w:val="22"/>
        </w:rPr>
        <w:t>here was a higher proportion of PIE</w:t>
      </w:r>
      <w:r>
        <w:rPr>
          <w:rFonts w:ascii="Calibri" w:hAnsi="Calibri" w:cs="Calibri"/>
          <w:sz w:val="22"/>
          <w:szCs w:val="22"/>
        </w:rPr>
        <w:t>s</w:t>
      </w:r>
      <w:r w:rsidRPr="00C17A89">
        <w:rPr>
          <w:rFonts w:ascii="Calibri" w:hAnsi="Calibri" w:cs="Calibri"/>
          <w:sz w:val="22"/>
          <w:szCs w:val="22"/>
        </w:rPr>
        <w:t xml:space="preserve"> in the non-financial sector that had not </w:t>
      </w:r>
      <w:r>
        <w:rPr>
          <w:rFonts w:ascii="Calibri" w:hAnsi="Calibri" w:cs="Calibri"/>
          <w:sz w:val="22"/>
          <w:szCs w:val="22"/>
        </w:rPr>
        <w:t>made financial and non-financial</w:t>
      </w:r>
      <w:r w:rsidRPr="00C17A89">
        <w:rPr>
          <w:rFonts w:ascii="Calibri" w:hAnsi="Calibri" w:cs="Calibri"/>
          <w:sz w:val="22"/>
          <w:szCs w:val="22"/>
        </w:rPr>
        <w:t xml:space="preserve"> </w:t>
      </w:r>
      <w:r>
        <w:rPr>
          <w:rFonts w:ascii="Calibri" w:hAnsi="Calibri" w:cs="Calibri"/>
          <w:sz w:val="22"/>
          <w:szCs w:val="22"/>
        </w:rPr>
        <w:t xml:space="preserve">disclosures.  </w:t>
      </w:r>
      <w:r w:rsidRPr="00A35C18">
        <w:rPr>
          <w:rFonts w:ascii="Calibri" w:hAnsi="Calibri" w:cs="Calibri"/>
          <w:sz w:val="22"/>
          <w:szCs w:val="22"/>
        </w:rPr>
        <w:t>The key findings by financial and non-financial sectors are as follows:</w:t>
      </w:r>
    </w:p>
    <w:p w14:paraId="1981B443" w14:textId="77777777" w:rsidR="00C63954" w:rsidRPr="00A35C18" w:rsidRDefault="00C63954" w:rsidP="00C63954">
      <w:pPr>
        <w:tabs>
          <w:tab w:val="left" w:pos="567"/>
          <w:tab w:val="left" w:pos="1350"/>
          <w:tab w:val="left" w:pos="1440"/>
        </w:tabs>
        <w:spacing w:after="0" w:line="240" w:lineRule="auto"/>
        <w:ind w:right="-291"/>
        <w:contextualSpacing/>
        <w:jc w:val="both"/>
        <w:rPr>
          <w:rFonts w:ascii="Calibri" w:hAnsi="Calibri" w:cs="Calibri"/>
          <w:sz w:val="22"/>
          <w:szCs w:val="22"/>
        </w:rPr>
      </w:pPr>
    </w:p>
    <w:tbl>
      <w:tblPr>
        <w:tblStyle w:val="TableGrid"/>
        <w:tblW w:w="9360" w:type="dxa"/>
        <w:tblInd w:w="-5" w:type="dxa"/>
        <w:tblLook w:val="04A0" w:firstRow="1" w:lastRow="0" w:firstColumn="1" w:lastColumn="0" w:noHBand="0" w:noVBand="1"/>
      </w:tblPr>
      <w:tblGrid>
        <w:gridCol w:w="2290"/>
        <w:gridCol w:w="4536"/>
        <w:gridCol w:w="2534"/>
      </w:tblGrid>
      <w:tr w:rsidR="00C63954" w:rsidRPr="00A35C18" w14:paraId="09A546A4" w14:textId="77777777" w:rsidTr="00AF376B">
        <w:tc>
          <w:tcPr>
            <w:tcW w:w="2290" w:type="dxa"/>
            <w:shd w:val="clear" w:color="auto" w:fill="E8E8E8" w:themeFill="background2"/>
          </w:tcPr>
          <w:p w14:paraId="1FED2B69" w14:textId="77777777" w:rsidR="00C63954" w:rsidRPr="00A35C18" w:rsidRDefault="00C63954" w:rsidP="00AF376B">
            <w:pPr>
              <w:tabs>
                <w:tab w:val="left" w:pos="567"/>
                <w:tab w:val="left" w:pos="1350"/>
                <w:tab w:val="left" w:pos="1440"/>
              </w:tabs>
              <w:ind w:right="115"/>
              <w:contextualSpacing/>
              <w:jc w:val="both"/>
              <w:rPr>
                <w:rFonts w:ascii="Calibri" w:hAnsi="Calibri" w:cs="Calibri"/>
                <w:b/>
                <w:bCs/>
                <w:sz w:val="22"/>
                <w:szCs w:val="22"/>
              </w:rPr>
            </w:pPr>
            <w:r w:rsidRPr="00A35C18">
              <w:rPr>
                <w:rFonts w:ascii="Calibri" w:hAnsi="Calibri" w:cs="Calibri"/>
                <w:b/>
                <w:bCs/>
                <w:sz w:val="22"/>
                <w:szCs w:val="22"/>
              </w:rPr>
              <w:t>Area</w:t>
            </w:r>
            <w:r>
              <w:rPr>
                <w:rFonts w:ascii="Calibri" w:hAnsi="Calibri" w:cs="Calibri"/>
                <w:b/>
                <w:bCs/>
                <w:sz w:val="22"/>
                <w:szCs w:val="22"/>
              </w:rPr>
              <w:t>s</w:t>
            </w:r>
            <w:r w:rsidRPr="00A35C18">
              <w:rPr>
                <w:rFonts w:ascii="Calibri" w:hAnsi="Calibri" w:cs="Calibri"/>
                <w:b/>
                <w:bCs/>
                <w:sz w:val="22"/>
                <w:szCs w:val="22"/>
              </w:rPr>
              <w:t xml:space="preserve"> of observation</w:t>
            </w:r>
            <w:r>
              <w:rPr>
                <w:rFonts w:ascii="Calibri" w:hAnsi="Calibri" w:cs="Calibri"/>
                <w:b/>
                <w:bCs/>
                <w:sz w:val="22"/>
                <w:szCs w:val="22"/>
              </w:rPr>
              <w:t>s</w:t>
            </w:r>
          </w:p>
        </w:tc>
        <w:tc>
          <w:tcPr>
            <w:tcW w:w="4536" w:type="dxa"/>
            <w:shd w:val="clear" w:color="auto" w:fill="E8E8E8" w:themeFill="background2"/>
          </w:tcPr>
          <w:p w14:paraId="68A7100B" w14:textId="77777777" w:rsidR="00C63954" w:rsidRPr="00A35C18" w:rsidRDefault="00C63954" w:rsidP="00AF376B">
            <w:pPr>
              <w:tabs>
                <w:tab w:val="left" w:pos="567"/>
                <w:tab w:val="left" w:pos="1350"/>
                <w:tab w:val="left" w:pos="1440"/>
              </w:tabs>
              <w:ind w:right="-291"/>
              <w:contextualSpacing/>
              <w:jc w:val="both"/>
              <w:rPr>
                <w:rFonts w:ascii="Calibri" w:hAnsi="Calibri" w:cs="Calibri"/>
                <w:b/>
                <w:bCs/>
                <w:sz w:val="22"/>
                <w:szCs w:val="22"/>
              </w:rPr>
            </w:pPr>
            <w:r w:rsidRPr="00A35C18">
              <w:rPr>
                <w:rFonts w:ascii="Calibri" w:hAnsi="Calibri" w:cs="Calibri"/>
                <w:b/>
                <w:bCs/>
                <w:sz w:val="22"/>
                <w:szCs w:val="22"/>
              </w:rPr>
              <w:t>Details of observations</w:t>
            </w:r>
          </w:p>
        </w:tc>
        <w:tc>
          <w:tcPr>
            <w:tcW w:w="2534" w:type="dxa"/>
            <w:shd w:val="clear" w:color="auto" w:fill="E8E8E8" w:themeFill="background2"/>
          </w:tcPr>
          <w:p w14:paraId="6C1F58F9" w14:textId="77777777" w:rsidR="00C63954" w:rsidRPr="00A35C18" w:rsidRDefault="00C63954" w:rsidP="00AF376B">
            <w:pPr>
              <w:tabs>
                <w:tab w:val="left" w:pos="567"/>
                <w:tab w:val="left" w:pos="1350"/>
                <w:tab w:val="left" w:pos="1440"/>
              </w:tabs>
              <w:ind w:right="-54"/>
              <w:contextualSpacing/>
              <w:jc w:val="both"/>
              <w:rPr>
                <w:rFonts w:ascii="Calibri" w:hAnsi="Calibri" w:cs="Calibri"/>
                <w:b/>
                <w:bCs/>
                <w:sz w:val="22"/>
                <w:szCs w:val="22"/>
              </w:rPr>
            </w:pPr>
            <w:r w:rsidRPr="00A35C18">
              <w:rPr>
                <w:rFonts w:ascii="Calibri" w:hAnsi="Calibri" w:cs="Calibri"/>
                <w:b/>
                <w:bCs/>
                <w:sz w:val="22"/>
                <w:szCs w:val="22"/>
              </w:rPr>
              <w:t>Conclusion</w:t>
            </w:r>
          </w:p>
        </w:tc>
      </w:tr>
      <w:tr w:rsidR="00C63954" w:rsidRPr="00A35C18" w14:paraId="50E93384" w14:textId="77777777" w:rsidTr="00AF376B">
        <w:trPr>
          <w:trHeight w:val="455"/>
        </w:trPr>
        <w:tc>
          <w:tcPr>
            <w:tcW w:w="9360" w:type="dxa"/>
            <w:gridSpan w:val="3"/>
          </w:tcPr>
          <w:p w14:paraId="2493B08F" w14:textId="77777777" w:rsidR="00C63954" w:rsidRPr="00A35C18" w:rsidRDefault="00C63954" w:rsidP="00AF376B">
            <w:pPr>
              <w:contextualSpacing/>
              <w:jc w:val="both"/>
              <w:rPr>
                <w:rFonts w:ascii="Calibri" w:hAnsi="Calibri" w:cs="Calibri"/>
                <w:b/>
                <w:bCs/>
                <w:sz w:val="22"/>
                <w:szCs w:val="22"/>
              </w:rPr>
            </w:pPr>
            <w:r w:rsidRPr="00A35C18">
              <w:rPr>
                <w:rFonts w:ascii="Calibri" w:hAnsi="Calibri" w:cs="Calibri"/>
                <w:b/>
                <w:bCs/>
                <w:sz w:val="22"/>
                <w:szCs w:val="22"/>
              </w:rPr>
              <w:t>Financial risks</w:t>
            </w:r>
          </w:p>
        </w:tc>
      </w:tr>
      <w:tr w:rsidR="00C63954" w:rsidRPr="005F4569" w14:paraId="7DCB965B" w14:textId="77777777" w:rsidTr="00AF376B">
        <w:tc>
          <w:tcPr>
            <w:tcW w:w="2290" w:type="dxa"/>
          </w:tcPr>
          <w:p w14:paraId="1D6A396E" w14:textId="77777777" w:rsidR="00C63954" w:rsidRPr="005F4569" w:rsidRDefault="00C63954" w:rsidP="00AF376B">
            <w:pPr>
              <w:contextualSpacing/>
              <w:jc w:val="both"/>
              <w:rPr>
                <w:rFonts w:ascii="Calibri" w:hAnsi="Calibri" w:cs="Calibri"/>
                <w:sz w:val="22"/>
                <w:szCs w:val="22"/>
              </w:rPr>
            </w:pPr>
            <w:r w:rsidRPr="005F4569">
              <w:rPr>
                <w:rFonts w:ascii="Calibri" w:hAnsi="Calibri" w:cs="Calibri"/>
                <w:sz w:val="22"/>
                <w:szCs w:val="22"/>
              </w:rPr>
              <w:t>Liquidity risk</w:t>
            </w:r>
            <w:r>
              <w:rPr>
                <w:rFonts w:ascii="Calibri" w:hAnsi="Calibri" w:cs="Calibri"/>
                <w:sz w:val="22"/>
                <w:szCs w:val="22"/>
              </w:rPr>
              <w:t xml:space="preserve"> (mandatory disclosures as per IFRS 7)</w:t>
            </w:r>
          </w:p>
        </w:tc>
        <w:tc>
          <w:tcPr>
            <w:tcW w:w="4536" w:type="dxa"/>
          </w:tcPr>
          <w:p w14:paraId="0F29E8B6" w14:textId="77777777" w:rsidR="00C63954" w:rsidRPr="005F4569" w:rsidRDefault="00C63954" w:rsidP="00AF376B">
            <w:pPr>
              <w:contextualSpacing/>
              <w:jc w:val="both"/>
              <w:rPr>
                <w:rFonts w:ascii="Calibri" w:hAnsi="Calibri" w:cs="Calibri"/>
                <w:sz w:val="22"/>
                <w:szCs w:val="22"/>
              </w:rPr>
            </w:pPr>
            <w:r>
              <w:rPr>
                <w:rFonts w:ascii="Calibri" w:hAnsi="Calibri" w:cs="Calibri"/>
                <w:sz w:val="22"/>
                <w:szCs w:val="22"/>
              </w:rPr>
              <w:t xml:space="preserve">Of the 39 PIEs, </w:t>
            </w:r>
            <w:r w:rsidRPr="005F4569">
              <w:rPr>
                <w:rFonts w:ascii="Calibri" w:hAnsi="Calibri" w:cs="Calibri"/>
                <w:sz w:val="22"/>
                <w:szCs w:val="22"/>
              </w:rPr>
              <w:t>(</w:t>
            </w:r>
            <w:r>
              <w:rPr>
                <w:rFonts w:ascii="Calibri" w:hAnsi="Calibri" w:cs="Calibri"/>
                <w:sz w:val="22"/>
                <w:szCs w:val="22"/>
              </w:rPr>
              <w:t>28%</w:t>
            </w:r>
            <w:r w:rsidRPr="005F4569">
              <w:rPr>
                <w:rFonts w:ascii="Calibri" w:hAnsi="Calibri" w:cs="Calibri"/>
                <w:sz w:val="22"/>
                <w:szCs w:val="22"/>
              </w:rPr>
              <w:t xml:space="preserve"> BIF and </w:t>
            </w:r>
            <w:r>
              <w:rPr>
                <w:rFonts w:ascii="Calibri" w:hAnsi="Calibri" w:cs="Calibri"/>
                <w:sz w:val="22"/>
                <w:szCs w:val="22"/>
              </w:rPr>
              <w:t>72%</w:t>
            </w:r>
            <w:r w:rsidRPr="005F4569">
              <w:rPr>
                <w:rFonts w:ascii="Calibri" w:hAnsi="Calibri" w:cs="Calibri"/>
                <w:sz w:val="22"/>
                <w:szCs w:val="22"/>
              </w:rPr>
              <w:t xml:space="preserve"> Non-BIF) had not made disclosure on the management of liquidity risk if the out</w:t>
            </w:r>
            <w:r>
              <w:rPr>
                <w:rFonts w:ascii="Calibri" w:hAnsi="Calibri" w:cs="Calibri"/>
                <w:sz w:val="22"/>
                <w:szCs w:val="22"/>
              </w:rPr>
              <w:t xml:space="preserve"> </w:t>
            </w:r>
            <w:r w:rsidRPr="005F4569">
              <w:rPr>
                <w:rFonts w:ascii="Calibri" w:hAnsi="Calibri" w:cs="Calibri"/>
                <w:sz w:val="22"/>
                <w:szCs w:val="22"/>
              </w:rPr>
              <w:t>flow of cash could occur significantly earlier than indicated in the data and if the cash outflow could be for a significantly different amount than that indicated in the maturity table. The reasons for the non-disclosure were unknown.</w:t>
            </w:r>
          </w:p>
          <w:p w14:paraId="55D146FD" w14:textId="77777777" w:rsidR="00C63954" w:rsidRPr="005F4569" w:rsidRDefault="00C63954" w:rsidP="00AF376B">
            <w:pPr>
              <w:ind w:left="1800"/>
              <w:contextualSpacing/>
              <w:jc w:val="both"/>
              <w:rPr>
                <w:rFonts w:ascii="Calibri" w:hAnsi="Calibri" w:cs="Calibri"/>
                <w:sz w:val="22"/>
                <w:szCs w:val="22"/>
              </w:rPr>
            </w:pPr>
          </w:p>
          <w:p w14:paraId="589D2C94" w14:textId="77777777" w:rsidR="00C63954" w:rsidRPr="005F4569" w:rsidRDefault="00C63954" w:rsidP="00AF376B">
            <w:pPr>
              <w:contextualSpacing/>
              <w:jc w:val="both"/>
              <w:rPr>
                <w:rFonts w:ascii="Calibri" w:hAnsi="Calibri" w:cs="Calibri"/>
                <w:sz w:val="22"/>
                <w:szCs w:val="22"/>
              </w:rPr>
            </w:pPr>
            <w:r w:rsidRPr="005F4569">
              <w:rPr>
                <w:rFonts w:ascii="Calibri" w:hAnsi="Calibri" w:cs="Calibri"/>
                <w:sz w:val="22"/>
                <w:szCs w:val="22"/>
              </w:rPr>
              <w:t>34 PIEs (</w:t>
            </w:r>
            <w:r>
              <w:rPr>
                <w:rFonts w:ascii="Calibri" w:hAnsi="Calibri" w:cs="Calibri"/>
                <w:sz w:val="22"/>
                <w:szCs w:val="22"/>
              </w:rPr>
              <w:t>21%</w:t>
            </w:r>
            <w:r w:rsidRPr="005F4569">
              <w:rPr>
                <w:rFonts w:ascii="Calibri" w:hAnsi="Calibri" w:cs="Calibri"/>
                <w:sz w:val="22"/>
                <w:szCs w:val="22"/>
              </w:rPr>
              <w:t xml:space="preserve"> BIF and </w:t>
            </w:r>
            <w:r>
              <w:rPr>
                <w:rFonts w:ascii="Calibri" w:hAnsi="Calibri" w:cs="Calibri"/>
                <w:sz w:val="22"/>
                <w:szCs w:val="22"/>
              </w:rPr>
              <w:t>79%</w:t>
            </w:r>
            <w:r w:rsidRPr="005F4569">
              <w:rPr>
                <w:rFonts w:ascii="Calibri" w:hAnsi="Calibri" w:cs="Calibri"/>
                <w:sz w:val="22"/>
                <w:szCs w:val="22"/>
              </w:rPr>
              <w:t xml:space="preserve"> Non-BIF) had not provided disclosures with respect to maturity analyses of financial assets they hold for managing liquidity risk. The reasons for the non-disclosure under this requirement were not known.</w:t>
            </w:r>
          </w:p>
          <w:p w14:paraId="20C40D59" w14:textId="77777777" w:rsidR="00C63954" w:rsidRPr="005F4569" w:rsidRDefault="00C63954" w:rsidP="00AF376B">
            <w:pPr>
              <w:tabs>
                <w:tab w:val="left" w:pos="567"/>
                <w:tab w:val="left" w:pos="1350"/>
                <w:tab w:val="left" w:pos="1440"/>
              </w:tabs>
              <w:ind w:right="25"/>
              <w:contextualSpacing/>
              <w:jc w:val="both"/>
              <w:rPr>
                <w:rFonts w:ascii="Calibri" w:hAnsi="Calibri" w:cs="Calibri"/>
                <w:sz w:val="22"/>
                <w:szCs w:val="22"/>
              </w:rPr>
            </w:pPr>
          </w:p>
        </w:tc>
        <w:tc>
          <w:tcPr>
            <w:tcW w:w="2534" w:type="dxa"/>
          </w:tcPr>
          <w:p w14:paraId="1C40D22C" w14:textId="77777777" w:rsidR="00C63954" w:rsidRPr="005F4569" w:rsidRDefault="00C63954" w:rsidP="00AF376B">
            <w:pPr>
              <w:tabs>
                <w:tab w:val="left" w:pos="567"/>
                <w:tab w:val="left" w:pos="1350"/>
                <w:tab w:val="left" w:pos="1440"/>
              </w:tabs>
              <w:ind w:right="-54"/>
              <w:contextualSpacing/>
              <w:jc w:val="both"/>
              <w:rPr>
                <w:rFonts w:ascii="Calibri" w:hAnsi="Calibri" w:cs="Calibri"/>
                <w:sz w:val="22"/>
                <w:szCs w:val="22"/>
                <w:lang w:val="en-US"/>
              </w:rPr>
            </w:pPr>
            <w:r w:rsidRPr="005F4569">
              <w:rPr>
                <w:rFonts w:ascii="Calibri" w:hAnsi="Calibri" w:cs="Calibri"/>
                <w:sz w:val="22"/>
                <w:szCs w:val="22"/>
                <w:lang w:val="en-US"/>
              </w:rPr>
              <w:t xml:space="preserve">There is scope for improvement </w:t>
            </w:r>
            <w:r>
              <w:rPr>
                <w:rFonts w:ascii="Calibri" w:hAnsi="Calibri" w:cs="Calibri"/>
                <w:sz w:val="22"/>
                <w:szCs w:val="22"/>
                <w:lang w:val="en-US"/>
              </w:rPr>
              <w:t>in financial risk disclosures in this area.</w:t>
            </w:r>
          </w:p>
        </w:tc>
      </w:tr>
      <w:tr w:rsidR="00C63954" w:rsidRPr="00A35C18" w14:paraId="2BB99985" w14:textId="77777777" w:rsidTr="00AF376B">
        <w:tc>
          <w:tcPr>
            <w:tcW w:w="2290" w:type="dxa"/>
          </w:tcPr>
          <w:p w14:paraId="06541FFE"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Financial risks under IAS 7</w:t>
            </w:r>
            <w:r>
              <w:rPr>
                <w:rFonts w:ascii="Calibri" w:hAnsi="Calibri" w:cs="Calibri"/>
                <w:sz w:val="22"/>
                <w:szCs w:val="22"/>
              </w:rPr>
              <w:t xml:space="preserve"> (voluntary disclosures)</w:t>
            </w:r>
          </w:p>
        </w:tc>
        <w:tc>
          <w:tcPr>
            <w:tcW w:w="4536" w:type="dxa"/>
          </w:tcPr>
          <w:p w14:paraId="645BFB5C" w14:textId="77777777" w:rsidR="00C63954" w:rsidRDefault="00C63954" w:rsidP="00AF376B">
            <w:pPr>
              <w:tabs>
                <w:tab w:val="left" w:pos="567"/>
                <w:tab w:val="left" w:pos="1350"/>
                <w:tab w:val="left" w:pos="1440"/>
              </w:tabs>
              <w:ind w:right="25"/>
              <w:jc w:val="both"/>
              <w:rPr>
                <w:rFonts w:ascii="Calibri" w:hAnsi="Calibri" w:cs="Calibri"/>
                <w:sz w:val="22"/>
                <w:szCs w:val="22"/>
              </w:rPr>
            </w:pPr>
            <w:r w:rsidRPr="004A23DF">
              <w:rPr>
                <w:rFonts w:ascii="Calibri" w:hAnsi="Calibri" w:cs="Calibri"/>
                <w:sz w:val="22"/>
                <w:szCs w:val="22"/>
              </w:rPr>
              <w:t>22 PIEs (</w:t>
            </w:r>
            <w:r>
              <w:rPr>
                <w:rFonts w:ascii="Calibri" w:hAnsi="Calibri" w:cs="Calibri"/>
                <w:sz w:val="22"/>
                <w:szCs w:val="22"/>
              </w:rPr>
              <w:t>9%</w:t>
            </w:r>
            <w:r w:rsidRPr="004A23DF">
              <w:rPr>
                <w:rFonts w:ascii="Calibri" w:hAnsi="Calibri" w:cs="Calibri"/>
                <w:sz w:val="22"/>
                <w:szCs w:val="22"/>
              </w:rPr>
              <w:t xml:space="preserve"> BIF and </w:t>
            </w:r>
            <w:r>
              <w:rPr>
                <w:rFonts w:ascii="Calibri" w:hAnsi="Calibri" w:cs="Calibri"/>
                <w:sz w:val="22"/>
                <w:szCs w:val="22"/>
              </w:rPr>
              <w:t>91%</w:t>
            </w:r>
            <w:r w:rsidRPr="004A23DF">
              <w:rPr>
                <w:rFonts w:ascii="Calibri" w:hAnsi="Calibri" w:cs="Calibri"/>
                <w:sz w:val="22"/>
                <w:szCs w:val="22"/>
              </w:rPr>
              <w:t xml:space="preserve"> Non-BIF) had not disclosed the amount of undrawn borrowing facilities.</w:t>
            </w:r>
          </w:p>
          <w:p w14:paraId="37C6D915" w14:textId="77777777" w:rsidR="00C63954" w:rsidRPr="004A23DF" w:rsidRDefault="00C63954" w:rsidP="00AF376B">
            <w:pPr>
              <w:tabs>
                <w:tab w:val="left" w:pos="567"/>
                <w:tab w:val="left" w:pos="1350"/>
                <w:tab w:val="left" w:pos="1440"/>
              </w:tabs>
              <w:ind w:right="25"/>
              <w:jc w:val="both"/>
              <w:rPr>
                <w:rFonts w:ascii="Calibri" w:hAnsi="Calibri" w:cs="Calibri"/>
                <w:sz w:val="22"/>
                <w:szCs w:val="22"/>
              </w:rPr>
            </w:pPr>
          </w:p>
          <w:p w14:paraId="6282BA3E" w14:textId="77777777" w:rsidR="00C63954" w:rsidRPr="004A23DF" w:rsidRDefault="00C63954" w:rsidP="00AF376B">
            <w:pPr>
              <w:tabs>
                <w:tab w:val="left" w:pos="567"/>
                <w:tab w:val="left" w:pos="1350"/>
                <w:tab w:val="left" w:pos="1440"/>
              </w:tabs>
              <w:ind w:right="25"/>
              <w:jc w:val="both"/>
              <w:rPr>
                <w:rFonts w:ascii="Calibri" w:hAnsi="Calibri" w:cs="Calibri"/>
                <w:sz w:val="22"/>
                <w:szCs w:val="22"/>
                <w:highlight w:val="yellow"/>
              </w:rPr>
            </w:pPr>
            <w:r w:rsidRPr="004A23DF">
              <w:rPr>
                <w:rFonts w:ascii="Calibri" w:hAnsi="Calibri" w:cs="Calibri"/>
                <w:sz w:val="22"/>
                <w:szCs w:val="22"/>
              </w:rPr>
              <w:t xml:space="preserve">37 </w:t>
            </w:r>
            <w:r w:rsidRPr="001A22DD">
              <w:rPr>
                <w:rFonts w:ascii="Calibri" w:hAnsi="Calibri" w:cs="Calibri"/>
                <w:sz w:val="22"/>
                <w:szCs w:val="22"/>
              </w:rPr>
              <w:t xml:space="preserve">PIEs </w:t>
            </w:r>
            <w:r w:rsidRPr="004A23DF">
              <w:rPr>
                <w:rFonts w:ascii="Calibri" w:hAnsi="Calibri" w:cs="Calibri"/>
                <w:sz w:val="22"/>
                <w:szCs w:val="22"/>
              </w:rPr>
              <w:t>(</w:t>
            </w:r>
            <w:r>
              <w:rPr>
                <w:rFonts w:ascii="Calibri" w:hAnsi="Calibri" w:cs="Calibri"/>
                <w:sz w:val="22"/>
                <w:szCs w:val="22"/>
              </w:rPr>
              <w:t>27%</w:t>
            </w:r>
            <w:r w:rsidRPr="004A23DF">
              <w:rPr>
                <w:rFonts w:ascii="Calibri" w:hAnsi="Calibri" w:cs="Calibri"/>
                <w:sz w:val="22"/>
                <w:szCs w:val="22"/>
              </w:rPr>
              <w:t xml:space="preserve"> BIF and </w:t>
            </w:r>
            <w:r>
              <w:rPr>
                <w:rFonts w:ascii="Calibri" w:hAnsi="Calibri" w:cs="Calibri"/>
                <w:sz w:val="22"/>
                <w:szCs w:val="22"/>
              </w:rPr>
              <w:t>73%</w:t>
            </w:r>
            <w:r w:rsidRPr="004A23DF">
              <w:rPr>
                <w:rFonts w:ascii="Calibri" w:hAnsi="Calibri" w:cs="Calibri"/>
                <w:sz w:val="22"/>
                <w:szCs w:val="22"/>
              </w:rPr>
              <w:t xml:space="preserve"> Non-BIF) had not provided disclosures with respect to the </w:t>
            </w:r>
            <w:r w:rsidRPr="004A23DF">
              <w:rPr>
                <w:rFonts w:ascii="Calibri" w:hAnsi="Calibri" w:cs="Calibri"/>
                <w:sz w:val="22"/>
                <w:szCs w:val="22"/>
              </w:rPr>
              <w:lastRenderedPageBreak/>
              <w:t xml:space="preserve">aggregate amount of cash flows that represent increases in operating capacity separately from those cash flows that are required to maintain operating capacity. </w:t>
            </w:r>
          </w:p>
          <w:p w14:paraId="4C2FBE87" w14:textId="77777777" w:rsidR="00C63954" w:rsidRPr="004A23DF" w:rsidRDefault="00C63954" w:rsidP="00AF376B">
            <w:pPr>
              <w:tabs>
                <w:tab w:val="left" w:pos="567"/>
                <w:tab w:val="left" w:pos="1350"/>
                <w:tab w:val="left" w:pos="1440"/>
              </w:tabs>
              <w:ind w:right="25"/>
              <w:jc w:val="both"/>
              <w:rPr>
                <w:rFonts w:ascii="Calibri" w:hAnsi="Calibri" w:cs="Calibri"/>
                <w:sz w:val="22"/>
                <w:szCs w:val="22"/>
              </w:rPr>
            </w:pPr>
          </w:p>
          <w:p w14:paraId="5EAD315C" w14:textId="77777777" w:rsidR="00C63954" w:rsidRPr="00C22382" w:rsidRDefault="00C63954" w:rsidP="00AF376B">
            <w:pPr>
              <w:contextualSpacing/>
              <w:jc w:val="both"/>
              <w:rPr>
                <w:rFonts w:ascii="Calibri" w:hAnsi="Calibri" w:cs="Calibri"/>
                <w:sz w:val="22"/>
                <w:szCs w:val="22"/>
              </w:rPr>
            </w:pPr>
            <w:r w:rsidRPr="004A23DF">
              <w:rPr>
                <w:rFonts w:ascii="Calibri" w:hAnsi="Calibri" w:cs="Calibri"/>
                <w:sz w:val="22"/>
                <w:szCs w:val="22"/>
              </w:rPr>
              <w:t>18 PIEs (</w:t>
            </w:r>
            <w:r>
              <w:rPr>
                <w:rFonts w:ascii="Calibri" w:hAnsi="Calibri" w:cs="Calibri"/>
                <w:sz w:val="22"/>
                <w:szCs w:val="22"/>
              </w:rPr>
              <w:t>33%</w:t>
            </w:r>
            <w:r w:rsidRPr="004A23DF">
              <w:rPr>
                <w:rFonts w:ascii="Calibri" w:hAnsi="Calibri" w:cs="Calibri"/>
                <w:sz w:val="22"/>
                <w:szCs w:val="22"/>
              </w:rPr>
              <w:t xml:space="preserve"> BIF and </w:t>
            </w:r>
            <w:r>
              <w:rPr>
                <w:rFonts w:ascii="Calibri" w:hAnsi="Calibri" w:cs="Calibri"/>
                <w:sz w:val="22"/>
                <w:szCs w:val="22"/>
              </w:rPr>
              <w:t>67%</w:t>
            </w:r>
            <w:r w:rsidRPr="004A23DF">
              <w:rPr>
                <w:rFonts w:ascii="Calibri" w:hAnsi="Calibri" w:cs="Calibri"/>
                <w:sz w:val="22"/>
                <w:szCs w:val="22"/>
              </w:rPr>
              <w:t xml:space="preserve"> Non-BIF) had not disclosed the amount of the cash flows arising from the operating, investing and financing activities of each reportable segment for unknown reasons.</w:t>
            </w:r>
          </w:p>
        </w:tc>
        <w:tc>
          <w:tcPr>
            <w:tcW w:w="2534" w:type="dxa"/>
          </w:tcPr>
          <w:p w14:paraId="354B7AFA"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r w:rsidRPr="004A23DF">
              <w:rPr>
                <w:rFonts w:ascii="Calibri" w:hAnsi="Calibri" w:cs="Calibri"/>
                <w:sz w:val="22"/>
                <w:szCs w:val="22"/>
                <w:lang w:val="en-US"/>
              </w:rPr>
              <w:lastRenderedPageBreak/>
              <w:t xml:space="preserve">PIEs are encouraged to </w:t>
            </w:r>
            <w:r>
              <w:rPr>
                <w:rFonts w:ascii="Calibri" w:hAnsi="Calibri" w:cs="Calibri"/>
                <w:sz w:val="22"/>
                <w:szCs w:val="22"/>
                <w:lang w:val="en-US"/>
              </w:rPr>
              <w:t>include</w:t>
            </w:r>
            <w:r w:rsidRPr="004A23DF">
              <w:rPr>
                <w:rFonts w:ascii="Calibri" w:hAnsi="Calibri" w:cs="Calibri"/>
                <w:sz w:val="22"/>
                <w:szCs w:val="22"/>
                <w:lang w:val="en-US"/>
              </w:rPr>
              <w:t xml:space="preserve"> </w:t>
            </w:r>
            <w:r>
              <w:rPr>
                <w:rFonts w:ascii="Calibri" w:hAnsi="Calibri" w:cs="Calibri"/>
                <w:sz w:val="22"/>
                <w:szCs w:val="22"/>
                <w:lang w:val="en-US"/>
              </w:rPr>
              <w:t>these voluntary financial risk disclosures</w:t>
            </w:r>
            <w:r w:rsidRPr="004A23DF">
              <w:rPr>
                <w:rFonts w:ascii="Calibri" w:hAnsi="Calibri" w:cs="Calibri"/>
                <w:sz w:val="22"/>
                <w:szCs w:val="22"/>
                <w:lang w:val="en-US"/>
              </w:rPr>
              <w:t xml:space="preserve"> in their next annual reports.</w:t>
            </w:r>
          </w:p>
        </w:tc>
      </w:tr>
      <w:tr w:rsidR="00C63954" w:rsidRPr="00A35C18" w14:paraId="533491E7" w14:textId="77777777" w:rsidTr="00AF376B">
        <w:trPr>
          <w:trHeight w:val="444"/>
        </w:trPr>
        <w:tc>
          <w:tcPr>
            <w:tcW w:w="9360" w:type="dxa"/>
            <w:gridSpan w:val="3"/>
          </w:tcPr>
          <w:p w14:paraId="0A434ED9"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r w:rsidRPr="00A35C18">
              <w:rPr>
                <w:rFonts w:ascii="Calibri" w:hAnsi="Calibri" w:cs="Calibri"/>
                <w:b/>
                <w:bCs/>
                <w:sz w:val="22"/>
                <w:szCs w:val="22"/>
                <w:lang w:val="en-US"/>
              </w:rPr>
              <w:t>Non-financial risks</w:t>
            </w:r>
          </w:p>
        </w:tc>
      </w:tr>
      <w:tr w:rsidR="00C63954" w:rsidRPr="00A35C18" w14:paraId="596443A6" w14:textId="77777777" w:rsidTr="00AF376B">
        <w:trPr>
          <w:trHeight w:val="444"/>
        </w:trPr>
        <w:tc>
          <w:tcPr>
            <w:tcW w:w="2290" w:type="dxa"/>
          </w:tcPr>
          <w:p w14:paraId="22CE382A" w14:textId="77777777" w:rsidR="00C63954" w:rsidRPr="00A35C18" w:rsidRDefault="00C63954" w:rsidP="00AF376B">
            <w:pPr>
              <w:contextualSpacing/>
              <w:jc w:val="both"/>
              <w:rPr>
                <w:rFonts w:ascii="Calibri" w:hAnsi="Calibri" w:cs="Calibri"/>
                <w:sz w:val="22"/>
                <w:szCs w:val="22"/>
                <w:lang w:val="en-US"/>
              </w:rPr>
            </w:pPr>
            <w:r w:rsidRPr="00A35C18">
              <w:rPr>
                <w:rFonts w:ascii="Calibri" w:hAnsi="Calibri" w:cs="Calibri"/>
                <w:sz w:val="22"/>
                <w:szCs w:val="22"/>
                <w:lang w:val="en-US"/>
              </w:rPr>
              <w:t>Risk management procedures</w:t>
            </w:r>
            <w:r>
              <w:rPr>
                <w:rFonts w:ascii="Calibri" w:hAnsi="Calibri" w:cs="Calibri"/>
                <w:sz w:val="22"/>
                <w:szCs w:val="22"/>
                <w:lang w:val="en-US"/>
              </w:rPr>
              <w:t xml:space="preserve"> </w:t>
            </w:r>
            <w:r w:rsidRPr="00CF3175">
              <w:rPr>
                <w:rFonts w:ascii="Calibri" w:hAnsi="Calibri" w:cs="Calibri"/>
                <w:sz w:val="22"/>
                <w:szCs w:val="22"/>
                <w:lang w:val="en-US"/>
              </w:rPr>
              <w:t>(mandatory disclosures</w:t>
            </w:r>
            <w:r>
              <w:rPr>
                <w:rFonts w:ascii="Calibri" w:hAnsi="Calibri" w:cs="Calibri"/>
                <w:sz w:val="22"/>
                <w:szCs w:val="22"/>
                <w:lang w:val="en-US"/>
              </w:rPr>
              <w:t xml:space="preserve"> as per the Code of Corporate Governance</w:t>
            </w:r>
            <w:r w:rsidRPr="00CF3175">
              <w:rPr>
                <w:rFonts w:ascii="Calibri" w:hAnsi="Calibri" w:cs="Calibri"/>
                <w:sz w:val="22"/>
                <w:szCs w:val="22"/>
                <w:lang w:val="en-US"/>
              </w:rPr>
              <w:t>)</w:t>
            </w:r>
          </w:p>
        </w:tc>
        <w:tc>
          <w:tcPr>
            <w:tcW w:w="4536" w:type="dxa"/>
          </w:tcPr>
          <w:p w14:paraId="5C4D76A7" w14:textId="77777777" w:rsidR="00C63954" w:rsidRPr="00A35C18" w:rsidRDefault="00C63954" w:rsidP="00AF376B">
            <w:pPr>
              <w:contextualSpacing/>
              <w:jc w:val="both"/>
              <w:rPr>
                <w:rFonts w:ascii="Calibri" w:hAnsi="Calibri" w:cs="Calibri"/>
                <w:sz w:val="22"/>
                <w:szCs w:val="22"/>
                <w:lang w:val="en-US"/>
              </w:rPr>
            </w:pPr>
            <w:r w:rsidRPr="00F90050">
              <w:rPr>
                <w:rFonts w:ascii="Calibri" w:hAnsi="Calibri" w:cs="Calibri"/>
                <w:sz w:val="22"/>
                <w:szCs w:val="22"/>
                <w:lang w:val="en-US"/>
              </w:rPr>
              <w:t>24 PIEs (</w:t>
            </w:r>
            <w:r>
              <w:rPr>
                <w:rFonts w:ascii="Calibri" w:hAnsi="Calibri" w:cs="Calibri"/>
                <w:sz w:val="22"/>
                <w:szCs w:val="22"/>
                <w:lang w:val="en-US"/>
              </w:rPr>
              <w:t>42%</w:t>
            </w:r>
            <w:r w:rsidRPr="00F90050">
              <w:rPr>
                <w:rFonts w:ascii="Calibri" w:hAnsi="Calibri" w:cs="Calibri"/>
                <w:sz w:val="22"/>
                <w:szCs w:val="22"/>
                <w:lang w:val="en-US"/>
              </w:rPr>
              <w:t xml:space="preserve"> BIF and </w:t>
            </w:r>
            <w:r>
              <w:rPr>
                <w:rFonts w:ascii="Calibri" w:hAnsi="Calibri" w:cs="Calibri"/>
                <w:sz w:val="22"/>
                <w:szCs w:val="22"/>
                <w:lang w:val="en-US"/>
              </w:rPr>
              <w:t>58%</w:t>
            </w:r>
            <w:r w:rsidRPr="00F90050">
              <w:rPr>
                <w:rFonts w:ascii="Calibri" w:hAnsi="Calibri" w:cs="Calibri"/>
                <w:sz w:val="22"/>
                <w:szCs w:val="22"/>
                <w:lang w:val="en-US"/>
              </w:rPr>
              <w:t xml:space="preserve"> Non-BIF) both engaged in financial and non-financial sectors had made disclosures on risk management procedures. Out of the remaining 16 PIEs (</w:t>
            </w:r>
            <w:r>
              <w:rPr>
                <w:rFonts w:ascii="Calibri" w:hAnsi="Calibri" w:cs="Calibri"/>
                <w:sz w:val="22"/>
                <w:szCs w:val="22"/>
                <w:lang w:val="en-US"/>
              </w:rPr>
              <w:t>13%</w:t>
            </w:r>
            <w:r w:rsidRPr="00F90050">
              <w:rPr>
                <w:rFonts w:ascii="Calibri" w:hAnsi="Calibri" w:cs="Calibri"/>
                <w:sz w:val="22"/>
                <w:szCs w:val="22"/>
                <w:lang w:val="en-US"/>
              </w:rPr>
              <w:t xml:space="preserve"> BIF and </w:t>
            </w:r>
            <w:r>
              <w:rPr>
                <w:rFonts w:ascii="Calibri" w:hAnsi="Calibri" w:cs="Calibri"/>
                <w:sz w:val="22"/>
                <w:szCs w:val="22"/>
                <w:lang w:val="en-US"/>
              </w:rPr>
              <w:t>88%</w:t>
            </w:r>
            <w:r w:rsidRPr="00F90050">
              <w:rPr>
                <w:rFonts w:ascii="Calibri" w:hAnsi="Calibri" w:cs="Calibri"/>
                <w:sz w:val="22"/>
                <w:szCs w:val="22"/>
                <w:lang w:val="en-US"/>
              </w:rPr>
              <w:t xml:space="preserve"> Non-BIF) did not provide disclosures regarding same.</w:t>
            </w:r>
          </w:p>
        </w:tc>
        <w:tc>
          <w:tcPr>
            <w:tcW w:w="2534" w:type="dxa"/>
          </w:tcPr>
          <w:p w14:paraId="22CDC4E1"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r w:rsidRPr="00A35C18">
              <w:rPr>
                <w:rFonts w:ascii="Calibri" w:hAnsi="Calibri" w:cs="Calibri"/>
                <w:sz w:val="22"/>
                <w:szCs w:val="22"/>
                <w:lang w:val="en-US"/>
              </w:rPr>
              <w:t xml:space="preserve">There is scope for improvement in </w:t>
            </w:r>
            <w:r>
              <w:rPr>
                <w:rFonts w:ascii="Calibri" w:hAnsi="Calibri" w:cs="Calibri"/>
                <w:sz w:val="22"/>
                <w:szCs w:val="22"/>
                <w:lang w:val="en-US"/>
              </w:rPr>
              <w:t xml:space="preserve">non-financial </w:t>
            </w:r>
            <w:r w:rsidRPr="00A35C18">
              <w:rPr>
                <w:rFonts w:ascii="Calibri" w:hAnsi="Calibri" w:cs="Calibri"/>
                <w:sz w:val="22"/>
                <w:szCs w:val="22"/>
                <w:lang w:val="en-US"/>
              </w:rPr>
              <w:t xml:space="preserve">risk disclosures in </w:t>
            </w:r>
            <w:r>
              <w:rPr>
                <w:rFonts w:ascii="Calibri" w:hAnsi="Calibri" w:cs="Calibri"/>
                <w:sz w:val="22"/>
                <w:szCs w:val="22"/>
                <w:lang w:val="en-US"/>
              </w:rPr>
              <w:t>this area</w:t>
            </w:r>
            <w:r w:rsidRPr="00A35C18">
              <w:rPr>
                <w:rFonts w:ascii="Calibri" w:hAnsi="Calibri" w:cs="Calibri"/>
                <w:sz w:val="22"/>
                <w:szCs w:val="22"/>
                <w:lang w:val="en-US"/>
              </w:rPr>
              <w:t>.</w:t>
            </w:r>
          </w:p>
          <w:p w14:paraId="4B06A7E8"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2C221012" w14:textId="77777777" w:rsidTr="00AF376B">
        <w:trPr>
          <w:trHeight w:val="444"/>
        </w:trPr>
        <w:tc>
          <w:tcPr>
            <w:tcW w:w="2290" w:type="dxa"/>
          </w:tcPr>
          <w:p w14:paraId="7684255F" w14:textId="77777777" w:rsidR="00C63954" w:rsidRPr="00C26951" w:rsidRDefault="00C63954" w:rsidP="00AF376B">
            <w:pPr>
              <w:contextualSpacing/>
              <w:jc w:val="both"/>
              <w:rPr>
                <w:rFonts w:ascii="Calibri" w:hAnsi="Calibri" w:cs="Calibri"/>
                <w:sz w:val="22"/>
                <w:szCs w:val="22"/>
              </w:rPr>
            </w:pPr>
            <w:bookmarkStart w:id="2" w:name="_Hlk196745233"/>
            <w:r w:rsidRPr="00C26951">
              <w:rPr>
                <w:rFonts w:ascii="Calibri" w:hAnsi="Calibri" w:cs="Calibri"/>
                <w:sz w:val="22"/>
                <w:szCs w:val="22"/>
              </w:rPr>
              <w:t>Sources of non-financial risks (voluntary disclosures)</w:t>
            </w:r>
          </w:p>
        </w:tc>
        <w:tc>
          <w:tcPr>
            <w:tcW w:w="4536" w:type="dxa"/>
          </w:tcPr>
          <w:p w14:paraId="469AA732" w14:textId="77777777" w:rsidR="00C63954" w:rsidRPr="00C26951" w:rsidRDefault="00C63954" w:rsidP="00AF376B">
            <w:pPr>
              <w:tabs>
                <w:tab w:val="left" w:pos="567"/>
                <w:tab w:val="left" w:pos="1350"/>
                <w:tab w:val="left" w:pos="1440"/>
              </w:tabs>
              <w:ind w:right="25"/>
              <w:contextualSpacing/>
              <w:jc w:val="both"/>
              <w:rPr>
                <w:rFonts w:ascii="Calibri" w:hAnsi="Calibri" w:cs="Calibri"/>
                <w:sz w:val="22"/>
                <w:szCs w:val="22"/>
              </w:rPr>
            </w:pPr>
            <w:r w:rsidRPr="00C26951">
              <w:rPr>
                <w:rFonts w:ascii="Calibri" w:hAnsi="Calibri" w:cs="Calibri"/>
                <w:sz w:val="22"/>
                <w:szCs w:val="22"/>
              </w:rPr>
              <w:t>Except for 1 listed PIE in non-financial sector, 9</w:t>
            </w:r>
            <w:r>
              <w:rPr>
                <w:rFonts w:ascii="Calibri" w:hAnsi="Calibri" w:cs="Calibri"/>
                <w:sz w:val="22"/>
                <w:szCs w:val="22"/>
              </w:rPr>
              <w:t>7</w:t>
            </w:r>
            <w:r w:rsidRPr="00C26951">
              <w:rPr>
                <w:rFonts w:ascii="Calibri" w:hAnsi="Calibri" w:cs="Calibri"/>
                <w:sz w:val="22"/>
                <w:szCs w:val="22"/>
              </w:rPr>
              <w:t>% of the PIES engaged in the financial and non-financial sectors had not divided non-financial risks into internal and external factors.</w:t>
            </w:r>
          </w:p>
        </w:tc>
        <w:tc>
          <w:tcPr>
            <w:tcW w:w="2534" w:type="dxa"/>
            <w:vMerge w:val="restart"/>
          </w:tcPr>
          <w:p w14:paraId="360D0268"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r w:rsidRPr="004A23DF">
              <w:rPr>
                <w:rFonts w:ascii="Calibri" w:hAnsi="Calibri" w:cs="Calibri"/>
                <w:sz w:val="22"/>
                <w:szCs w:val="22"/>
                <w:lang w:val="en-US"/>
              </w:rPr>
              <w:t xml:space="preserve">PIEs are encouraged to disclose </w:t>
            </w:r>
            <w:r>
              <w:rPr>
                <w:rFonts w:ascii="Calibri" w:hAnsi="Calibri" w:cs="Calibri"/>
                <w:sz w:val="22"/>
                <w:szCs w:val="22"/>
                <w:lang w:val="en-US"/>
              </w:rPr>
              <w:t>these voluntary non-financial disclosures</w:t>
            </w:r>
            <w:r w:rsidRPr="004A23DF">
              <w:rPr>
                <w:rFonts w:ascii="Calibri" w:hAnsi="Calibri" w:cs="Calibri"/>
                <w:sz w:val="22"/>
                <w:szCs w:val="22"/>
                <w:lang w:val="en-US"/>
              </w:rPr>
              <w:t xml:space="preserve"> in their next annual reports.</w:t>
            </w:r>
          </w:p>
        </w:tc>
      </w:tr>
      <w:tr w:rsidR="00C63954" w:rsidRPr="00A35C18" w14:paraId="086B01FB" w14:textId="77777777" w:rsidTr="00AF376B">
        <w:trPr>
          <w:trHeight w:val="444"/>
        </w:trPr>
        <w:tc>
          <w:tcPr>
            <w:tcW w:w="2290" w:type="dxa"/>
            <w:vAlign w:val="bottom"/>
          </w:tcPr>
          <w:p w14:paraId="31CF5689" w14:textId="77777777" w:rsidR="00C63954" w:rsidRPr="00A35C18" w:rsidRDefault="00C63954" w:rsidP="00AF376B">
            <w:pPr>
              <w:contextualSpacing/>
              <w:jc w:val="both"/>
              <w:rPr>
                <w:rFonts w:ascii="Calibri" w:hAnsi="Calibri" w:cs="Calibri"/>
                <w:sz w:val="22"/>
                <w:szCs w:val="22"/>
                <w:lang w:val="en-US"/>
              </w:rPr>
            </w:pPr>
            <w:r w:rsidRPr="00A35C18">
              <w:rPr>
                <w:rFonts w:ascii="Calibri" w:hAnsi="Calibri" w:cs="Calibri"/>
                <w:sz w:val="22"/>
                <w:szCs w:val="22"/>
                <w:lang w:val="en-US"/>
              </w:rPr>
              <w:t>Risk appetite</w:t>
            </w:r>
            <w:r w:rsidRPr="00CF3175">
              <w:rPr>
                <w:rFonts w:ascii="Calibri" w:hAnsi="Calibri" w:cs="Calibri"/>
                <w:sz w:val="22"/>
                <w:szCs w:val="22"/>
                <w:lang w:val="en-US"/>
              </w:rPr>
              <w:t xml:space="preserve"> (voluntary disclosures)</w:t>
            </w:r>
          </w:p>
          <w:p w14:paraId="7A3790FF" w14:textId="77777777" w:rsidR="00C63954" w:rsidRPr="00A35C18" w:rsidRDefault="00C63954" w:rsidP="00AF376B">
            <w:pPr>
              <w:contextualSpacing/>
              <w:jc w:val="both"/>
              <w:rPr>
                <w:rFonts w:ascii="Calibri" w:hAnsi="Calibri" w:cs="Calibri"/>
                <w:sz w:val="22"/>
                <w:szCs w:val="22"/>
                <w:lang w:val="en-US"/>
              </w:rPr>
            </w:pPr>
          </w:p>
        </w:tc>
        <w:tc>
          <w:tcPr>
            <w:tcW w:w="4536" w:type="dxa"/>
            <w:vAlign w:val="bottom"/>
          </w:tcPr>
          <w:p w14:paraId="40C26E90" w14:textId="77777777" w:rsidR="00C63954" w:rsidRPr="00A35C18" w:rsidRDefault="00C63954" w:rsidP="00AF376B">
            <w:pPr>
              <w:contextualSpacing/>
              <w:jc w:val="both"/>
              <w:rPr>
                <w:rFonts w:ascii="Calibri" w:hAnsi="Calibri" w:cs="Calibri"/>
                <w:sz w:val="22"/>
                <w:szCs w:val="22"/>
              </w:rPr>
            </w:pPr>
            <w:r w:rsidRPr="00F90050">
              <w:rPr>
                <w:rFonts w:ascii="Calibri" w:hAnsi="Calibri" w:cs="Calibri"/>
                <w:sz w:val="22"/>
                <w:szCs w:val="22"/>
                <w:lang w:val="en-US"/>
              </w:rPr>
              <w:t>30 PIEs (</w:t>
            </w:r>
            <w:r>
              <w:rPr>
                <w:rFonts w:ascii="Calibri" w:hAnsi="Calibri" w:cs="Calibri"/>
                <w:sz w:val="22"/>
                <w:szCs w:val="22"/>
                <w:lang w:val="en-US"/>
              </w:rPr>
              <w:t>17%</w:t>
            </w:r>
            <w:r w:rsidRPr="00F90050">
              <w:rPr>
                <w:rFonts w:ascii="Calibri" w:hAnsi="Calibri" w:cs="Calibri"/>
                <w:sz w:val="22"/>
                <w:szCs w:val="22"/>
                <w:lang w:val="en-US"/>
              </w:rPr>
              <w:t xml:space="preserve"> BIF and </w:t>
            </w:r>
            <w:r>
              <w:rPr>
                <w:rFonts w:ascii="Calibri" w:hAnsi="Calibri" w:cs="Calibri"/>
                <w:sz w:val="22"/>
                <w:szCs w:val="22"/>
                <w:lang w:val="en-US"/>
              </w:rPr>
              <w:t>83%</w:t>
            </w:r>
            <w:r w:rsidRPr="00F90050">
              <w:rPr>
                <w:rFonts w:ascii="Calibri" w:hAnsi="Calibri" w:cs="Calibri"/>
                <w:sz w:val="22"/>
                <w:szCs w:val="22"/>
                <w:lang w:val="en-US"/>
              </w:rPr>
              <w:t xml:space="preserve"> Non-BIF) had not made disclosures </w:t>
            </w:r>
            <w:proofErr w:type="gramStart"/>
            <w:r w:rsidRPr="00F90050">
              <w:rPr>
                <w:rFonts w:ascii="Calibri" w:hAnsi="Calibri" w:cs="Calibri"/>
                <w:sz w:val="22"/>
                <w:szCs w:val="22"/>
                <w:lang w:val="en-US"/>
              </w:rPr>
              <w:t>with regard to</w:t>
            </w:r>
            <w:proofErr w:type="gramEnd"/>
            <w:r w:rsidRPr="00F90050">
              <w:rPr>
                <w:rFonts w:ascii="Calibri" w:hAnsi="Calibri" w:cs="Calibri"/>
                <w:sz w:val="22"/>
                <w:szCs w:val="22"/>
                <w:lang w:val="en-US"/>
              </w:rPr>
              <w:t xml:space="preserve"> risk appetites and its metrics.</w:t>
            </w:r>
          </w:p>
        </w:tc>
        <w:tc>
          <w:tcPr>
            <w:tcW w:w="2534" w:type="dxa"/>
            <w:vMerge/>
            <w:vAlign w:val="bottom"/>
          </w:tcPr>
          <w:p w14:paraId="7E1861C0"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76CF9482" w14:textId="77777777" w:rsidTr="00AF376B">
        <w:tc>
          <w:tcPr>
            <w:tcW w:w="2290" w:type="dxa"/>
          </w:tcPr>
          <w:p w14:paraId="0C37BE26" w14:textId="77777777" w:rsidR="00C63954" w:rsidRPr="00A35C18" w:rsidRDefault="00C63954" w:rsidP="00AF376B">
            <w:pPr>
              <w:contextualSpacing/>
              <w:jc w:val="both"/>
              <w:rPr>
                <w:rFonts w:ascii="Calibri" w:hAnsi="Calibri" w:cs="Calibri"/>
                <w:sz w:val="22"/>
                <w:szCs w:val="22"/>
                <w:lang w:val="en-US"/>
              </w:rPr>
            </w:pPr>
            <w:r w:rsidRPr="00A35C18">
              <w:rPr>
                <w:rFonts w:ascii="Calibri" w:hAnsi="Calibri" w:cs="Calibri"/>
                <w:sz w:val="22"/>
                <w:szCs w:val="22"/>
                <w:lang w:val="en-US"/>
              </w:rPr>
              <w:t>Stress tests</w:t>
            </w:r>
            <w:r w:rsidRPr="00CF3175">
              <w:rPr>
                <w:rFonts w:ascii="Calibri" w:hAnsi="Calibri" w:cs="Calibri"/>
                <w:sz w:val="22"/>
                <w:szCs w:val="22"/>
                <w:lang w:val="en-US"/>
              </w:rPr>
              <w:t xml:space="preserve"> (voluntary disclosures)</w:t>
            </w:r>
          </w:p>
        </w:tc>
        <w:tc>
          <w:tcPr>
            <w:tcW w:w="4536" w:type="dxa"/>
          </w:tcPr>
          <w:p w14:paraId="5186619D" w14:textId="77777777" w:rsidR="00C63954" w:rsidRPr="00A35C18" w:rsidRDefault="00C63954" w:rsidP="00AF376B">
            <w:pPr>
              <w:contextualSpacing/>
              <w:jc w:val="both"/>
              <w:rPr>
                <w:rFonts w:ascii="Calibri" w:hAnsi="Calibri" w:cs="Calibri"/>
                <w:sz w:val="22"/>
                <w:szCs w:val="22"/>
              </w:rPr>
            </w:pPr>
            <w:r w:rsidRPr="00F90050">
              <w:rPr>
                <w:rFonts w:ascii="Calibri" w:hAnsi="Calibri" w:cs="Calibri"/>
                <w:sz w:val="22"/>
                <w:szCs w:val="22"/>
              </w:rPr>
              <w:t>32 entities (</w:t>
            </w:r>
            <w:r>
              <w:rPr>
                <w:rFonts w:ascii="Calibri" w:hAnsi="Calibri" w:cs="Calibri"/>
                <w:sz w:val="22"/>
                <w:szCs w:val="22"/>
              </w:rPr>
              <w:t>13%</w:t>
            </w:r>
            <w:r w:rsidRPr="00F90050">
              <w:rPr>
                <w:rFonts w:ascii="Calibri" w:hAnsi="Calibri" w:cs="Calibri"/>
                <w:sz w:val="22"/>
                <w:szCs w:val="22"/>
              </w:rPr>
              <w:t xml:space="preserve"> BIF and </w:t>
            </w:r>
            <w:r>
              <w:rPr>
                <w:rFonts w:ascii="Calibri" w:hAnsi="Calibri" w:cs="Calibri"/>
                <w:sz w:val="22"/>
                <w:szCs w:val="22"/>
              </w:rPr>
              <w:t>87%</w:t>
            </w:r>
            <w:r w:rsidRPr="00F90050">
              <w:rPr>
                <w:rFonts w:ascii="Calibri" w:hAnsi="Calibri" w:cs="Calibri"/>
                <w:sz w:val="22"/>
                <w:szCs w:val="22"/>
              </w:rPr>
              <w:t xml:space="preserve"> Non-BIF) had not made disclosures on stress tests.</w:t>
            </w:r>
          </w:p>
        </w:tc>
        <w:tc>
          <w:tcPr>
            <w:tcW w:w="2534" w:type="dxa"/>
            <w:vMerge/>
          </w:tcPr>
          <w:p w14:paraId="2B5BAB83"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5E57983E" w14:textId="77777777" w:rsidTr="00AF376B">
        <w:tc>
          <w:tcPr>
            <w:tcW w:w="2290" w:type="dxa"/>
          </w:tcPr>
          <w:p w14:paraId="148129DA"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Emerging risks</w:t>
            </w:r>
            <w:r>
              <w:rPr>
                <w:rFonts w:ascii="Calibri" w:hAnsi="Calibri" w:cs="Calibri"/>
                <w:sz w:val="22"/>
                <w:szCs w:val="22"/>
              </w:rPr>
              <w:t xml:space="preserve"> </w:t>
            </w:r>
            <w:r w:rsidRPr="00CF3175">
              <w:rPr>
                <w:rFonts w:ascii="Calibri" w:hAnsi="Calibri" w:cs="Calibri"/>
                <w:sz w:val="22"/>
                <w:szCs w:val="22"/>
              </w:rPr>
              <w:t>(voluntary disclosures)</w:t>
            </w:r>
          </w:p>
        </w:tc>
        <w:tc>
          <w:tcPr>
            <w:tcW w:w="4536" w:type="dxa"/>
          </w:tcPr>
          <w:p w14:paraId="3A2F55F4"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F90050">
              <w:rPr>
                <w:rFonts w:ascii="Calibri" w:hAnsi="Calibri" w:cs="Calibri"/>
                <w:sz w:val="22"/>
                <w:szCs w:val="22"/>
              </w:rPr>
              <w:t>1</w:t>
            </w:r>
            <w:r>
              <w:rPr>
                <w:rFonts w:ascii="Calibri" w:hAnsi="Calibri" w:cs="Calibri"/>
                <w:sz w:val="22"/>
                <w:szCs w:val="22"/>
              </w:rPr>
              <w:t>6</w:t>
            </w:r>
            <w:r w:rsidRPr="00F90050">
              <w:rPr>
                <w:rFonts w:ascii="Calibri" w:hAnsi="Calibri" w:cs="Calibri"/>
                <w:sz w:val="22"/>
                <w:szCs w:val="22"/>
              </w:rPr>
              <w:t xml:space="preserve"> PIEs (</w:t>
            </w:r>
            <w:r>
              <w:rPr>
                <w:rFonts w:ascii="Calibri" w:hAnsi="Calibri" w:cs="Calibri"/>
                <w:sz w:val="22"/>
                <w:szCs w:val="22"/>
              </w:rPr>
              <w:t>19%</w:t>
            </w:r>
            <w:r w:rsidRPr="00F90050">
              <w:rPr>
                <w:rFonts w:ascii="Calibri" w:hAnsi="Calibri" w:cs="Calibri"/>
                <w:sz w:val="22"/>
                <w:szCs w:val="22"/>
              </w:rPr>
              <w:t xml:space="preserve"> BIF and </w:t>
            </w:r>
            <w:r>
              <w:rPr>
                <w:rFonts w:ascii="Calibri" w:hAnsi="Calibri" w:cs="Calibri"/>
                <w:sz w:val="22"/>
                <w:szCs w:val="22"/>
              </w:rPr>
              <w:t>81%</w:t>
            </w:r>
            <w:r w:rsidRPr="00F90050">
              <w:rPr>
                <w:rFonts w:ascii="Calibri" w:hAnsi="Calibri" w:cs="Calibri"/>
                <w:sz w:val="22"/>
                <w:szCs w:val="22"/>
              </w:rPr>
              <w:t xml:space="preserve"> Non-BIF) had not provided disclosures on emerging risks under this area.  </w:t>
            </w:r>
          </w:p>
        </w:tc>
        <w:tc>
          <w:tcPr>
            <w:tcW w:w="2534" w:type="dxa"/>
            <w:vMerge/>
          </w:tcPr>
          <w:p w14:paraId="45014F9A"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498F89BB" w14:textId="77777777" w:rsidTr="00AF376B">
        <w:tc>
          <w:tcPr>
            <w:tcW w:w="2290" w:type="dxa"/>
          </w:tcPr>
          <w:p w14:paraId="61785F6F"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Trend or movement of key risks</w:t>
            </w:r>
            <w:r>
              <w:rPr>
                <w:rFonts w:ascii="Calibri" w:hAnsi="Calibri" w:cs="Calibri"/>
                <w:sz w:val="22"/>
                <w:szCs w:val="22"/>
              </w:rPr>
              <w:t xml:space="preserve"> (voluntary disclosures)</w:t>
            </w:r>
          </w:p>
        </w:tc>
        <w:tc>
          <w:tcPr>
            <w:tcW w:w="4536" w:type="dxa"/>
          </w:tcPr>
          <w:p w14:paraId="61F20827"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Pr>
                <w:rFonts w:ascii="Calibri" w:hAnsi="Calibri" w:cs="Calibri"/>
                <w:sz w:val="22"/>
                <w:szCs w:val="22"/>
              </w:rPr>
              <w:t>3</w:t>
            </w:r>
            <w:r w:rsidRPr="00C17A89">
              <w:rPr>
                <w:rFonts w:ascii="Calibri" w:hAnsi="Calibri" w:cs="Calibri"/>
                <w:sz w:val="22"/>
                <w:szCs w:val="22"/>
              </w:rPr>
              <w:t>0 PIEs (</w:t>
            </w:r>
            <w:r>
              <w:rPr>
                <w:rFonts w:ascii="Calibri" w:hAnsi="Calibri" w:cs="Calibri"/>
                <w:sz w:val="22"/>
                <w:szCs w:val="22"/>
              </w:rPr>
              <w:t>27%</w:t>
            </w:r>
            <w:r w:rsidRPr="00C17A89">
              <w:rPr>
                <w:rFonts w:ascii="Calibri" w:hAnsi="Calibri" w:cs="Calibri"/>
                <w:sz w:val="22"/>
                <w:szCs w:val="22"/>
              </w:rPr>
              <w:t xml:space="preserve"> BIF and </w:t>
            </w:r>
            <w:r>
              <w:rPr>
                <w:rFonts w:ascii="Calibri" w:hAnsi="Calibri" w:cs="Calibri"/>
                <w:sz w:val="22"/>
                <w:szCs w:val="22"/>
              </w:rPr>
              <w:t>73%</w:t>
            </w:r>
            <w:r w:rsidRPr="00C17A89">
              <w:rPr>
                <w:rFonts w:ascii="Calibri" w:hAnsi="Calibri" w:cs="Calibri"/>
                <w:sz w:val="22"/>
                <w:szCs w:val="22"/>
              </w:rPr>
              <w:t xml:space="preserve"> Non-BIF) had not disclosed a trend or movement of the key risks affecting the entities. </w:t>
            </w:r>
          </w:p>
        </w:tc>
        <w:tc>
          <w:tcPr>
            <w:tcW w:w="2534" w:type="dxa"/>
            <w:vMerge/>
          </w:tcPr>
          <w:p w14:paraId="1D2FB06A"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16532609" w14:textId="77777777" w:rsidTr="00AF376B">
        <w:tc>
          <w:tcPr>
            <w:tcW w:w="2290" w:type="dxa"/>
          </w:tcPr>
          <w:p w14:paraId="22A39FC1" w14:textId="77777777" w:rsidR="00C63954" w:rsidRPr="00A35C18" w:rsidRDefault="00C63954" w:rsidP="00AF376B">
            <w:pPr>
              <w:contextualSpacing/>
              <w:jc w:val="both"/>
              <w:rPr>
                <w:rFonts w:ascii="Calibri" w:hAnsi="Calibri" w:cs="Calibri"/>
                <w:sz w:val="22"/>
                <w:szCs w:val="22"/>
                <w:highlight w:val="yellow"/>
              </w:rPr>
            </w:pPr>
            <w:r w:rsidRPr="00A35C18">
              <w:rPr>
                <w:rFonts w:ascii="Calibri" w:hAnsi="Calibri" w:cs="Calibri"/>
                <w:sz w:val="22"/>
                <w:szCs w:val="22"/>
              </w:rPr>
              <w:t>Measurement of the risk of major negative events</w:t>
            </w:r>
            <w:r>
              <w:rPr>
                <w:rFonts w:ascii="Calibri" w:hAnsi="Calibri" w:cs="Calibri"/>
                <w:sz w:val="22"/>
                <w:szCs w:val="22"/>
              </w:rPr>
              <w:t xml:space="preserve"> (voluntary disclosures)</w:t>
            </w:r>
          </w:p>
        </w:tc>
        <w:tc>
          <w:tcPr>
            <w:tcW w:w="4536" w:type="dxa"/>
          </w:tcPr>
          <w:p w14:paraId="7A347A43" w14:textId="77777777" w:rsidR="00C63954" w:rsidRPr="00A35C18" w:rsidRDefault="00C63954" w:rsidP="00AF376B">
            <w:pPr>
              <w:contextualSpacing/>
              <w:jc w:val="both"/>
              <w:rPr>
                <w:rFonts w:ascii="Calibri" w:hAnsi="Calibri" w:cs="Calibri"/>
                <w:sz w:val="22"/>
                <w:szCs w:val="22"/>
              </w:rPr>
            </w:pPr>
            <w:r w:rsidRPr="00C17A89">
              <w:rPr>
                <w:rFonts w:ascii="Calibri" w:hAnsi="Calibri" w:cs="Calibri"/>
                <w:sz w:val="22"/>
                <w:szCs w:val="22"/>
              </w:rPr>
              <w:t>19</w:t>
            </w:r>
            <w:r>
              <w:rPr>
                <w:rFonts w:ascii="Calibri" w:hAnsi="Calibri" w:cs="Calibri"/>
                <w:sz w:val="22"/>
                <w:szCs w:val="22"/>
              </w:rPr>
              <w:t xml:space="preserve"> </w:t>
            </w:r>
            <w:r w:rsidRPr="00C17A89">
              <w:rPr>
                <w:rFonts w:ascii="Calibri" w:hAnsi="Calibri" w:cs="Calibri"/>
                <w:sz w:val="22"/>
                <w:szCs w:val="22"/>
              </w:rPr>
              <w:t>PIEs (</w:t>
            </w:r>
            <w:r>
              <w:rPr>
                <w:rFonts w:ascii="Calibri" w:hAnsi="Calibri" w:cs="Calibri"/>
                <w:sz w:val="22"/>
                <w:szCs w:val="22"/>
              </w:rPr>
              <w:t>26%</w:t>
            </w:r>
            <w:r w:rsidRPr="00C17A89">
              <w:rPr>
                <w:rFonts w:ascii="Calibri" w:hAnsi="Calibri" w:cs="Calibri"/>
                <w:sz w:val="22"/>
                <w:szCs w:val="22"/>
              </w:rPr>
              <w:t xml:space="preserve"> BIF and </w:t>
            </w:r>
            <w:r>
              <w:rPr>
                <w:rFonts w:ascii="Calibri" w:hAnsi="Calibri" w:cs="Calibri"/>
                <w:sz w:val="22"/>
                <w:szCs w:val="22"/>
              </w:rPr>
              <w:t>7</w:t>
            </w:r>
            <w:r w:rsidRPr="00C17A89">
              <w:rPr>
                <w:rFonts w:ascii="Calibri" w:hAnsi="Calibri" w:cs="Calibri"/>
                <w:sz w:val="22"/>
                <w:szCs w:val="22"/>
              </w:rPr>
              <w:t>4</w:t>
            </w:r>
            <w:r>
              <w:rPr>
                <w:rFonts w:ascii="Calibri" w:hAnsi="Calibri" w:cs="Calibri"/>
                <w:sz w:val="22"/>
                <w:szCs w:val="22"/>
              </w:rPr>
              <w:t>%</w:t>
            </w:r>
            <w:r w:rsidRPr="00C17A89">
              <w:rPr>
                <w:rFonts w:ascii="Calibri" w:hAnsi="Calibri" w:cs="Calibri"/>
                <w:sz w:val="22"/>
                <w:szCs w:val="22"/>
              </w:rPr>
              <w:t xml:space="preserve"> Non-BIF) had not provided had made disclosures on the measurement of the risk of major negative events.</w:t>
            </w:r>
          </w:p>
        </w:tc>
        <w:tc>
          <w:tcPr>
            <w:tcW w:w="2534" w:type="dxa"/>
            <w:vMerge/>
          </w:tcPr>
          <w:p w14:paraId="4A4363A9"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325D388A" w14:textId="77777777" w:rsidTr="00AF376B">
        <w:tc>
          <w:tcPr>
            <w:tcW w:w="2290" w:type="dxa"/>
          </w:tcPr>
          <w:p w14:paraId="0EE6E05E"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t>Classification of risks</w:t>
            </w:r>
            <w:r>
              <w:rPr>
                <w:rFonts w:ascii="Calibri" w:hAnsi="Calibri" w:cs="Calibri"/>
                <w:sz w:val="22"/>
                <w:szCs w:val="22"/>
              </w:rPr>
              <w:t xml:space="preserve"> </w:t>
            </w:r>
            <w:r w:rsidRPr="00CF3175">
              <w:rPr>
                <w:rFonts w:ascii="Calibri" w:hAnsi="Calibri" w:cs="Calibri"/>
                <w:sz w:val="22"/>
                <w:szCs w:val="22"/>
              </w:rPr>
              <w:t>(voluntary disclosures)</w:t>
            </w:r>
          </w:p>
        </w:tc>
        <w:tc>
          <w:tcPr>
            <w:tcW w:w="4536" w:type="dxa"/>
          </w:tcPr>
          <w:p w14:paraId="4A3A395C"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C17A89">
              <w:rPr>
                <w:rFonts w:ascii="Calibri" w:hAnsi="Calibri" w:cs="Calibri"/>
                <w:sz w:val="22"/>
                <w:szCs w:val="22"/>
              </w:rPr>
              <w:t>31 entities (</w:t>
            </w:r>
            <w:r>
              <w:rPr>
                <w:rFonts w:ascii="Calibri" w:hAnsi="Calibri" w:cs="Calibri"/>
                <w:sz w:val="22"/>
                <w:szCs w:val="22"/>
              </w:rPr>
              <w:t xml:space="preserve">32% </w:t>
            </w:r>
            <w:r w:rsidRPr="00C17A89">
              <w:rPr>
                <w:rFonts w:ascii="Calibri" w:hAnsi="Calibri" w:cs="Calibri"/>
                <w:sz w:val="22"/>
                <w:szCs w:val="22"/>
              </w:rPr>
              <w:t xml:space="preserve">BIF and </w:t>
            </w:r>
            <w:r>
              <w:rPr>
                <w:rFonts w:ascii="Calibri" w:hAnsi="Calibri" w:cs="Calibri"/>
                <w:sz w:val="22"/>
                <w:szCs w:val="22"/>
              </w:rPr>
              <w:t>68%</w:t>
            </w:r>
            <w:r w:rsidRPr="00C17A89">
              <w:rPr>
                <w:rFonts w:ascii="Calibri" w:hAnsi="Calibri" w:cs="Calibri"/>
                <w:sz w:val="22"/>
                <w:szCs w:val="22"/>
              </w:rPr>
              <w:t xml:space="preserve"> Non-BIF) had not had classified risks based on their probability and the potential impact of their occurrence. </w:t>
            </w:r>
          </w:p>
        </w:tc>
        <w:tc>
          <w:tcPr>
            <w:tcW w:w="2534" w:type="dxa"/>
            <w:vMerge/>
          </w:tcPr>
          <w:p w14:paraId="36B755A4"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4478B94E" w14:textId="77777777" w:rsidTr="00AF376B">
        <w:tc>
          <w:tcPr>
            <w:tcW w:w="2290" w:type="dxa"/>
          </w:tcPr>
          <w:p w14:paraId="3D4ED64E" w14:textId="77777777" w:rsidR="00C63954" w:rsidRPr="00A35C18" w:rsidRDefault="00C63954" w:rsidP="00AF376B">
            <w:pPr>
              <w:contextualSpacing/>
              <w:jc w:val="both"/>
              <w:rPr>
                <w:rFonts w:ascii="Calibri" w:hAnsi="Calibri" w:cs="Calibri"/>
                <w:sz w:val="22"/>
                <w:szCs w:val="22"/>
                <w:highlight w:val="yellow"/>
              </w:rPr>
            </w:pPr>
            <w:r w:rsidRPr="00A35C18">
              <w:rPr>
                <w:rFonts w:ascii="Calibri" w:hAnsi="Calibri" w:cs="Calibri"/>
                <w:sz w:val="22"/>
                <w:szCs w:val="22"/>
              </w:rPr>
              <w:t>Linkage of risks</w:t>
            </w:r>
            <w:r>
              <w:rPr>
                <w:rFonts w:ascii="Calibri" w:hAnsi="Calibri" w:cs="Calibri"/>
                <w:sz w:val="22"/>
                <w:szCs w:val="22"/>
              </w:rPr>
              <w:t xml:space="preserve"> </w:t>
            </w:r>
            <w:r w:rsidRPr="00CF3175">
              <w:rPr>
                <w:rFonts w:ascii="Calibri" w:hAnsi="Calibri" w:cs="Calibri"/>
                <w:sz w:val="22"/>
                <w:szCs w:val="22"/>
              </w:rPr>
              <w:t>(voluntary disclosures)</w:t>
            </w:r>
          </w:p>
        </w:tc>
        <w:tc>
          <w:tcPr>
            <w:tcW w:w="4536" w:type="dxa"/>
          </w:tcPr>
          <w:p w14:paraId="148055D1"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highlight w:val="yellow"/>
              </w:rPr>
            </w:pPr>
            <w:r w:rsidRPr="00C17A89">
              <w:rPr>
                <w:rFonts w:ascii="Calibri" w:hAnsi="Calibri" w:cs="Calibri"/>
                <w:sz w:val="22"/>
                <w:szCs w:val="22"/>
              </w:rPr>
              <w:t>36 entities (</w:t>
            </w:r>
            <w:r>
              <w:rPr>
                <w:rFonts w:ascii="Calibri" w:hAnsi="Calibri" w:cs="Calibri"/>
                <w:sz w:val="22"/>
                <w:szCs w:val="22"/>
              </w:rPr>
              <w:t>28%</w:t>
            </w:r>
            <w:r w:rsidRPr="00C17A89">
              <w:rPr>
                <w:rFonts w:ascii="Calibri" w:hAnsi="Calibri" w:cs="Calibri"/>
                <w:sz w:val="22"/>
                <w:szCs w:val="22"/>
              </w:rPr>
              <w:t xml:space="preserve"> BIF and </w:t>
            </w:r>
            <w:r>
              <w:rPr>
                <w:rFonts w:ascii="Calibri" w:hAnsi="Calibri" w:cs="Calibri"/>
                <w:sz w:val="22"/>
                <w:szCs w:val="22"/>
              </w:rPr>
              <w:t>72%</w:t>
            </w:r>
            <w:r w:rsidRPr="00C17A89">
              <w:rPr>
                <w:rFonts w:ascii="Calibri" w:hAnsi="Calibri" w:cs="Calibri"/>
                <w:sz w:val="22"/>
                <w:szCs w:val="22"/>
              </w:rPr>
              <w:t xml:space="preserve"> Non-BIF) had not </w:t>
            </w:r>
            <w:r>
              <w:rPr>
                <w:rFonts w:ascii="Calibri" w:hAnsi="Calibri" w:cs="Calibri"/>
                <w:sz w:val="22"/>
                <w:szCs w:val="22"/>
              </w:rPr>
              <w:t xml:space="preserve">made </w:t>
            </w:r>
            <w:r w:rsidRPr="00C17A89">
              <w:rPr>
                <w:rFonts w:ascii="Calibri" w:hAnsi="Calibri" w:cs="Calibri"/>
                <w:sz w:val="22"/>
                <w:szCs w:val="22"/>
              </w:rPr>
              <w:t xml:space="preserve">disclosures with respect to risks which were linked to strategy, business model and key performance indicators. </w:t>
            </w:r>
          </w:p>
        </w:tc>
        <w:tc>
          <w:tcPr>
            <w:tcW w:w="2534" w:type="dxa"/>
            <w:vMerge/>
          </w:tcPr>
          <w:p w14:paraId="1A68E07C"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highlight w:val="yellow"/>
                <w:lang w:val="en-US"/>
              </w:rPr>
            </w:pPr>
          </w:p>
        </w:tc>
      </w:tr>
      <w:tr w:rsidR="00C63954" w:rsidRPr="00A35C18" w14:paraId="4760EC1A" w14:textId="77777777" w:rsidTr="00AF376B">
        <w:tc>
          <w:tcPr>
            <w:tcW w:w="2290" w:type="dxa"/>
          </w:tcPr>
          <w:p w14:paraId="6669D161"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A35C18">
              <w:rPr>
                <w:rFonts w:ascii="Calibri" w:hAnsi="Calibri" w:cs="Calibri"/>
                <w:sz w:val="22"/>
                <w:szCs w:val="22"/>
              </w:rPr>
              <w:t>Outlook and opportunities of risks</w:t>
            </w:r>
            <w:r>
              <w:rPr>
                <w:rFonts w:ascii="Calibri" w:hAnsi="Calibri" w:cs="Calibri"/>
                <w:sz w:val="22"/>
                <w:szCs w:val="22"/>
              </w:rPr>
              <w:t xml:space="preserve"> </w:t>
            </w:r>
            <w:r w:rsidRPr="00CF3175">
              <w:rPr>
                <w:rFonts w:ascii="Calibri" w:hAnsi="Calibri" w:cs="Calibri"/>
                <w:sz w:val="22"/>
                <w:szCs w:val="22"/>
              </w:rPr>
              <w:t>(voluntary disclosures)</w:t>
            </w:r>
          </w:p>
          <w:p w14:paraId="04927399" w14:textId="77777777" w:rsidR="00C63954" w:rsidRPr="00A35C18" w:rsidRDefault="00C63954" w:rsidP="00AF376B">
            <w:pPr>
              <w:contextualSpacing/>
              <w:jc w:val="both"/>
              <w:rPr>
                <w:rFonts w:ascii="Calibri" w:hAnsi="Calibri" w:cs="Calibri"/>
                <w:sz w:val="22"/>
                <w:szCs w:val="22"/>
              </w:rPr>
            </w:pPr>
          </w:p>
        </w:tc>
        <w:tc>
          <w:tcPr>
            <w:tcW w:w="4536" w:type="dxa"/>
          </w:tcPr>
          <w:p w14:paraId="016963A4"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C17A89">
              <w:rPr>
                <w:rFonts w:ascii="Calibri" w:hAnsi="Calibri" w:cs="Calibri"/>
                <w:sz w:val="22"/>
                <w:szCs w:val="22"/>
              </w:rPr>
              <w:t>28 entities (</w:t>
            </w:r>
            <w:r>
              <w:rPr>
                <w:rFonts w:ascii="Calibri" w:hAnsi="Calibri" w:cs="Calibri"/>
                <w:sz w:val="22"/>
                <w:szCs w:val="22"/>
              </w:rPr>
              <w:t>25%</w:t>
            </w:r>
            <w:r w:rsidRPr="00C17A89">
              <w:rPr>
                <w:rFonts w:ascii="Calibri" w:hAnsi="Calibri" w:cs="Calibri"/>
                <w:sz w:val="22"/>
                <w:szCs w:val="22"/>
              </w:rPr>
              <w:t xml:space="preserve"> BIF and </w:t>
            </w:r>
            <w:r>
              <w:rPr>
                <w:rFonts w:ascii="Calibri" w:hAnsi="Calibri" w:cs="Calibri"/>
                <w:sz w:val="22"/>
                <w:szCs w:val="22"/>
              </w:rPr>
              <w:t>75%</w:t>
            </w:r>
            <w:r w:rsidRPr="00C17A89">
              <w:rPr>
                <w:rFonts w:ascii="Calibri" w:hAnsi="Calibri" w:cs="Calibri"/>
                <w:sz w:val="22"/>
                <w:szCs w:val="22"/>
              </w:rPr>
              <w:t xml:space="preserve"> Non-BIF) had not provided information about the </w:t>
            </w:r>
            <w:proofErr w:type="gramStart"/>
            <w:r w:rsidRPr="00C17A89">
              <w:rPr>
                <w:rFonts w:ascii="Calibri" w:hAnsi="Calibri" w:cs="Calibri"/>
                <w:sz w:val="22"/>
                <w:szCs w:val="22"/>
              </w:rPr>
              <w:t>future outlook</w:t>
            </w:r>
            <w:proofErr w:type="gramEnd"/>
            <w:r w:rsidRPr="00C17A89">
              <w:rPr>
                <w:rFonts w:ascii="Calibri" w:hAnsi="Calibri" w:cs="Calibri"/>
                <w:sz w:val="22"/>
                <w:szCs w:val="22"/>
              </w:rPr>
              <w:t xml:space="preserve"> and opportunities of the risks in their annual reports. </w:t>
            </w:r>
          </w:p>
        </w:tc>
        <w:tc>
          <w:tcPr>
            <w:tcW w:w="2534" w:type="dxa"/>
            <w:vMerge/>
          </w:tcPr>
          <w:p w14:paraId="432040C0"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tr w:rsidR="00C63954" w:rsidRPr="00A35C18" w14:paraId="124BE77F" w14:textId="77777777" w:rsidTr="00AF376B">
        <w:tc>
          <w:tcPr>
            <w:tcW w:w="2290" w:type="dxa"/>
          </w:tcPr>
          <w:p w14:paraId="6C4E8B64" w14:textId="77777777" w:rsidR="00C63954" w:rsidRPr="00A35C18" w:rsidRDefault="00C63954" w:rsidP="00AF376B">
            <w:pPr>
              <w:contextualSpacing/>
              <w:jc w:val="both"/>
              <w:rPr>
                <w:rFonts w:ascii="Calibri" w:hAnsi="Calibri" w:cs="Calibri"/>
                <w:sz w:val="22"/>
                <w:szCs w:val="22"/>
              </w:rPr>
            </w:pPr>
            <w:r w:rsidRPr="00A35C18">
              <w:rPr>
                <w:rFonts w:ascii="Calibri" w:hAnsi="Calibri" w:cs="Calibri"/>
                <w:sz w:val="22"/>
                <w:szCs w:val="22"/>
              </w:rPr>
              <w:lastRenderedPageBreak/>
              <w:t>Consistency of risks throughout the annual reports</w:t>
            </w:r>
            <w:r>
              <w:rPr>
                <w:rFonts w:ascii="Calibri" w:hAnsi="Calibri" w:cs="Calibri"/>
                <w:sz w:val="22"/>
                <w:szCs w:val="22"/>
              </w:rPr>
              <w:t xml:space="preserve"> </w:t>
            </w:r>
            <w:r w:rsidRPr="00CF3175">
              <w:rPr>
                <w:rFonts w:ascii="Calibri" w:hAnsi="Calibri" w:cs="Calibri"/>
                <w:sz w:val="22"/>
                <w:szCs w:val="22"/>
              </w:rPr>
              <w:t>(voluntary disclosures)</w:t>
            </w:r>
          </w:p>
        </w:tc>
        <w:tc>
          <w:tcPr>
            <w:tcW w:w="4536" w:type="dxa"/>
          </w:tcPr>
          <w:p w14:paraId="1C467564" w14:textId="77777777" w:rsidR="00C63954" w:rsidRPr="00A35C18" w:rsidRDefault="00C63954" w:rsidP="00AF376B">
            <w:pPr>
              <w:tabs>
                <w:tab w:val="left" w:pos="567"/>
                <w:tab w:val="left" w:pos="1350"/>
                <w:tab w:val="left" w:pos="1440"/>
              </w:tabs>
              <w:ind w:right="25"/>
              <w:contextualSpacing/>
              <w:jc w:val="both"/>
              <w:rPr>
                <w:rFonts w:ascii="Calibri" w:hAnsi="Calibri" w:cs="Calibri"/>
                <w:sz w:val="22"/>
                <w:szCs w:val="22"/>
              </w:rPr>
            </w:pPr>
            <w:r w:rsidRPr="00C17A89">
              <w:rPr>
                <w:rFonts w:ascii="Calibri" w:hAnsi="Calibri" w:cs="Calibri"/>
                <w:sz w:val="22"/>
                <w:szCs w:val="22"/>
              </w:rPr>
              <w:t>20 entities (</w:t>
            </w:r>
            <w:r>
              <w:rPr>
                <w:rFonts w:ascii="Calibri" w:hAnsi="Calibri" w:cs="Calibri"/>
                <w:sz w:val="22"/>
                <w:szCs w:val="22"/>
              </w:rPr>
              <w:t>30%</w:t>
            </w:r>
            <w:r w:rsidRPr="00C17A89">
              <w:rPr>
                <w:rFonts w:ascii="Calibri" w:hAnsi="Calibri" w:cs="Calibri"/>
                <w:sz w:val="22"/>
                <w:szCs w:val="22"/>
              </w:rPr>
              <w:t xml:space="preserve"> BIF and </w:t>
            </w:r>
            <w:r>
              <w:rPr>
                <w:rFonts w:ascii="Calibri" w:hAnsi="Calibri" w:cs="Calibri"/>
                <w:sz w:val="22"/>
                <w:szCs w:val="22"/>
              </w:rPr>
              <w:t>70%</w:t>
            </w:r>
            <w:r w:rsidRPr="00C17A89">
              <w:rPr>
                <w:rFonts w:ascii="Calibri" w:hAnsi="Calibri" w:cs="Calibri"/>
                <w:sz w:val="22"/>
                <w:szCs w:val="22"/>
              </w:rPr>
              <w:t xml:space="preserve"> Non-BIF) had</w:t>
            </w:r>
            <w:r>
              <w:rPr>
                <w:rFonts w:ascii="Calibri" w:hAnsi="Calibri" w:cs="Calibri"/>
                <w:sz w:val="22"/>
                <w:szCs w:val="22"/>
              </w:rPr>
              <w:t xml:space="preserve"> </w:t>
            </w:r>
            <w:proofErr w:type="gramStart"/>
            <w:r>
              <w:rPr>
                <w:rFonts w:ascii="Calibri" w:hAnsi="Calibri" w:cs="Calibri"/>
                <w:sz w:val="22"/>
                <w:szCs w:val="22"/>
              </w:rPr>
              <w:t xml:space="preserve">not </w:t>
            </w:r>
            <w:r w:rsidRPr="00C17A89">
              <w:rPr>
                <w:rFonts w:ascii="Calibri" w:hAnsi="Calibri" w:cs="Calibri"/>
                <w:sz w:val="22"/>
                <w:szCs w:val="22"/>
              </w:rPr>
              <w:t xml:space="preserve"> made</w:t>
            </w:r>
            <w:proofErr w:type="gramEnd"/>
            <w:r w:rsidRPr="00C17A89">
              <w:rPr>
                <w:rFonts w:ascii="Calibri" w:hAnsi="Calibri" w:cs="Calibri"/>
                <w:sz w:val="22"/>
                <w:szCs w:val="22"/>
              </w:rPr>
              <w:t xml:space="preserve"> disclosures on the principal risks and uncertainties which are consistent with the rest of the report and accounts. </w:t>
            </w:r>
          </w:p>
        </w:tc>
        <w:tc>
          <w:tcPr>
            <w:tcW w:w="2534" w:type="dxa"/>
            <w:vMerge/>
          </w:tcPr>
          <w:p w14:paraId="56122CC2" w14:textId="77777777" w:rsidR="00C63954" w:rsidRPr="00A35C18" w:rsidRDefault="00C63954" w:rsidP="00AF376B">
            <w:pPr>
              <w:tabs>
                <w:tab w:val="left" w:pos="567"/>
                <w:tab w:val="left" w:pos="1350"/>
                <w:tab w:val="left" w:pos="1440"/>
              </w:tabs>
              <w:ind w:right="-54"/>
              <w:contextualSpacing/>
              <w:jc w:val="both"/>
              <w:rPr>
                <w:rFonts w:ascii="Calibri" w:hAnsi="Calibri" w:cs="Calibri"/>
                <w:sz w:val="22"/>
                <w:szCs w:val="22"/>
                <w:lang w:val="en-US"/>
              </w:rPr>
            </w:pPr>
          </w:p>
        </w:tc>
      </w:tr>
      <w:bookmarkEnd w:id="2"/>
    </w:tbl>
    <w:p w14:paraId="04FC9E86" w14:textId="77777777" w:rsidR="00C63954" w:rsidRPr="00A35C18" w:rsidRDefault="00C63954" w:rsidP="00C63954">
      <w:pPr>
        <w:rPr>
          <w:rFonts w:ascii="Calibri" w:hAnsi="Calibri" w:cs="Calibri"/>
          <w:sz w:val="22"/>
          <w:szCs w:val="22"/>
        </w:rPr>
      </w:pPr>
    </w:p>
    <w:p w14:paraId="6A5A34AC" w14:textId="77777777" w:rsidR="00C63954" w:rsidRDefault="00C63954" w:rsidP="00C63954"/>
    <w:p w14:paraId="7AF33D1B" w14:textId="77777777" w:rsidR="00C57E89" w:rsidRPr="00D7737E" w:rsidRDefault="00C57E89" w:rsidP="00BD28FF">
      <w:pPr>
        <w:spacing w:after="0" w:line="240" w:lineRule="auto"/>
        <w:jc w:val="both"/>
        <w:rPr>
          <w:rFonts w:ascii="Calibri" w:hAnsi="Calibri" w:cs="Calibri"/>
          <w:sz w:val="22"/>
          <w:szCs w:val="22"/>
        </w:rPr>
      </w:pPr>
    </w:p>
    <w:sectPr w:rsidR="00C57E89" w:rsidRPr="00D7737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FF90C" w14:textId="77777777" w:rsidR="00E371F2" w:rsidRDefault="00E371F2" w:rsidP="002F4D52">
      <w:pPr>
        <w:spacing w:after="0" w:line="240" w:lineRule="auto"/>
      </w:pPr>
      <w:r>
        <w:separator/>
      </w:r>
    </w:p>
  </w:endnote>
  <w:endnote w:type="continuationSeparator" w:id="0">
    <w:p w14:paraId="2D217A14" w14:textId="77777777" w:rsidR="00E371F2" w:rsidRDefault="00E371F2" w:rsidP="002F4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60583" w14:textId="77777777" w:rsidR="00E371F2" w:rsidRDefault="00E371F2" w:rsidP="002F4D52">
      <w:pPr>
        <w:spacing w:after="0" w:line="240" w:lineRule="auto"/>
      </w:pPr>
      <w:r>
        <w:separator/>
      </w:r>
    </w:p>
  </w:footnote>
  <w:footnote w:type="continuationSeparator" w:id="0">
    <w:p w14:paraId="69BEDD1A" w14:textId="77777777" w:rsidR="00E371F2" w:rsidRDefault="00E371F2" w:rsidP="002F4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24DB" w14:textId="215C591C" w:rsidR="00A35C18" w:rsidRPr="00A35C18" w:rsidRDefault="00A35C18">
    <w:pPr>
      <w:pStyle w:val="Header"/>
      <w:rPr>
        <w:rFonts w:ascii="Calibri" w:hAnsi="Calibri" w:cs="Calibri"/>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9A2"/>
    <w:multiLevelType w:val="hybridMultilevel"/>
    <w:tmpl w:val="521ED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05D33"/>
    <w:multiLevelType w:val="hybridMultilevel"/>
    <w:tmpl w:val="74AEC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752775"/>
    <w:multiLevelType w:val="hybridMultilevel"/>
    <w:tmpl w:val="F042D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24C0A"/>
    <w:multiLevelType w:val="hybridMultilevel"/>
    <w:tmpl w:val="D80E3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8C7B88"/>
    <w:multiLevelType w:val="hybridMultilevel"/>
    <w:tmpl w:val="4CDE4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1A5DCC"/>
    <w:multiLevelType w:val="hybridMultilevel"/>
    <w:tmpl w:val="25826328"/>
    <w:lvl w:ilvl="0" w:tplc="77DEF61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82C3F2">
      <w:start w:val="1"/>
      <w:numFmt w:val="bullet"/>
      <w:lvlRestart w:val="0"/>
      <w:lvlText w:val="•"/>
      <w:lvlJc w:val="left"/>
      <w:pPr>
        <w:ind w:left="1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52E39E">
      <w:start w:val="1"/>
      <w:numFmt w:val="bullet"/>
      <w:lvlText w:val="▪"/>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E62AA4">
      <w:start w:val="1"/>
      <w:numFmt w:val="bullet"/>
      <w:lvlText w:val="•"/>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5812DC">
      <w:start w:val="1"/>
      <w:numFmt w:val="bullet"/>
      <w:lvlText w:val="o"/>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2437A2">
      <w:start w:val="1"/>
      <w:numFmt w:val="bullet"/>
      <w:lvlText w:val="▪"/>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A909E">
      <w:start w:val="1"/>
      <w:numFmt w:val="bullet"/>
      <w:lvlText w:val="•"/>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2137A">
      <w:start w:val="1"/>
      <w:numFmt w:val="bullet"/>
      <w:lvlText w:val="o"/>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16E346">
      <w:start w:val="1"/>
      <w:numFmt w:val="bullet"/>
      <w:lvlText w:val="▪"/>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85139B5"/>
    <w:multiLevelType w:val="multilevel"/>
    <w:tmpl w:val="0E96044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1687EBA"/>
    <w:multiLevelType w:val="hybridMultilevel"/>
    <w:tmpl w:val="E9921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CFA4B42"/>
    <w:multiLevelType w:val="hybridMultilevel"/>
    <w:tmpl w:val="A21E00A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9" w15:restartNumberingAfterBreak="0">
    <w:nsid w:val="5EDC6A80"/>
    <w:multiLevelType w:val="hybridMultilevel"/>
    <w:tmpl w:val="C62AC2C6"/>
    <w:lvl w:ilvl="0" w:tplc="08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0" w15:restartNumberingAfterBreak="0">
    <w:nsid w:val="5F9B0EFE"/>
    <w:multiLevelType w:val="hybridMultilevel"/>
    <w:tmpl w:val="BE22AB1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1" w15:restartNumberingAfterBreak="0">
    <w:nsid w:val="7ACF3719"/>
    <w:multiLevelType w:val="hybridMultilevel"/>
    <w:tmpl w:val="AD40FCE8"/>
    <w:lvl w:ilvl="0" w:tplc="08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num w:numId="1" w16cid:durableId="631597309">
    <w:abstractNumId w:val="1"/>
  </w:num>
  <w:num w:numId="2" w16cid:durableId="1939217090">
    <w:abstractNumId w:val="8"/>
  </w:num>
  <w:num w:numId="3" w16cid:durableId="603348665">
    <w:abstractNumId w:val="4"/>
  </w:num>
  <w:num w:numId="4" w16cid:durableId="1934245443">
    <w:abstractNumId w:val="10"/>
  </w:num>
  <w:num w:numId="5" w16cid:durableId="398136973">
    <w:abstractNumId w:val="6"/>
  </w:num>
  <w:num w:numId="6" w16cid:durableId="1357196866">
    <w:abstractNumId w:val="5"/>
  </w:num>
  <w:num w:numId="7" w16cid:durableId="1906455054">
    <w:abstractNumId w:val="0"/>
  </w:num>
  <w:num w:numId="8" w16cid:durableId="792871983">
    <w:abstractNumId w:val="2"/>
  </w:num>
  <w:num w:numId="9" w16cid:durableId="296838125">
    <w:abstractNumId w:val="9"/>
  </w:num>
  <w:num w:numId="10" w16cid:durableId="2090079465">
    <w:abstractNumId w:val="11"/>
  </w:num>
  <w:num w:numId="11" w16cid:durableId="486480107">
    <w:abstractNumId w:val="3"/>
  </w:num>
  <w:num w:numId="12" w16cid:durableId="6450132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6F"/>
    <w:rsid w:val="00011DC9"/>
    <w:rsid w:val="00020FD0"/>
    <w:rsid w:val="00031F56"/>
    <w:rsid w:val="00063E6B"/>
    <w:rsid w:val="00073A7C"/>
    <w:rsid w:val="00074AE6"/>
    <w:rsid w:val="000B01BB"/>
    <w:rsid w:val="000F42B9"/>
    <w:rsid w:val="00110B89"/>
    <w:rsid w:val="00123684"/>
    <w:rsid w:val="001378DD"/>
    <w:rsid w:val="00140C71"/>
    <w:rsid w:val="00190A14"/>
    <w:rsid w:val="001A22DD"/>
    <w:rsid w:val="001B1E41"/>
    <w:rsid w:val="001C5534"/>
    <w:rsid w:val="001C7479"/>
    <w:rsid w:val="001E6184"/>
    <w:rsid w:val="001F24B3"/>
    <w:rsid w:val="00200C25"/>
    <w:rsid w:val="00207A98"/>
    <w:rsid w:val="002153CF"/>
    <w:rsid w:val="00263EB8"/>
    <w:rsid w:val="00285A50"/>
    <w:rsid w:val="002A700D"/>
    <w:rsid w:val="002C1E56"/>
    <w:rsid w:val="002C287F"/>
    <w:rsid w:val="002D6A31"/>
    <w:rsid w:val="002D7E6B"/>
    <w:rsid w:val="002F43CB"/>
    <w:rsid w:val="002F4D52"/>
    <w:rsid w:val="003004FC"/>
    <w:rsid w:val="003227B3"/>
    <w:rsid w:val="003726BA"/>
    <w:rsid w:val="003B5DB3"/>
    <w:rsid w:val="003B6989"/>
    <w:rsid w:val="003B6B04"/>
    <w:rsid w:val="00407971"/>
    <w:rsid w:val="004315BD"/>
    <w:rsid w:val="00434291"/>
    <w:rsid w:val="004A23DF"/>
    <w:rsid w:val="004B69C8"/>
    <w:rsid w:val="004E02D2"/>
    <w:rsid w:val="004E5AF5"/>
    <w:rsid w:val="00503F12"/>
    <w:rsid w:val="00510EB8"/>
    <w:rsid w:val="005513AE"/>
    <w:rsid w:val="005C38AA"/>
    <w:rsid w:val="005C4C24"/>
    <w:rsid w:val="005D4764"/>
    <w:rsid w:val="005E1ABE"/>
    <w:rsid w:val="005F4569"/>
    <w:rsid w:val="005F5BA4"/>
    <w:rsid w:val="0063080A"/>
    <w:rsid w:val="00634947"/>
    <w:rsid w:val="0063695C"/>
    <w:rsid w:val="00644B97"/>
    <w:rsid w:val="006515A7"/>
    <w:rsid w:val="00656FF9"/>
    <w:rsid w:val="00660586"/>
    <w:rsid w:val="00674D5C"/>
    <w:rsid w:val="00674E7A"/>
    <w:rsid w:val="00687F4D"/>
    <w:rsid w:val="006A491A"/>
    <w:rsid w:val="006B50A7"/>
    <w:rsid w:val="006B5AE6"/>
    <w:rsid w:val="006C0901"/>
    <w:rsid w:val="006D236C"/>
    <w:rsid w:val="006E3AFF"/>
    <w:rsid w:val="006F0B38"/>
    <w:rsid w:val="00717656"/>
    <w:rsid w:val="0073674B"/>
    <w:rsid w:val="00740D6A"/>
    <w:rsid w:val="007531BD"/>
    <w:rsid w:val="007543B0"/>
    <w:rsid w:val="00762D3C"/>
    <w:rsid w:val="00765D95"/>
    <w:rsid w:val="00767D5F"/>
    <w:rsid w:val="00776A89"/>
    <w:rsid w:val="007A1F68"/>
    <w:rsid w:val="007B3B2F"/>
    <w:rsid w:val="007B74CC"/>
    <w:rsid w:val="007D34B2"/>
    <w:rsid w:val="007E5FEC"/>
    <w:rsid w:val="007E60DB"/>
    <w:rsid w:val="00807836"/>
    <w:rsid w:val="008301E3"/>
    <w:rsid w:val="00831A5F"/>
    <w:rsid w:val="00850290"/>
    <w:rsid w:val="00867AC0"/>
    <w:rsid w:val="00891D20"/>
    <w:rsid w:val="008E2277"/>
    <w:rsid w:val="008F47E3"/>
    <w:rsid w:val="00903C60"/>
    <w:rsid w:val="00922123"/>
    <w:rsid w:val="00956064"/>
    <w:rsid w:val="00975A85"/>
    <w:rsid w:val="00977CF4"/>
    <w:rsid w:val="00982694"/>
    <w:rsid w:val="00985312"/>
    <w:rsid w:val="00995ACD"/>
    <w:rsid w:val="009A7C07"/>
    <w:rsid w:val="009B0B86"/>
    <w:rsid w:val="009D00D3"/>
    <w:rsid w:val="00A132B8"/>
    <w:rsid w:val="00A20EA7"/>
    <w:rsid w:val="00A35C18"/>
    <w:rsid w:val="00A825D6"/>
    <w:rsid w:val="00A84383"/>
    <w:rsid w:val="00A85560"/>
    <w:rsid w:val="00A925F4"/>
    <w:rsid w:val="00AA2DAF"/>
    <w:rsid w:val="00AD14CD"/>
    <w:rsid w:val="00AD27DF"/>
    <w:rsid w:val="00AE1E88"/>
    <w:rsid w:val="00AE3C8D"/>
    <w:rsid w:val="00B337B8"/>
    <w:rsid w:val="00B53B5E"/>
    <w:rsid w:val="00B54C6E"/>
    <w:rsid w:val="00B72E99"/>
    <w:rsid w:val="00B86A57"/>
    <w:rsid w:val="00B95B0F"/>
    <w:rsid w:val="00BD28FF"/>
    <w:rsid w:val="00BE0B76"/>
    <w:rsid w:val="00C01CAA"/>
    <w:rsid w:val="00C17A89"/>
    <w:rsid w:val="00C22382"/>
    <w:rsid w:val="00C26951"/>
    <w:rsid w:val="00C460B8"/>
    <w:rsid w:val="00C57E89"/>
    <w:rsid w:val="00C60119"/>
    <w:rsid w:val="00C63954"/>
    <w:rsid w:val="00CA507E"/>
    <w:rsid w:val="00CA7146"/>
    <w:rsid w:val="00CB49A1"/>
    <w:rsid w:val="00CC5BB0"/>
    <w:rsid w:val="00CD0A49"/>
    <w:rsid w:val="00CD0CB1"/>
    <w:rsid w:val="00CD6389"/>
    <w:rsid w:val="00CE7B37"/>
    <w:rsid w:val="00CF3175"/>
    <w:rsid w:val="00D01B37"/>
    <w:rsid w:val="00D1177A"/>
    <w:rsid w:val="00D22C38"/>
    <w:rsid w:val="00D25431"/>
    <w:rsid w:val="00D74A4F"/>
    <w:rsid w:val="00D7737E"/>
    <w:rsid w:val="00DA4680"/>
    <w:rsid w:val="00DA75B9"/>
    <w:rsid w:val="00DE38A8"/>
    <w:rsid w:val="00E14102"/>
    <w:rsid w:val="00E15E2D"/>
    <w:rsid w:val="00E16477"/>
    <w:rsid w:val="00E26C3F"/>
    <w:rsid w:val="00E334A7"/>
    <w:rsid w:val="00E371F2"/>
    <w:rsid w:val="00E709BA"/>
    <w:rsid w:val="00E87697"/>
    <w:rsid w:val="00EA0CDF"/>
    <w:rsid w:val="00F50D01"/>
    <w:rsid w:val="00F5522D"/>
    <w:rsid w:val="00F67063"/>
    <w:rsid w:val="00F71227"/>
    <w:rsid w:val="00F804EE"/>
    <w:rsid w:val="00F90050"/>
    <w:rsid w:val="00FB200C"/>
    <w:rsid w:val="00FC626F"/>
    <w:rsid w:val="00FD724F"/>
    <w:rsid w:val="00FD7F40"/>
    <w:rsid w:val="00FF1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F7AA2"/>
  <w15:chartTrackingRefBased/>
  <w15:docId w15:val="{71F2B516-BB83-477E-B533-FB1CFC19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2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2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2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2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2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2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2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2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2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2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2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2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2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2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2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26F"/>
    <w:rPr>
      <w:rFonts w:eastAsiaTheme="majorEastAsia" w:cstheme="majorBidi"/>
      <w:color w:val="272727" w:themeColor="text1" w:themeTint="D8"/>
    </w:rPr>
  </w:style>
  <w:style w:type="paragraph" w:styleId="Title">
    <w:name w:val="Title"/>
    <w:basedOn w:val="Normal"/>
    <w:next w:val="Normal"/>
    <w:link w:val="TitleChar"/>
    <w:uiPriority w:val="10"/>
    <w:qFormat/>
    <w:rsid w:val="00FC6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2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2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2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26F"/>
    <w:pPr>
      <w:spacing w:before="160"/>
      <w:jc w:val="center"/>
    </w:pPr>
    <w:rPr>
      <w:i/>
      <w:iCs/>
      <w:color w:val="404040" w:themeColor="text1" w:themeTint="BF"/>
    </w:rPr>
  </w:style>
  <w:style w:type="character" w:customStyle="1" w:styleId="QuoteChar">
    <w:name w:val="Quote Char"/>
    <w:basedOn w:val="DefaultParagraphFont"/>
    <w:link w:val="Quote"/>
    <w:uiPriority w:val="29"/>
    <w:rsid w:val="00FC626F"/>
    <w:rPr>
      <w:i/>
      <w:iCs/>
      <w:color w:val="404040" w:themeColor="text1" w:themeTint="BF"/>
    </w:rPr>
  </w:style>
  <w:style w:type="paragraph" w:styleId="ListParagraph">
    <w:name w:val="List Paragraph"/>
    <w:basedOn w:val="Normal"/>
    <w:uiPriority w:val="34"/>
    <w:qFormat/>
    <w:rsid w:val="00FC626F"/>
    <w:pPr>
      <w:ind w:left="720"/>
      <w:contextualSpacing/>
    </w:pPr>
  </w:style>
  <w:style w:type="character" w:styleId="IntenseEmphasis">
    <w:name w:val="Intense Emphasis"/>
    <w:basedOn w:val="DefaultParagraphFont"/>
    <w:uiPriority w:val="21"/>
    <w:qFormat/>
    <w:rsid w:val="00FC626F"/>
    <w:rPr>
      <w:i/>
      <w:iCs/>
      <w:color w:val="0F4761" w:themeColor="accent1" w:themeShade="BF"/>
    </w:rPr>
  </w:style>
  <w:style w:type="paragraph" w:styleId="IntenseQuote">
    <w:name w:val="Intense Quote"/>
    <w:basedOn w:val="Normal"/>
    <w:next w:val="Normal"/>
    <w:link w:val="IntenseQuoteChar"/>
    <w:uiPriority w:val="30"/>
    <w:qFormat/>
    <w:rsid w:val="00FC6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26F"/>
    <w:rPr>
      <w:i/>
      <w:iCs/>
      <w:color w:val="0F4761" w:themeColor="accent1" w:themeShade="BF"/>
    </w:rPr>
  </w:style>
  <w:style w:type="character" w:styleId="IntenseReference">
    <w:name w:val="Intense Reference"/>
    <w:basedOn w:val="DefaultParagraphFont"/>
    <w:uiPriority w:val="32"/>
    <w:qFormat/>
    <w:rsid w:val="00FC626F"/>
    <w:rPr>
      <w:b/>
      <w:bCs/>
      <w:smallCaps/>
      <w:color w:val="0F4761" w:themeColor="accent1" w:themeShade="BF"/>
      <w:spacing w:val="5"/>
    </w:rPr>
  </w:style>
  <w:style w:type="table" w:styleId="TableGrid">
    <w:name w:val="Table Grid"/>
    <w:basedOn w:val="TableNormal"/>
    <w:uiPriority w:val="39"/>
    <w:qFormat/>
    <w:rsid w:val="00CD0C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4D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D52"/>
  </w:style>
  <w:style w:type="paragraph" w:styleId="Footer">
    <w:name w:val="footer"/>
    <w:basedOn w:val="Normal"/>
    <w:link w:val="FooterChar"/>
    <w:uiPriority w:val="99"/>
    <w:unhideWhenUsed/>
    <w:rsid w:val="002F4D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D52"/>
  </w:style>
  <w:style w:type="character" w:styleId="Hyperlink">
    <w:name w:val="Hyperlink"/>
    <w:basedOn w:val="DefaultParagraphFont"/>
    <w:uiPriority w:val="99"/>
    <w:unhideWhenUsed/>
    <w:rsid w:val="00C57E89"/>
    <w:rPr>
      <w:color w:val="467886" w:themeColor="hyperlink"/>
      <w:u w:val="single"/>
    </w:rPr>
  </w:style>
  <w:style w:type="character" w:styleId="UnresolvedMention">
    <w:name w:val="Unresolved Mention"/>
    <w:basedOn w:val="DefaultParagraphFont"/>
    <w:uiPriority w:val="99"/>
    <w:semiHidden/>
    <w:unhideWhenUsed/>
    <w:rsid w:val="00C57E89"/>
    <w:rPr>
      <w:color w:val="605E5C"/>
      <w:shd w:val="clear" w:color="auto" w:fill="E1DFDD"/>
    </w:rPr>
  </w:style>
  <w:style w:type="paragraph" w:styleId="Revision">
    <w:name w:val="Revision"/>
    <w:hidden/>
    <w:uiPriority w:val="99"/>
    <w:semiHidden/>
    <w:rsid w:val="00073A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9675">
      <w:bodyDiv w:val="1"/>
      <w:marLeft w:val="0"/>
      <w:marRight w:val="0"/>
      <w:marTop w:val="0"/>
      <w:marBottom w:val="0"/>
      <w:divBdr>
        <w:top w:val="none" w:sz="0" w:space="0" w:color="auto"/>
        <w:left w:val="none" w:sz="0" w:space="0" w:color="auto"/>
        <w:bottom w:val="none" w:sz="0" w:space="0" w:color="auto"/>
        <w:right w:val="none" w:sz="0" w:space="0" w:color="auto"/>
      </w:divBdr>
    </w:div>
    <w:div w:id="39886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c.govmu.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4B7EA-65A9-4853-BBA3-6B7CE9093432}">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7</Pages>
  <Words>2055</Words>
  <Characters>11775</Characters>
  <Application>Microsoft Office Word</Application>
  <DocSecurity>0</DocSecurity>
  <Lines>417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CHAN YEW TONG – YOW SANG</dc:creator>
  <cp:keywords/>
  <dc:description/>
  <cp:lastModifiedBy>Dominique CHAN YEW TONG – YOW SANG</cp:lastModifiedBy>
  <cp:revision>7</cp:revision>
  <cp:lastPrinted>2025-05-08T10:11:00Z</cp:lastPrinted>
  <dcterms:created xsi:type="dcterms:W3CDTF">2025-05-26T05:20:00Z</dcterms:created>
  <dcterms:modified xsi:type="dcterms:W3CDTF">2026-07-02T06:17:00Z</dcterms:modified>
</cp:coreProperties>
</file>